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85090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106680</wp:posOffset>
            </wp:positionV>
            <wp:extent cx="16344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3" w:lineRule="exact"/>
        <w:rPr>
          <w:sz w:val="24"/>
          <w:szCs w:val="24"/>
          <w:color w:val="auto"/>
        </w:rPr>
      </w:pPr>
    </w:p>
    <w:p>
      <w:pPr>
        <w:ind w:left="680" w:hanging="392"/>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2022</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92" w:lineRule="exact"/>
        <w:rPr>
          <w:sz w:val="24"/>
          <w:szCs w:val="24"/>
          <w:color w:val="auto"/>
        </w:rPr>
      </w:pPr>
    </w:p>
    <w:tbl>
      <w:tblPr>
        <w:tblLayout w:type="fixed"/>
        <w:tblInd w:w="260" w:type="dxa"/>
        <w:tblCellMar>
          <w:top w:w="0" w:type="dxa"/>
          <w:left w:w="0" w:type="dxa"/>
          <w:bottom w:w="0" w:type="dxa"/>
          <w:right w:w="0" w:type="dxa"/>
        </w:tblCellMar>
      </w:tblPr>
      <w:tr>
        <w:trPr>
          <w:trHeight w:val="206"/>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highlight w:val="black"/>
              </w:rPr>
              <w:t>☐</w:t>
            </w:r>
          </w:p>
        </w:tc>
        <w:tc>
          <w:tcPr>
            <w:tcW w:w="686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r>
      <w:tr>
        <w:trPr>
          <w:trHeight w:val="180"/>
        </w:trPr>
        <w:tc>
          <w:tcPr>
            <w:tcW w:w="280" w:type="dxa"/>
            <w:vAlign w:val="bottom"/>
          </w:tcPr>
          <w:p>
            <w:pPr>
              <w:spacing w:after="0"/>
              <w:rPr>
                <w:sz w:val="15"/>
                <w:szCs w:val="15"/>
                <w:color w:val="auto"/>
              </w:rPr>
            </w:pPr>
          </w:p>
        </w:tc>
        <w:tc>
          <w:tcPr>
            <w:tcW w:w="4720" w:type="dxa"/>
            <w:vAlign w:val="bottom"/>
          </w:tcPr>
          <w:p>
            <w:pPr>
              <w:ind w:left="326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340" w:type="dxa"/>
            <w:vAlign w:val="bottom"/>
            <w:tcBorders>
              <w:bottom w:val="single" w:sz="8" w:color="auto"/>
            </w:tcBorders>
          </w:tcPr>
          <w:p>
            <w:pPr>
              <w:spacing w:after="0"/>
              <w:rPr>
                <w:sz w:val="15"/>
                <w:szCs w:val="15"/>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to</w:t>
            </w:r>
          </w:p>
        </w:tc>
        <w:tc>
          <w:tcPr>
            <w:tcW w:w="34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r>
      <w:tr>
        <w:trPr>
          <w:trHeight w:val="237"/>
        </w:trPr>
        <w:tc>
          <w:tcPr>
            <w:tcW w:w="280" w:type="dxa"/>
            <w:vAlign w:val="bottom"/>
          </w:tcPr>
          <w:p>
            <w:pPr>
              <w:spacing w:after="0"/>
              <w:rPr>
                <w:sz w:val="20"/>
                <w:szCs w:val="20"/>
                <w:color w:val="auto"/>
              </w:rPr>
            </w:pPr>
          </w:p>
        </w:tc>
        <w:tc>
          <w:tcPr>
            <w:tcW w:w="6860" w:type="dxa"/>
            <w:vAlign w:val="bottom"/>
            <w:gridSpan w:val="5"/>
          </w:tcPr>
          <w:p>
            <w:pPr>
              <w:ind w:left="3760"/>
              <w:spacing w:after="0"/>
              <w:rPr>
                <w:sz w:val="20"/>
                <w:szCs w:val="20"/>
                <w:color w:val="auto"/>
              </w:rPr>
            </w:pPr>
            <w:r>
              <w:rPr>
                <w:rFonts w:ascii="Times New Roman" w:cs="Times New Roman" w:eastAsia="Times New Roman" w:hAnsi="Times New Roman"/>
                <w:sz w:val="11"/>
                <w:szCs w:val="11"/>
                <w:b w:val="1"/>
                <w:bCs w:val="1"/>
                <w:color w:val="auto"/>
              </w:rPr>
              <w:t>Commission File Number 001-12593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-385445</wp:posOffset>
            </wp:positionV>
            <wp:extent cx="22860" cy="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60" cy="9144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111125</wp:posOffset>
            </wp:positionV>
            <wp:extent cx="16344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286" w:lineRule="exact"/>
        <w:rPr>
          <w:sz w:val="24"/>
          <w:szCs w:val="24"/>
          <w:color w:val="auto"/>
        </w:rPr>
      </w:pPr>
    </w:p>
    <w:tbl>
      <w:tblPr>
        <w:tblLayout w:type="fixed"/>
        <w:tblInd w:w="1500" w:type="dxa"/>
        <w:tblCellMar>
          <w:top w:w="0" w:type="dxa"/>
          <w:left w:w="0" w:type="dxa"/>
          <w:bottom w:w="0" w:type="dxa"/>
          <w:right w:w="0" w:type="dxa"/>
        </w:tblCellMar>
      </w:tblPr>
      <w:tr>
        <w:trPr>
          <w:trHeight w:val="265"/>
        </w:trPr>
        <w:tc>
          <w:tcPr>
            <w:tcW w:w="2020" w:type="dxa"/>
            <w:vAlign w:val="bottom"/>
          </w:tcPr>
          <w:p>
            <w:pPr>
              <w:spacing w:after="0"/>
              <w:rPr>
                <w:sz w:val="23"/>
                <w:szCs w:val="23"/>
                <w:color w:val="auto"/>
              </w:rPr>
            </w:pPr>
          </w:p>
        </w:tc>
        <w:tc>
          <w:tcPr>
            <w:tcW w:w="320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ATN INTERNATIONAL, INC.</w:t>
            </w:r>
          </w:p>
        </w:tc>
        <w:tc>
          <w:tcPr>
            <w:tcW w:w="2060" w:type="dxa"/>
            <w:vAlign w:val="bottom"/>
          </w:tcPr>
          <w:p>
            <w:pPr>
              <w:spacing w:after="0"/>
              <w:rPr>
                <w:sz w:val="23"/>
                <w:szCs w:val="23"/>
                <w:color w:val="auto"/>
              </w:rPr>
            </w:pPr>
          </w:p>
        </w:tc>
      </w:tr>
      <w:tr>
        <w:trPr>
          <w:trHeight w:val="140"/>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color w:val="auto"/>
                <w:w w:val="98"/>
              </w:rPr>
              <w:t>(Exact name of registrant as specified in its charter)</w:t>
            </w:r>
          </w:p>
        </w:tc>
        <w:tc>
          <w:tcPr>
            <w:tcW w:w="2060" w:type="dxa"/>
            <w:vAlign w:val="bottom"/>
          </w:tcPr>
          <w:p>
            <w:pPr>
              <w:spacing w:after="0"/>
              <w:rPr>
                <w:sz w:val="12"/>
                <w:szCs w:val="12"/>
                <w:color w:val="auto"/>
              </w:rPr>
            </w:pPr>
          </w:p>
        </w:tc>
      </w:tr>
      <w:tr>
        <w:trPr>
          <w:trHeight w:val="182"/>
        </w:trPr>
        <w:tc>
          <w:tcPr>
            <w:tcW w:w="2020" w:type="dxa"/>
            <w:vAlign w:val="bottom"/>
          </w:tcPr>
          <w:p>
            <w:pPr>
              <w:jc w:val="center"/>
              <w:ind w:left="77"/>
              <w:spacing w:after="0"/>
              <w:rPr>
                <w:sz w:val="20"/>
                <w:szCs w:val="20"/>
                <w:color w:val="auto"/>
              </w:rPr>
            </w:pPr>
            <w:r>
              <w:rPr>
                <w:rFonts w:ascii="Times New Roman" w:cs="Times New Roman" w:eastAsia="Times New Roman" w:hAnsi="Times New Roman"/>
                <w:sz w:val="8"/>
                <w:szCs w:val="8"/>
                <w:b w:val="1"/>
                <w:bCs w:val="1"/>
                <w:color w:val="auto"/>
              </w:rPr>
              <w:t>Delaware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right"/>
              <w:ind w:right="818"/>
              <w:spacing w:after="0"/>
              <w:rPr>
                <w:sz w:val="20"/>
                <w:szCs w:val="20"/>
                <w:color w:val="auto"/>
              </w:rPr>
            </w:pPr>
            <w:r>
              <w:rPr>
                <w:rFonts w:ascii="Times New Roman" w:cs="Times New Roman" w:eastAsia="Times New Roman" w:hAnsi="Times New Roman"/>
                <w:sz w:val="8"/>
                <w:szCs w:val="8"/>
                <w:b w:val="1"/>
                <w:bCs w:val="1"/>
                <w:color w:val="auto"/>
              </w:rPr>
              <w:t>47-0728886</w:t>
            </w:r>
          </w:p>
        </w:tc>
      </w:tr>
      <w:tr>
        <w:trPr>
          <w:trHeight w:val="90"/>
        </w:trPr>
        <w:tc>
          <w:tcPr>
            <w:tcW w:w="2020" w:type="dxa"/>
            <w:vAlign w:val="bottom"/>
          </w:tcPr>
          <w:p>
            <w:pPr>
              <w:jc w:val="center"/>
              <w:ind w:left="197"/>
              <w:spacing w:after="0" w:line="90" w:lineRule="exact"/>
              <w:rPr>
                <w:sz w:val="20"/>
                <w:szCs w:val="20"/>
                <w:color w:val="auto"/>
              </w:rPr>
            </w:pPr>
            <w:r>
              <w:rPr>
                <w:rFonts w:ascii="Times New Roman" w:cs="Times New Roman" w:eastAsia="Times New Roman" w:hAnsi="Times New Roman"/>
                <w:sz w:val="8"/>
                <w:szCs w:val="8"/>
                <w:color w:val="auto"/>
              </w:rPr>
              <w:t>(State or other jurisdiction of</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jc w:val="center"/>
              <w:ind w:right="18"/>
              <w:spacing w:after="0" w:line="90" w:lineRule="exact"/>
              <w:rPr>
                <w:sz w:val="20"/>
                <w:szCs w:val="20"/>
                <w:color w:val="auto"/>
              </w:rPr>
            </w:pPr>
            <w:r>
              <w:rPr>
                <w:rFonts w:ascii="Times New Roman" w:cs="Times New Roman" w:eastAsia="Times New Roman" w:hAnsi="Times New Roman"/>
                <w:sz w:val="8"/>
                <w:szCs w:val="8"/>
                <w:color w:val="auto"/>
              </w:rPr>
              <w:t>(I.R.S. Employer</w:t>
            </w:r>
          </w:p>
        </w:tc>
      </w:tr>
      <w:tr>
        <w:trPr>
          <w:trHeight w:val="88"/>
        </w:trPr>
        <w:tc>
          <w:tcPr>
            <w:tcW w:w="2020" w:type="dxa"/>
            <w:vAlign w:val="bottom"/>
          </w:tcPr>
          <w:p>
            <w:pPr>
              <w:jc w:val="center"/>
              <w:ind w:left="197"/>
              <w:spacing w:after="0" w:line="88" w:lineRule="exact"/>
              <w:rPr>
                <w:sz w:val="20"/>
                <w:szCs w:val="20"/>
                <w:color w:val="auto"/>
              </w:rPr>
            </w:pPr>
            <w:r>
              <w:rPr>
                <w:rFonts w:ascii="Times New Roman" w:cs="Times New Roman" w:eastAsia="Times New Roman" w:hAnsi="Times New Roman"/>
                <w:sz w:val="8"/>
                <w:szCs w:val="8"/>
                <w:color w:val="auto"/>
              </w:rPr>
              <w:t>incorporation or organization)</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jc w:val="center"/>
              <w:ind w:right="18"/>
              <w:spacing w:after="0" w:line="88" w:lineRule="exact"/>
              <w:rPr>
                <w:sz w:val="20"/>
                <w:szCs w:val="20"/>
                <w:color w:val="auto"/>
              </w:rPr>
            </w:pPr>
            <w:r>
              <w:rPr>
                <w:rFonts w:ascii="Times New Roman" w:cs="Times New Roman" w:eastAsia="Times New Roman" w:hAnsi="Times New Roman"/>
                <w:sz w:val="8"/>
                <w:szCs w:val="8"/>
                <w:color w:val="auto"/>
              </w:rPr>
              <w:t>Identification No.)</w:t>
            </w:r>
          </w:p>
        </w:tc>
      </w:tr>
      <w:tr>
        <w:trPr>
          <w:trHeight w:val="90"/>
        </w:trPr>
        <w:tc>
          <w:tcPr>
            <w:tcW w:w="2020" w:type="dxa"/>
            <w:vAlign w:val="bottom"/>
          </w:tcPr>
          <w:p>
            <w:pPr>
              <w:jc w:val="center"/>
              <w:ind w:left="77"/>
              <w:spacing w:after="0" w:line="90" w:lineRule="exact"/>
              <w:rPr>
                <w:sz w:val="20"/>
                <w:szCs w:val="20"/>
                <w:color w:val="auto"/>
              </w:rPr>
            </w:pPr>
            <w:r>
              <w:rPr>
                <w:rFonts w:ascii="Times New Roman" w:cs="Times New Roman" w:eastAsia="Times New Roman" w:hAnsi="Times New Roman"/>
                <w:sz w:val="8"/>
                <w:szCs w:val="8"/>
                <w:b w:val="1"/>
                <w:bCs w:val="1"/>
                <w:color w:val="auto"/>
              </w:rPr>
              <w:t>500 Cummings Center, Suite 2450</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92"/>
        </w:trPr>
        <w:tc>
          <w:tcPr>
            <w:tcW w:w="2020" w:type="dxa"/>
            <w:vAlign w:val="bottom"/>
          </w:tcPr>
          <w:p>
            <w:pPr>
              <w:jc w:val="center"/>
              <w:ind w:left="217"/>
              <w:spacing w:after="0"/>
              <w:rPr>
                <w:sz w:val="20"/>
                <w:szCs w:val="20"/>
                <w:color w:val="auto"/>
              </w:rPr>
            </w:pPr>
            <w:r>
              <w:rPr>
                <w:rFonts w:ascii="Times New Roman" w:cs="Times New Roman" w:eastAsia="Times New Roman" w:hAnsi="Times New Roman"/>
                <w:sz w:val="8"/>
                <w:szCs w:val="8"/>
                <w:b w:val="1"/>
                <w:bCs w:val="1"/>
                <w:color w:val="auto"/>
              </w:rPr>
              <w:t>Beverly, Massachusetts</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jc w:val="right"/>
              <w:ind w:right="918"/>
              <w:spacing w:after="0"/>
              <w:rPr>
                <w:sz w:val="20"/>
                <w:szCs w:val="20"/>
                <w:color w:val="auto"/>
              </w:rPr>
            </w:pPr>
            <w:r>
              <w:rPr>
                <w:rFonts w:ascii="Times New Roman" w:cs="Times New Roman" w:eastAsia="Times New Roman" w:hAnsi="Times New Roman"/>
                <w:sz w:val="8"/>
                <w:szCs w:val="8"/>
                <w:b w:val="1"/>
                <w:bCs w:val="1"/>
                <w:color w:val="auto"/>
              </w:rPr>
              <w:t>01915</w:t>
            </w:r>
          </w:p>
        </w:tc>
      </w:tr>
      <w:tr>
        <w:trPr>
          <w:trHeight w:val="107"/>
        </w:trPr>
        <w:tc>
          <w:tcPr>
            <w:tcW w:w="2020" w:type="dxa"/>
            <w:vAlign w:val="bottom"/>
          </w:tcPr>
          <w:p>
            <w:pPr>
              <w:jc w:val="center"/>
              <w:ind w:left="197"/>
              <w:spacing w:after="0"/>
              <w:rPr>
                <w:sz w:val="20"/>
                <w:szCs w:val="20"/>
                <w:color w:val="auto"/>
              </w:rPr>
            </w:pPr>
            <w:r>
              <w:rPr>
                <w:rFonts w:ascii="Times New Roman" w:cs="Times New Roman" w:eastAsia="Times New Roman" w:hAnsi="Times New Roman"/>
                <w:sz w:val="8"/>
                <w:szCs w:val="8"/>
                <w:color w:val="auto"/>
              </w:rPr>
              <w:t>(Address of principal executive offices)</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jc w:val="center"/>
              <w:ind w:right="18"/>
              <w:spacing w:after="0"/>
              <w:rPr>
                <w:sz w:val="20"/>
                <w:szCs w:val="20"/>
                <w:color w:val="auto"/>
              </w:rPr>
            </w:pPr>
            <w:r>
              <w:rPr>
                <w:rFonts w:ascii="Times New Roman" w:cs="Times New Roman" w:eastAsia="Times New Roman" w:hAnsi="Times New Roman"/>
                <w:sz w:val="8"/>
                <w:szCs w:val="8"/>
                <w:color w:val="auto"/>
              </w:rPr>
              <w:t>(Zip Code)</w:t>
            </w:r>
          </w:p>
        </w:tc>
      </w:tr>
      <w:tr>
        <w:trPr>
          <w:trHeight w:val="156"/>
        </w:trPr>
        <w:tc>
          <w:tcPr>
            <w:tcW w:w="2020" w:type="dxa"/>
            <w:vAlign w:val="bottom"/>
          </w:tcPr>
          <w:p>
            <w:pPr>
              <w:spacing w:after="0"/>
              <w:rPr>
                <w:sz w:val="13"/>
                <w:szCs w:val="13"/>
                <w:color w:val="auto"/>
              </w:rPr>
            </w:pPr>
          </w:p>
        </w:tc>
        <w:tc>
          <w:tcPr>
            <w:tcW w:w="2680" w:type="dxa"/>
            <w:vAlign w:val="bottom"/>
            <w:gridSpan w:val="3"/>
          </w:tcPr>
          <w:p>
            <w:pPr>
              <w:jc w:val="center"/>
              <w:ind w:left="479"/>
              <w:spacing w:after="0"/>
              <w:rPr>
                <w:sz w:val="20"/>
                <w:szCs w:val="20"/>
                <w:color w:val="auto"/>
              </w:rPr>
            </w:pPr>
            <w:r>
              <w:rPr>
                <w:rFonts w:ascii="Times New Roman" w:cs="Times New Roman" w:eastAsia="Times New Roman" w:hAnsi="Times New Roman"/>
                <w:sz w:val="11"/>
                <w:szCs w:val="11"/>
                <w:b w:val="1"/>
                <w:bCs w:val="1"/>
                <w:color w:val="auto"/>
                <w:w w:val="98"/>
              </w:rPr>
              <w:t>(978) 619-1300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0"/>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w:t>
            </w:r>
          </w:p>
        </w:tc>
        <w:tc>
          <w:tcPr>
            <w:tcW w:w="2060" w:type="dxa"/>
            <w:vAlign w:val="bottom"/>
          </w:tcPr>
          <w:p>
            <w:pPr>
              <w:spacing w:after="0"/>
              <w:rPr>
                <w:sz w:val="12"/>
                <w:szCs w:val="12"/>
                <w:color w:val="auto"/>
              </w:rPr>
            </w:pPr>
          </w:p>
        </w:tc>
      </w:tr>
      <w:tr>
        <w:trPr>
          <w:trHeight w:val="171"/>
        </w:trPr>
        <w:tc>
          <w:tcPr>
            <w:tcW w:w="5220" w:type="dxa"/>
            <w:vAlign w:val="bottom"/>
            <w:gridSpan w:val="6"/>
          </w:tcPr>
          <w:p>
            <w:pPr>
              <w:ind w:left="66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60" w:type="dxa"/>
            <w:vAlign w:val="bottom"/>
          </w:tcPr>
          <w:p>
            <w:pPr>
              <w:spacing w:after="0"/>
              <w:rPr>
                <w:sz w:val="14"/>
                <w:szCs w:val="14"/>
                <w:color w:val="auto"/>
              </w:rPr>
            </w:pPr>
          </w:p>
        </w:tc>
      </w:tr>
      <w:tr>
        <w:trPr>
          <w:trHeight w:val="217"/>
        </w:trPr>
        <w:tc>
          <w:tcPr>
            <w:tcW w:w="2020" w:type="dxa"/>
            <w:vAlign w:val="bottom"/>
          </w:tcPr>
          <w:p>
            <w:pPr>
              <w:jc w:val="center"/>
              <w:ind w:left="19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Trading Symbol(s)</w:t>
            </w:r>
          </w:p>
        </w:tc>
        <w:tc>
          <w:tcPr>
            <w:tcW w:w="2060" w:type="dxa"/>
            <w:vAlign w:val="bottom"/>
          </w:tcPr>
          <w:p>
            <w:pPr>
              <w:jc w:val="center"/>
              <w:ind w:right="178"/>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57"/>
        </w:trPr>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148"/>
        </w:trPr>
        <w:tc>
          <w:tcPr>
            <w:tcW w:w="2020" w:type="dxa"/>
            <w:vAlign w:val="bottom"/>
          </w:tcPr>
          <w:p>
            <w:pPr>
              <w:jc w:val="center"/>
              <w:ind w:left="197"/>
              <w:spacing w:after="0"/>
              <w:rPr>
                <w:sz w:val="20"/>
                <w:szCs w:val="20"/>
                <w:color w:val="auto"/>
              </w:rPr>
            </w:pPr>
            <w:r>
              <w:rPr>
                <w:rFonts w:ascii="Times New Roman" w:cs="Times New Roman" w:eastAsia="Times New Roman" w:hAnsi="Times New Roman"/>
                <w:sz w:val="8"/>
                <w:szCs w:val="8"/>
                <w:color w:val="auto"/>
              </w:rPr>
              <w:t>Common Stock, par value $.01 per share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8"/>
                <w:szCs w:val="8"/>
                <w:color w:val="auto"/>
              </w:rPr>
              <w:t>ATNI</w:t>
            </w:r>
          </w:p>
        </w:tc>
        <w:tc>
          <w:tcPr>
            <w:tcW w:w="2060" w:type="dxa"/>
            <w:vAlign w:val="bottom"/>
          </w:tcPr>
          <w:p>
            <w:pPr>
              <w:jc w:val="center"/>
              <w:ind w:right="158"/>
              <w:spacing w:after="0"/>
              <w:rPr>
                <w:sz w:val="20"/>
                <w:szCs w:val="20"/>
                <w:color w:val="auto"/>
              </w:rPr>
            </w:pPr>
            <w:r>
              <w:rPr>
                <w:rFonts w:ascii="Times New Roman" w:cs="Times New Roman" w:eastAsia="Times New Roman" w:hAnsi="Times New Roman"/>
                <w:sz w:val="8"/>
                <w:szCs w:val="8"/>
                <w:color w:val="auto"/>
              </w:rPr>
              <w:t>The Nasdaq Stock Market LLC</w:t>
            </w:r>
          </w:p>
        </w:tc>
      </w:tr>
    </w:tbl>
    <w:p>
      <w:pPr>
        <w:spacing w:after="0" w:line="39" w:lineRule="exact"/>
        <w:rPr>
          <w:sz w:val="24"/>
          <w:szCs w:val="24"/>
          <w:color w:val="auto"/>
        </w:rPr>
      </w:pPr>
    </w:p>
    <w:p>
      <w:pPr>
        <w:ind w:right="160" w:firstLine="216"/>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ind w:firstLine="216"/>
        <w:spacing w:after="0" w:line="13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6120" w:type="dxa"/>
            <w:vAlign w:val="bottom"/>
          </w:tcPr>
          <w:p>
            <w:pPr>
              <w:spacing w:after="0"/>
              <w:rPr>
                <w:sz w:val="20"/>
                <w:szCs w:val="20"/>
                <w:color w:val="auto"/>
              </w:rPr>
            </w:pPr>
            <w:r>
              <w:rPr>
                <w:rFonts w:ascii="Times New Roman" w:cs="Times New Roman" w:eastAsia="Times New Roman" w:hAnsi="Times New Roman"/>
                <w:sz w:val="11"/>
                <w:szCs w:val="11"/>
                <w:color w:val="auto"/>
              </w:rPr>
              <w:t>“accelerated filer,” “smaller reporting company,” and “emerging growth company” in Rule 12b-2 of the Exchange Act.</w:t>
            </w:r>
          </w:p>
        </w:tc>
        <w:tc>
          <w:tcPr>
            <w:tcW w:w="2280" w:type="dxa"/>
            <w:vAlign w:val="bottom"/>
          </w:tcPr>
          <w:p>
            <w:pPr>
              <w:spacing w:after="0"/>
              <w:rPr>
                <w:sz w:val="12"/>
                <w:szCs w:val="12"/>
                <w:color w:val="auto"/>
              </w:rPr>
            </w:pPr>
          </w:p>
        </w:tc>
      </w:tr>
      <w:tr>
        <w:trPr>
          <w:trHeight w:val="241"/>
        </w:trPr>
        <w:tc>
          <w:tcPr>
            <w:tcW w:w="6120" w:type="dxa"/>
            <w:vAlign w:val="bottom"/>
          </w:tcPr>
          <w:p>
            <w:pPr>
              <w:jc w:val="center"/>
              <w:ind w:right="1026"/>
              <w:spacing w:after="0" w:line="148" w:lineRule="exact"/>
              <w:rPr>
                <w:sz w:val="20"/>
                <w:szCs w:val="20"/>
                <w:color w:val="auto"/>
              </w:rPr>
            </w:pPr>
            <w:r>
              <w:rPr>
                <w:rFonts w:ascii="Times New Roman" w:cs="Times New Roman" w:eastAsia="Times New Roman" w:hAnsi="Times New Roman"/>
                <w:sz w:val="11"/>
                <w:szCs w:val="11"/>
                <w:color w:val="auto"/>
                <w:w w:val="98"/>
              </w:rPr>
              <w:t xml:space="preserve">Large accelerated filer </w:t>
            </w:r>
            <w:r>
              <w:rPr>
                <w:rFonts w:ascii="Arial Unicode MS" w:cs="Arial Unicode MS" w:eastAsia="Arial Unicode MS" w:hAnsi="Arial Unicode MS"/>
                <w:sz w:val="11"/>
                <w:szCs w:val="11"/>
                <w:color w:val="auto"/>
                <w:w w:val="98"/>
              </w:rPr>
              <w:t>☐</w:t>
            </w:r>
          </w:p>
        </w:tc>
        <w:tc>
          <w:tcPr>
            <w:tcW w:w="2280" w:type="dxa"/>
            <w:vAlign w:val="bottom"/>
          </w:tcPr>
          <w:p>
            <w:pPr>
              <w:ind w:left="1200"/>
              <w:spacing w:after="0" w:line="148"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Arial Unicode MS" w:cs="Arial Unicode MS" w:eastAsia="Arial Unicode MS" w:hAnsi="Arial Unicode MS"/>
                <w:sz w:val="11"/>
                <w:szCs w:val="11"/>
                <w:color w:val="auto"/>
              </w:rPr>
              <w:t>⌧</w:t>
            </w:r>
          </w:p>
        </w:tc>
      </w:tr>
      <w:tr>
        <w:trPr>
          <w:trHeight w:val="279"/>
        </w:trPr>
        <w:tc>
          <w:tcPr>
            <w:tcW w:w="6120" w:type="dxa"/>
            <w:vAlign w:val="bottom"/>
          </w:tcPr>
          <w:p>
            <w:pPr>
              <w:jc w:val="center"/>
              <w:ind w:right="1026"/>
              <w:spacing w:after="0" w:line="148" w:lineRule="exact"/>
              <w:rPr>
                <w:sz w:val="20"/>
                <w:szCs w:val="20"/>
                <w:color w:val="auto"/>
              </w:rPr>
            </w:pPr>
            <w:r>
              <w:rPr>
                <w:rFonts w:ascii="Times New Roman" w:cs="Times New Roman" w:eastAsia="Times New Roman" w:hAnsi="Times New Roman"/>
                <w:sz w:val="11"/>
                <w:szCs w:val="11"/>
                <w:color w:val="auto"/>
                <w:w w:val="99"/>
              </w:rPr>
              <w:t xml:space="preserve">Non-accelerated filer </w:t>
            </w:r>
            <w:r>
              <w:rPr>
                <w:rFonts w:ascii="Arial Unicode MS" w:cs="Arial Unicode MS" w:eastAsia="Arial Unicode MS" w:hAnsi="Arial Unicode MS"/>
                <w:sz w:val="11"/>
                <w:szCs w:val="11"/>
                <w:color w:val="auto"/>
                <w:w w:val="99"/>
              </w:rPr>
              <w:t>☐</w:t>
            </w:r>
          </w:p>
        </w:tc>
        <w:tc>
          <w:tcPr>
            <w:tcW w:w="2280" w:type="dxa"/>
            <w:vAlign w:val="bottom"/>
          </w:tcPr>
          <w:p>
            <w:pPr>
              <w:ind w:left="980"/>
              <w:spacing w:after="0" w:line="148" w:lineRule="exact"/>
              <w:rPr>
                <w:sz w:val="20"/>
                <w:szCs w:val="20"/>
                <w:color w:val="auto"/>
              </w:rPr>
            </w:pPr>
            <w:r>
              <w:rPr>
                <w:rFonts w:ascii="Times New Roman" w:cs="Times New Roman" w:eastAsia="Times New Roman" w:hAnsi="Times New Roman"/>
                <w:sz w:val="11"/>
                <w:szCs w:val="11"/>
                <w:color w:val="auto"/>
                <w:w w:val="97"/>
              </w:rPr>
              <w:t xml:space="preserve">Smaller reporting company </w:t>
            </w:r>
            <w:r>
              <w:rPr>
                <w:rFonts w:ascii="Arial Unicode MS" w:cs="Arial Unicode MS" w:eastAsia="Arial Unicode MS" w:hAnsi="Arial Unicode MS"/>
                <w:sz w:val="11"/>
                <w:szCs w:val="11"/>
                <w:color w:val="auto"/>
                <w:w w:val="97"/>
              </w:rPr>
              <w:t>☐</w:t>
            </w:r>
          </w:p>
        </w:tc>
      </w:tr>
      <w:tr>
        <w:trPr>
          <w:trHeight w:val="279"/>
        </w:trPr>
        <w:tc>
          <w:tcPr>
            <w:tcW w:w="6120" w:type="dxa"/>
            <w:vAlign w:val="bottom"/>
          </w:tcPr>
          <w:p>
            <w:pPr>
              <w:spacing w:after="0"/>
              <w:rPr>
                <w:sz w:val="24"/>
                <w:szCs w:val="24"/>
                <w:color w:val="auto"/>
              </w:rPr>
            </w:pPr>
          </w:p>
        </w:tc>
        <w:tc>
          <w:tcPr>
            <w:tcW w:w="2280" w:type="dxa"/>
            <w:vAlign w:val="bottom"/>
          </w:tcPr>
          <w:p>
            <w:pPr>
              <w:ind w:left="980"/>
              <w:spacing w:after="0" w:line="148" w:lineRule="exact"/>
              <w:rPr>
                <w:sz w:val="20"/>
                <w:szCs w:val="20"/>
                <w:color w:val="auto"/>
              </w:rPr>
            </w:pPr>
            <w:r>
              <w:rPr>
                <w:rFonts w:ascii="Times New Roman" w:cs="Times New Roman" w:eastAsia="Times New Roman" w:hAnsi="Times New Roman"/>
                <w:sz w:val="11"/>
                <w:szCs w:val="11"/>
                <w:color w:val="auto"/>
                <w:w w:val="97"/>
              </w:rPr>
              <w:t xml:space="preserve">Emerging growth company </w:t>
            </w:r>
            <w:r>
              <w:rPr>
                <w:rFonts w:ascii="Arial Unicode MS" w:cs="Arial Unicode MS" w:eastAsia="Arial Unicode MS" w:hAnsi="Arial Unicode MS"/>
                <w:sz w:val="11"/>
                <w:szCs w:val="11"/>
                <w:color w:val="auto"/>
                <w:w w:val="97"/>
              </w:rPr>
              <w:t>☐</w:t>
            </w:r>
          </w:p>
        </w:tc>
      </w:tr>
    </w:tbl>
    <w:p>
      <w:pPr>
        <w:spacing w:after="0" w:line="118" w:lineRule="exact"/>
        <w:rPr>
          <w:sz w:val="24"/>
          <w:szCs w:val="24"/>
          <w:color w:val="auto"/>
        </w:rPr>
      </w:pPr>
    </w:p>
    <w:p>
      <w:pPr>
        <w:ind w:right="100" w:firstLine="216"/>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ind w:left="220"/>
        <w:spacing w:after="0" w:line="145" w:lineRule="exact"/>
        <w:tabs>
          <w:tab w:leader="none" w:pos="552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ab/>
        <w:t xml:space="preserve">No </w:t>
      </w:r>
      <w:r>
        <w:rPr>
          <w:rFonts w:ascii="Arial Unicode MS" w:cs="Arial Unicode MS" w:eastAsia="Arial Unicode MS" w:hAnsi="Arial Unicode MS"/>
          <w:sz w:val="11"/>
          <w:szCs w:val="11"/>
          <w:color w:val="auto"/>
        </w:rPr>
        <w:t>⌧</w:t>
      </w:r>
    </w:p>
    <w:p>
      <w:pPr>
        <w:spacing w:after="0" w:line="11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1"/>
          <w:szCs w:val="11"/>
          <w:color w:val="auto"/>
        </w:rPr>
        <w:t>As of May 10, 2022, the registrant had outstanding 15,744,687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617220</wp:posOffset>
            </wp:positionV>
            <wp:extent cx="65379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53796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80010</wp:posOffset>
            </wp:positionV>
            <wp:extent cx="65379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ectPr>
          <w:pgSz w:w="11900" w:h="16838" w:orient="portrait"/>
          <w:cols w:equalWidth="0" w:num="1">
            <w:col w:w="10280"/>
          </w:cols>
          <w:pgMar w:left="800" w:top="489" w:right="81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38"/>
        </w:trPr>
        <w:tc>
          <w:tcPr>
            <w:tcW w:w="768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280" w:type="dxa"/>
            <w:vAlign w:val="bottom"/>
          </w:tcPr>
          <w:p>
            <w:pPr>
              <w:spacing w:after="0"/>
              <w:rPr>
                <w:sz w:val="12"/>
                <w:szCs w:val="12"/>
                <w:color w:val="auto"/>
              </w:rPr>
            </w:pPr>
          </w:p>
        </w:tc>
      </w:tr>
      <w:tr>
        <w:trPr>
          <w:trHeight w:val="851"/>
        </w:trPr>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9"/>
          </w:tcPr>
          <w:p>
            <w:pPr>
              <w:jc w:val="center"/>
              <w:ind w:right="2240"/>
              <w:spacing w:after="0"/>
              <w:rPr>
                <w:sz w:val="20"/>
                <w:szCs w:val="20"/>
                <w:color w:val="auto"/>
              </w:rPr>
            </w:pPr>
            <w:r>
              <w:rPr>
                <w:rFonts w:ascii="Times New Roman" w:cs="Times New Roman" w:eastAsia="Times New Roman" w:hAnsi="Times New Roman"/>
                <w:sz w:val="12"/>
                <w:szCs w:val="12"/>
                <w:b w:val="1"/>
                <w:bCs w:val="1"/>
                <w:color w:val="auto"/>
                <w:w w:val="98"/>
              </w:rPr>
              <w:t>ATN INTERNATIONAL, INC.</w:t>
            </w:r>
          </w:p>
        </w:tc>
        <w:tc>
          <w:tcPr>
            <w:tcW w:w="128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60" w:type="dxa"/>
            <w:vAlign w:val="bottom"/>
            <w:gridSpan w:val="8"/>
          </w:tcPr>
          <w:p>
            <w:pPr>
              <w:jc w:val="center"/>
              <w:ind w:right="2520"/>
              <w:spacing w:after="0"/>
              <w:rPr>
                <w:sz w:val="20"/>
                <w:szCs w:val="20"/>
                <w:color w:val="auto"/>
              </w:rPr>
            </w:pPr>
            <w:r>
              <w:rPr>
                <w:rFonts w:ascii="Times New Roman" w:cs="Times New Roman" w:eastAsia="Times New Roman" w:hAnsi="Times New Roman"/>
                <w:sz w:val="12"/>
                <w:szCs w:val="12"/>
                <w:color w:val="auto"/>
              </w:rPr>
              <w:t>FORM 10-Q</w:t>
            </w:r>
          </w:p>
        </w:tc>
        <w:tc>
          <w:tcPr>
            <w:tcW w:w="1280" w:type="dxa"/>
            <w:vAlign w:val="bottom"/>
          </w:tcPr>
          <w:p>
            <w:pPr>
              <w:spacing w:after="0"/>
              <w:rPr>
                <w:sz w:val="13"/>
                <w:szCs w:val="13"/>
                <w:color w:val="auto"/>
              </w:rPr>
            </w:pPr>
          </w:p>
        </w:tc>
      </w:tr>
      <w:tr>
        <w:trPr>
          <w:trHeight w:val="28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9"/>
          </w:tcPr>
          <w:p>
            <w:pPr>
              <w:jc w:val="center"/>
              <w:ind w:right="2220"/>
              <w:spacing w:after="0"/>
              <w:rPr>
                <w:sz w:val="20"/>
                <w:szCs w:val="20"/>
                <w:color w:val="auto"/>
              </w:rPr>
            </w:pPr>
            <w:r>
              <w:rPr>
                <w:rFonts w:ascii="Times New Roman" w:cs="Times New Roman" w:eastAsia="Times New Roman" w:hAnsi="Times New Roman"/>
                <w:sz w:val="12"/>
                <w:szCs w:val="12"/>
                <w:color w:val="auto"/>
              </w:rPr>
              <w:t>Quarter Ended March 31, 2022</w:t>
            </w:r>
          </w:p>
        </w:tc>
        <w:tc>
          <w:tcPr>
            <w:tcW w:w="1280" w:type="dxa"/>
            <w:vAlign w:val="bottom"/>
          </w:tcPr>
          <w:p>
            <w:pPr>
              <w:spacing w:after="0"/>
              <w:rPr>
                <w:sz w:val="24"/>
                <w:szCs w:val="24"/>
                <w:color w:val="auto"/>
              </w:rPr>
            </w:pPr>
          </w:p>
        </w:tc>
      </w:tr>
      <w:tr>
        <w:trPr>
          <w:trHeight w:val="270"/>
        </w:trPr>
        <w:tc>
          <w:tcPr>
            <w:tcW w:w="4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2"/>
                <w:szCs w:val="12"/>
                <w:color w:val="0000EE"/>
                <w:w w:val="97"/>
              </w:rPr>
              <w:t>CAUTIONARY STATEMENT REGARDING FORWARD LOOKING STATEMENTS</w:t>
            </w:r>
          </w:p>
        </w:tc>
        <w:tc>
          <w:tcPr>
            <w:tcW w:w="3460" w:type="dxa"/>
            <w:vAlign w:val="bottom"/>
            <w:gridSpan w:val="7"/>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68"/>
        </w:trPr>
        <w:tc>
          <w:tcPr>
            <w:tcW w:w="768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PART I—FINANCIAL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EE"/>
                <w:w w:val="96"/>
              </w:rPr>
              <w:t>Item 1</w:t>
            </w:r>
          </w:p>
        </w:tc>
        <w:tc>
          <w:tcPr>
            <w:tcW w:w="300" w:type="dxa"/>
            <w:vAlign w:val="bottom"/>
            <w:gridSpan w:val="3"/>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Unaudited Condensed Consolidated 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Condensed Consolidated Balance Sheets at March 31, 2022 and December 31, 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2"/>
                <w:szCs w:val="12"/>
                <w:color w:val="0000EE"/>
                <w:w w:val="99"/>
              </w:rPr>
              <w:t>Condensed Consolidated Statements of Operations for the Three Months Ended March 31, 2022 and 2021</w:t>
            </w:r>
          </w:p>
        </w:tc>
        <w:tc>
          <w:tcPr>
            <w:tcW w:w="1960" w:type="dxa"/>
            <w:vAlign w:val="bottom"/>
            <w:gridSpan w:val="2"/>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Condensed Consolidated Statements of Comprehensive Income (Loss) for the Three Months Ended March 31, 2022 and 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9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2"/>
                <w:szCs w:val="12"/>
                <w:color w:val="0000EE"/>
                <w:w w:val="99"/>
              </w:rPr>
              <w:t>Condensed Consolidated Statements of Equity for the Three Months Ended March 31, 2022 and 2021</w:t>
            </w:r>
          </w:p>
        </w:tc>
        <w:tc>
          <w:tcPr>
            <w:tcW w:w="1140" w:type="dxa"/>
            <w:vAlign w:val="bottom"/>
            <w:tcBorders>
              <w:top w:val="single" w:sz="8" w:color="0000EE"/>
            </w:tcBorders>
            <w:gridSpan w:val="3"/>
          </w:tcPr>
          <w:p>
            <w:pPr>
              <w:spacing w:after="0"/>
              <w:rPr>
                <w:sz w:val="23"/>
                <w:szCs w:val="23"/>
                <w:color w:val="auto"/>
              </w:rPr>
            </w:pPr>
          </w:p>
        </w:tc>
        <w:tc>
          <w:tcPr>
            <w:tcW w:w="10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2"/>
                <w:szCs w:val="12"/>
                <w:color w:val="0000EE"/>
                <w:w w:val="99"/>
              </w:rPr>
              <w:t>Condensed Consolidated Statements of Cash Flows for Three Months Ended March 31, 2022 and 2021</w:t>
            </w:r>
          </w:p>
        </w:tc>
        <w:tc>
          <w:tcPr>
            <w:tcW w:w="2100" w:type="dxa"/>
            <w:vAlign w:val="bottom"/>
            <w:gridSpan w:val="3"/>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268"/>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9"/>
              </w:rPr>
              <w:t>Notes to Unaudited Condensed Consolidated Financial Statements</w:t>
            </w:r>
          </w:p>
        </w:tc>
        <w:tc>
          <w:tcPr>
            <w:tcW w:w="3860" w:type="dxa"/>
            <w:vAlign w:val="bottom"/>
            <w:gridSpan w:val="8"/>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2</w:t>
            </w:r>
          </w:p>
        </w:tc>
        <w:tc>
          <w:tcPr>
            <w:tcW w:w="280" w:type="dxa"/>
            <w:vAlign w:val="bottom"/>
            <w:gridSpan w:val="2"/>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38-59</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4"/>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3</w:t>
            </w:r>
          </w:p>
        </w:tc>
        <w:tc>
          <w:tcPr>
            <w:tcW w:w="280" w:type="dxa"/>
            <w:vAlign w:val="bottom"/>
            <w:gridSpan w:val="2"/>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160" w:type="dxa"/>
            <w:vAlign w:val="bottom"/>
            <w:tcBorders>
              <w:left w:val="single" w:sz="8" w:color="0000EE"/>
            </w:tcBorders>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0000EE"/>
                <w:w w:val="96"/>
              </w:rPr>
              <w:t>Item 4</w:t>
            </w:r>
          </w:p>
        </w:tc>
        <w:tc>
          <w:tcPr>
            <w:tcW w:w="2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Controls and Procedures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1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w w:val="97"/>
              </w:rPr>
              <w:t>PART II—OTHER INFORMATION</w:t>
            </w:r>
          </w:p>
        </w:tc>
        <w:tc>
          <w:tcPr>
            <w:tcW w:w="5880" w:type="dxa"/>
            <w:vAlign w:val="bottom"/>
            <w:gridSpan w:val="12"/>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1</w:t>
            </w:r>
          </w:p>
        </w:tc>
        <w:tc>
          <w:tcPr>
            <w:tcW w:w="280" w:type="dxa"/>
            <w:vAlign w:val="bottom"/>
            <w:gridSpan w:val="2"/>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Legal Proceedings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4"/>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400" w:type="dxa"/>
            <w:vAlign w:val="bottom"/>
            <w:gridSpan w:val="3"/>
          </w:tcPr>
          <w:p>
            <w:pPr>
              <w:spacing w:after="0"/>
              <w:rPr>
                <w:sz w:val="20"/>
                <w:szCs w:val="20"/>
                <w:color w:val="auto"/>
              </w:rPr>
            </w:pPr>
            <w:r>
              <w:rPr>
                <w:rFonts w:ascii="Times New Roman" w:cs="Times New Roman" w:eastAsia="Times New Roman" w:hAnsi="Times New Roman"/>
                <w:sz w:val="12"/>
                <w:szCs w:val="12"/>
                <w:color w:val="0000EE"/>
                <w:w w:val="95"/>
              </w:rPr>
              <w:t>Item 1A</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940" w:type="dxa"/>
            <w:vAlign w:val="bottom"/>
            <w:gridSpan w:val="17"/>
          </w:tcPr>
          <w:p>
            <w:pPr>
              <w:spacing w:after="0"/>
              <w:rPr>
                <w:sz w:val="20"/>
                <w:szCs w:val="20"/>
                <w:color w:val="auto"/>
              </w:rPr>
            </w:pPr>
            <w:r>
              <w:rPr>
                <w:rFonts w:ascii="Times New Roman" w:cs="Times New Roman" w:eastAsia="Times New Roman" w:hAnsi="Times New Roman"/>
                <w:sz w:val="12"/>
                <w:szCs w:val="12"/>
                <w:color w:val="0000EE"/>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20" w:type="dxa"/>
            <w:vAlign w:val="bottom"/>
            <w:tcBorders>
              <w:left w:val="single" w:sz="8" w:color="0000EE"/>
            </w:tcBorders>
            <w:gridSpan w:val="4"/>
            <w:shd w:val="clear" w:color="auto" w:fill="0000EE"/>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5</w:t>
            </w:r>
          </w:p>
        </w:tc>
        <w:tc>
          <w:tcPr>
            <w:tcW w:w="280" w:type="dxa"/>
            <w:vAlign w:val="bottom"/>
            <w:gridSpan w:val="2"/>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18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Item 6</w:t>
            </w:r>
          </w:p>
        </w:tc>
        <w:tc>
          <w:tcPr>
            <w:tcW w:w="280" w:type="dxa"/>
            <w:vAlign w:val="bottom"/>
            <w:gridSpan w:val="2"/>
          </w:tcPr>
          <w:p>
            <w:pPr>
              <w:spacing w:after="0"/>
              <w:rPr>
                <w:sz w:val="23"/>
                <w:szCs w:val="23"/>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Exhibits</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6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8"/>
        </w:trPr>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3"/>
              </w:rPr>
              <w:t>SIGNATURES</w:t>
            </w:r>
          </w:p>
        </w:tc>
        <w:tc>
          <w:tcPr>
            <w:tcW w:w="6940" w:type="dxa"/>
            <w:vAlign w:val="bottom"/>
            <w:gridSpan w:val="17"/>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295"/>
        </w:trPr>
        <w:tc>
          <w:tcPr>
            <w:tcW w:w="7680" w:type="dxa"/>
            <w:vAlign w:val="bottom"/>
            <w:gridSpan w:val="22"/>
          </w:tcPr>
          <w:p>
            <w:pPr>
              <w:spacing w:after="0"/>
              <w:rPr>
                <w:sz w:val="20"/>
                <w:szCs w:val="20"/>
                <w:color w:val="auto"/>
              </w:rPr>
            </w:pPr>
            <w:r>
              <w:rPr>
                <w:rFonts w:ascii="Times New Roman" w:cs="Times New Roman" w:eastAsia="Times New Roman" w:hAnsi="Times New Roman"/>
                <w:sz w:val="12"/>
                <w:szCs w:val="12"/>
                <w:color w:val="auto"/>
              </w:rPr>
              <w:t>CERTIFICATIONS</w:t>
            </w:r>
          </w:p>
        </w:tc>
        <w:tc>
          <w:tcPr>
            <w:tcW w:w="1280" w:type="dxa"/>
            <w:vAlign w:val="bottom"/>
          </w:tcPr>
          <w:p>
            <w:pPr>
              <w:spacing w:after="0"/>
              <w:rPr>
                <w:sz w:val="24"/>
                <w:szCs w:val="24"/>
                <w:color w:val="auto"/>
              </w:rPr>
            </w:pPr>
          </w:p>
        </w:tc>
      </w:tr>
      <w:tr>
        <w:trPr>
          <w:trHeight w:val="72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gridSpan w:val="12"/>
          </w:tcPr>
          <w:p>
            <w:pPr>
              <w:jc w:val="center"/>
              <w:ind w:left="3640"/>
              <w:spacing w:after="0"/>
              <w:rPr>
                <w:sz w:val="20"/>
                <w:szCs w:val="20"/>
                <w:color w:val="auto"/>
              </w:rPr>
            </w:pPr>
            <w:r>
              <w:rPr>
                <w:rFonts w:ascii="Times New Roman" w:cs="Times New Roman" w:eastAsia="Times New Roman" w:hAnsi="Times New Roman"/>
                <w:sz w:val="12"/>
                <w:szCs w:val="12"/>
                <w:color w:val="auto"/>
                <w:w w:val="99"/>
              </w:rPr>
              <w:t>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7"/>
        </w:trPr>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This Quarterly Report on Form 10-Q (or the “Report”) contains forward-looking statements relating to, among other matters, our future financial performance and results of operations, including our expectations regarding the benefits of our acquisition of Alaska Communications; the impact of federal support program revenues; the impact of COVID-19 on the economies of the markets we serve, and on our business and operations; expectations regarding future revenue, operating income, EBITDA and capital expenditures; the competitive environment in our key markets, demand for our services and industry trends; our expectations regarding construction progress under our agreement as part of the FirstNet Transaction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our ability to successfully transition our U.S. Telecom business away from wholesale wireless to other carrier and consumer-based services; (2) the general performance of our operations, including operating margins, revenues, capital expenditures, and the retention of and future growth of our subscriber base and ARPU; (3) our ability to realize cost synergies and expansion plans for our newly acquired Alaska Communications business;</w:t>
      </w:r>
    </w:p>
    <w:p>
      <w:pPr>
        <w:spacing w:after="0" w:line="3" w:lineRule="exact"/>
        <w:rPr>
          <w:sz w:val="20"/>
          <w:szCs w:val="20"/>
          <w:color w:val="auto"/>
        </w:rPr>
      </w:pPr>
    </w:p>
    <w:p>
      <w:pPr>
        <w:jc w:val="both"/>
        <w:ind w:left="20" w:right="39" w:firstLine="2"/>
        <w:spacing w:after="0" w:line="250" w:lineRule="auto"/>
        <w:tabs>
          <w:tab w:leader="none" w:pos="19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satisfy the needs and demands of our major carrier customers; (5) our ability to efficiently and cost-effectively upgrade our networks and IT platforms to address rapid and significant technological changes in the telecommunications industry; (6) government subsidy program availability and regulation of our businesses, which may impact our revenue, expansion plans and operating costs; (7) our reliance on a limited number of key suppliers and vendors for timely supply of equipment and services relating to our network infrastructure;</w:t>
      </w:r>
    </w:p>
    <w:p>
      <w:pPr>
        <w:jc w:val="both"/>
        <w:ind w:left="20" w:right="39" w:firstLine="2"/>
        <w:spacing w:after="0" w:line="251" w:lineRule="auto"/>
        <w:tabs>
          <w:tab w:leader="none" w:pos="19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political and other risks and opportunities facing our operations, including those resulting from the pandemic, geopolitical tensions, including the Ukraine invasion, and inflation, including increased costs and supply chain disruptions; (9) the loss of or an inability to recruit skilled personnel in our various jurisdictions, including key members of management; (10) our ability to find investment or acquisition or disposition opportunities that fit the strategic goals of the Company; (11) the occurrence of weather events and natural catastrophes and our ability to secure the appropriate level of insurance coverage for these assets; (12) increased competition; (13) the adequacy and expansion capabilities of our network capacity and customer service system to support our customer growth; and (14) our continued access to capital and credit markets. These and other additional factors that may cause actual future events and results to differ materially from the events and results indicated in the forward-looking statements above are set forth more fully under Item 1A “Risk Factors” in each of the Company’s Annual Report on Form 10-K for the year ended December 31, 2021, filed with the SEC on March 16, 2022, and the other reports we file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130"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Reference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Item 1.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5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100" w:type="dxa"/>
            <w:vAlign w:val="bottom"/>
          </w:tcPr>
          <w:p>
            <w:pPr>
              <w:spacing w:after="0"/>
              <w:rPr>
                <w:sz w:val="7"/>
                <w:szCs w:val="7"/>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03"/>
        </w:trPr>
        <w:tc>
          <w:tcPr>
            <w:tcW w:w="5600" w:type="dxa"/>
            <w:vAlign w:val="bottom"/>
            <w:tcBorders>
              <w:bottom w:val="single" w:sz="8" w:color="CCEEFF"/>
            </w:tcBorders>
          </w:tcPr>
          <w:p>
            <w:pPr>
              <w:spacing w:after="0"/>
              <w:rPr>
                <w:sz w:val="8"/>
                <w:szCs w:val="8"/>
                <w:color w:val="auto"/>
              </w:rPr>
            </w:pPr>
          </w:p>
        </w:tc>
        <w:tc>
          <w:tcPr>
            <w:tcW w:w="15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2021</w:t>
            </w:r>
          </w:p>
        </w:tc>
      </w:tr>
      <w:tr>
        <w:trPr>
          <w:trHeight w:val="88"/>
        </w:trPr>
        <w:tc>
          <w:tcPr>
            <w:tcW w:w="5600" w:type="dxa"/>
            <w:vAlign w:val="bottom"/>
            <w:shd w:val="clear" w:color="auto" w:fill="CCEEFF"/>
          </w:tcPr>
          <w:p>
            <w:pPr>
              <w:ind w:left="3320"/>
              <w:spacing w:after="0" w:line="88" w:lineRule="exact"/>
              <w:rPr>
                <w:sz w:val="20"/>
                <w:szCs w:val="20"/>
                <w:color w:val="auto"/>
              </w:rPr>
            </w:pPr>
            <w:r>
              <w:rPr>
                <w:rFonts w:ascii="Times New Roman" w:cs="Times New Roman" w:eastAsia="Times New Roman" w:hAnsi="Times New Roman"/>
                <w:sz w:val="10"/>
                <w:szCs w:val="10"/>
                <w:b w:val="1"/>
                <w:bCs w:val="1"/>
                <w:color w:val="auto"/>
              </w:rPr>
              <w:t>ASSETS</w:t>
            </w:r>
          </w:p>
        </w:tc>
        <w:tc>
          <w:tcPr>
            <w:tcW w:w="1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1700" w:type="dxa"/>
            <w:vAlign w:val="bottom"/>
            <w:gridSpan w:val="2"/>
            <w:shd w:val="clear" w:color="auto" w:fill="CCEEFF"/>
          </w:tcPr>
          <w:p>
            <w:pPr>
              <w:jc w:val="right"/>
              <w:ind w:right="76"/>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75,748</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79,601</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Restricted cash</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1,097</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1,096</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Short-term investments</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receivable, net of allowances for credit losses of $15.0 million and $13.9 million, respectively</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70,109</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73,701</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Customer receivable</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4,336</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4,145</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Inventory, materials and supplies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9,984</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10,177</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15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59,267</w:t>
            </w:r>
          </w:p>
        </w:tc>
        <w:tc>
          <w:tcPr>
            <w:tcW w:w="1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63,597</w:t>
            </w:r>
          </w:p>
        </w:tc>
      </w:tr>
      <w:tr>
        <w:trPr>
          <w:trHeight w:val="88"/>
        </w:trPr>
        <w:tc>
          <w:tcPr>
            <w:tcW w:w="560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15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220,841</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232,617</w:t>
            </w:r>
          </w:p>
        </w:tc>
      </w:tr>
      <w:tr>
        <w:trPr>
          <w:trHeight w:val="88"/>
        </w:trPr>
        <w:tc>
          <w:tcPr>
            <w:tcW w:w="5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Fixed Assets:</w:t>
            </w:r>
          </w:p>
        </w:tc>
        <w:tc>
          <w:tcPr>
            <w:tcW w:w="1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Property, plant and equipment</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1,759,855</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1,748,092</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Less accumulated depreciation</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(825,980)</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(804,883)</w:t>
            </w:r>
          </w:p>
        </w:tc>
      </w:tr>
      <w:tr>
        <w:trPr>
          <w:trHeight w:val="88"/>
        </w:trPr>
        <w:tc>
          <w:tcPr>
            <w:tcW w:w="560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Net fixed assets</w:t>
            </w:r>
          </w:p>
        </w:tc>
        <w:tc>
          <w:tcPr>
            <w:tcW w:w="1560" w:type="dxa"/>
            <w:vAlign w:val="bottom"/>
            <w:tcBorders>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933,875</w:t>
            </w:r>
          </w:p>
        </w:tc>
        <w:tc>
          <w:tcPr>
            <w:tcW w:w="16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943,209</w:t>
            </w:r>
          </w:p>
        </w:tc>
      </w:tr>
      <w:tr>
        <w:trPr>
          <w:trHeight w:val="88"/>
        </w:trPr>
        <w:tc>
          <w:tcPr>
            <w:tcW w:w="5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Telecommunication licenses, net</w:t>
            </w:r>
          </w:p>
        </w:tc>
        <w:tc>
          <w:tcPr>
            <w:tcW w:w="1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113,766</w:t>
            </w: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113,766</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Intangible assets, net</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41,067</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44,294</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118,091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118,843</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 long term</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40,206</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39,652</w:t>
            </w:r>
          </w:p>
        </w:tc>
      </w:tr>
      <w:tr>
        <w:trPr>
          <w:trHeight w:val="99"/>
        </w:trPr>
        <w:tc>
          <w:tcPr>
            <w:tcW w:w="560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15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82,757</w:t>
            </w: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76,119</w:t>
            </w:r>
          </w:p>
        </w:tc>
      </w:tr>
      <w:tr>
        <w:trPr>
          <w:trHeight w:val="108"/>
        </w:trPr>
        <w:tc>
          <w:tcPr>
            <w:tcW w:w="5600" w:type="dxa"/>
            <w:vAlign w:val="bottom"/>
            <w:tcBorders>
              <w:bottom w:val="single" w:sz="8" w:color="CCEEFF"/>
            </w:tcBorders>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15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1,590,707</w:t>
            </w: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1,608,604</w:t>
            </w:r>
          </w:p>
        </w:tc>
      </w:tr>
      <w:tr>
        <w:trPr>
          <w:trHeight w:val="86"/>
        </w:trPr>
        <w:tc>
          <w:tcPr>
            <w:tcW w:w="5600" w:type="dxa"/>
            <w:vAlign w:val="bottom"/>
          </w:tcPr>
          <w:p>
            <w:pPr>
              <w:ind w:left="1760"/>
              <w:spacing w:after="0" w:line="86" w:lineRule="exact"/>
              <w:rPr>
                <w:sz w:val="20"/>
                <w:szCs w:val="20"/>
                <w:color w:val="auto"/>
              </w:rPr>
            </w:pPr>
            <w:r>
              <w:rPr>
                <w:rFonts w:ascii="Times New Roman" w:cs="Times New Roman" w:eastAsia="Times New Roman" w:hAnsi="Times New Roman"/>
                <w:sz w:val="8"/>
                <w:szCs w:val="8"/>
                <w:b w:val="1"/>
                <w:bCs w:val="1"/>
                <w:color w:val="auto"/>
              </w:rPr>
              <w:t>LIABILITIES, REDEEMABLE NONCONTROLLING INTERESTS AND EQUITY</w:t>
            </w: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1700" w:type="dxa"/>
            <w:vAlign w:val="bottom"/>
            <w:gridSpan w:val="2"/>
          </w:tcPr>
          <w:p>
            <w:pPr>
              <w:jc w:val="right"/>
              <w:ind w:right="76"/>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3,743</w:t>
            </w:r>
          </w:p>
        </w:tc>
        <w:tc>
          <w:tcPr>
            <w:tcW w:w="16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4,665</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customer receivable credit facility</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5,280</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4,620</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payable and accrued liabilities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113,698</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151,463</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Dividends payable</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2,676</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2,672</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Accrued taxes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6,680</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5,681</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lease liabilities</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16,953</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16,201</w:t>
            </w:r>
          </w:p>
        </w:tc>
      </w:tr>
      <w:tr>
        <w:trPr>
          <w:trHeight w:val="99"/>
        </w:trPr>
        <w:tc>
          <w:tcPr>
            <w:tcW w:w="560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Advance payments and deposits</w:t>
            </w:r>
          </w:p>
        </w:tc>
        <w:tc>
          <w:tcPr>
            <w:tcW w:w="15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35,696</w:t>
            </w: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35,642</w:t>
            </w:r>
          </w:p>
        </w:tc>
      </w:tr>
      <w:tr>
        <w:trPr>
          <w:trHeight w:val="88"/>
        </w:trPr>
        <w:tc>
          <w:tcPr>
            <w:tcW w:w="560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156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184,726</w:t>
            </w:r>
          </w:p>
        </w:tc>
        <w:tc>
          <w:tcPr>
            <w:tcW w:w="16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220,944</w:t>
            </w:r>
          </w:p>
        </w:tc>
      </w:tr>
      <w:tr>
        <w:trPr>
          <w:trHeight w:val="88"/>
        </w:trPr>
        <w:tc>
          <w:tcPr>
            <w:tcW w:w="56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Deferred income taxes</w:t>
            </w: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21,651</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21,460</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Lease liabilities, excluding current portion</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91,494</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91,719</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Other liabilities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140,246</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142,033</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credit facility, net of current portion</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36,515</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30,148</w:t>
            </w:r>
          </w:p>
        </w:tc>
      </w:tr>
      <w:tr>
        <w:trPr>
          <w:trHeight w:val="99"/>
        </w:trPr>
        <w:tc>
          <w:tcPr>
            <w:tcW w:w="560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0"/>
                <w:szCs w:val="10"/>
                <w:color w:val="auto"/>
              </w:rPr>
              <w:t>Long-term debt, excluding current portion</w:t>
            </w:r>
          </w:p>
        </w:tc>
        <w:tc>
          <w:tcPr>
            <w:tcW w:w="15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348,463</w:t>
            </w: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327,111</w:t>
            </w:r>
          </w:p>
        </w:tc>
      </w:tr>
      <w:tr>
        <w:trPr>
          <w:trHeight w:val="88"/>
        </w:trPr>
        <w:tc>
          <w:tcPr>
            <w:tcW w:w="560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156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823,095</w:t>
            </w:r>
          </w:p>
        </w:tc>
        <w:tc>
          <w:tcPr>
            <w:tcW w:w="16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833,415</w:t>
            </w:r>
          </w:p>
        </w:tc>
      </w:tr>
      <w:tr>
        <w:trPr>
          <w:trHeight w:val="88"/>
        </w:trPr>
        <w:tc>
          <w:tcPr>
            <w:tcW w:w="56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Commitments and contingencies (Note 14)</w:t>
            </w: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Redeemable noncontrolling interests:</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redeemable noncontrolling interests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51,412</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50,296</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Common redeemable noncontrolling interests</w:t>
            </w:r>
          </w:p>
        </w:tc>
        <w:tc>
          <w:tcPr>
            <w:tcW w:w="15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22,640</w:t>
            </w:r>
          </w:p>
        </w:tc>
        <w:tc>
          <w:tcPr>
            <w:tcW w:w="1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22,640</w:t>
            </w:r>
          </w:p>
        </w:tc>
      </w:tr>
      <w:tr>
        <w:trPr>
          <w:trHeight w:val="88"/>
        </w:trPr>
        <w:tc>
          <w:tcPr>
            <w:tcW w:w="560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redeemable noncontrolling interests</w:t>
            </w:r>
          </w:p>
        </w:tc>
        <w:tc>
          <w:tcPr>
            <w:tcW w:w="15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74,052</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72,936</w:t>
            </w:r>
          </w:p>
        </w:tc>
      </w:tr>
      <w:tr>
        <w:trPr>
          <w:trHeight w:val="88"/>
        </w:trPr>
        <w:tc>
          <w:tcPr>
            <w:tcW w:w="5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ATN International, Inc. Stockholders’ Equity:</w:t>
            </w:r>
          </w:p>
        </w:tc>
        <w:tc>
          <w:tcPr>
            <w:tcW w:w="1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stock, $0.01 par value per share; 10,000,000 shares authorized, none issued and outstanding</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85"/>
        </w:trPr>
        <w:tc>
          <w:tcPr>
            <w:tcW w:w="560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8"/>
                <w:szCs w:val="8"/>
                <w:color w:val="auto"/>
              </w:rPr>
              <w:t>Common stock, $0.01 par value per share; 50,000,000 shares authorized; 17,562,666 and 17,476,542 shares issued, respectively, 15,742,780</w:t>
            </w:r>
          </w:p>
        </w:tc>
        <w:tc>
          <w:tcPr>
            <w:tcW w:w="1700" w:type="dxa"/>
            <w:vAlign w:val="bottom"/>
            <w:gridSpan w:val="2"/>
            <w:shd w:val="clear" w:color="auto" w:fill="CCEEFF"/>
          </w:tcPr>
          <w:p>
            <w:pPr>
              <w:jc w:val="right"/>
              <w:ind w:right="296"/>
              <w:spacing w:after="0" w:line="85" w:lineRule="exact"/>
              <w:rPr>
                <w:sz w:val="20"/>
                <w:szCs w:val="20"/>
                <w:color w:val="auto"/>
              </w:rPr>
            </w:pPr>
            <w:r>
              <w:rPr>
                <w:rFonts w:ascii="Times New Roman" w:cs="Times New Roman" w:eastAsia="Times New Roman" w:hAnsi="Times New Roman"/>
                <w:sz w:val="8"/>
                <w:szCs w:val="8"/>
                <w:color w:val="auto"/>
              </w:rPr>
              <w:t>and 15,712,941 shares outstanding,</w:t>
            </w:r>
          </w:p>
        </w:tc>
        <w:tc>
          <w:tcPr>
            <w:tcW w:w="6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113"/>
        </w:trPr>
        <w:tc>
          <w:tcPr>
            <w:tcW w:w="5600" w:type="dxa"/>
            <w:vAlign w:val="bottom"/>
            <w:shd w:val="clear" w:color="auto" w:fill="CCEEFF"/>
          </w:tcPr>
          <w:p>
            <w:pPr>
              <w:ind w:left="140"/>
              <w:spacing w:after="0" w:line="114" w:lineRule="exact"/>
              <w:rPr>
                <w:sz w:val="20"/>
                <w:szCs w:val="20"/>
                <w:color w:val="auto"/>
              </w:rPr>
            </w:pPr>
            <w:r>
              <w:rPr>
                <w:rFonts w:ascii="Times New Roman" w:cs="Times New Roman" w:eastAsia="Times New Roman" w:hAnsi="Times New Roman"/>
                <w:sz w:val="10"/>
                <w:szCs w:val="10"/>
                <w:color w:val="auto"/>
              </w:rPr>
              <w:t>respectively</w:t>
            </w:r>
          </w:p>
        </w:tc>
        <w:tc>
          <w:tcPr>
            <w:tcW w:w="1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172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172</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Treasury stock, at cost; 1,819,885 and 1,763,601 shares, respectively</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(73,795)</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(71,714)</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Additional paid-in capital</w:t>
            </w:r>
          </w:p>
        </w:tc>
        <w:tc>
          <w:tcPr>
            <w:tcW w:w="1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193,164</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192,132</w:t>
            </w:r>
          </w:p>
        </w:tc>
      </w:tr>
      <w:tr>
        <w:trPr>
          <w:trHeight w:val="99"/>
        </w:trPr>
        <w:tc>
          <w:tcPr>
            <w:tcW w:w="56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Retained earnings</w:t>
            </w: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470,056</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475,887</w:t>
            </w:r>
          </w:p>
        </w:tc>
      </w:tr>
      <w:tr>
        <w:trPr>
          <w:trHeight w:val="99"/>
        </w:trPr>
        <w:tc>
          <w:tcPr>
            <w:tcW w:w="56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15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5,195</w:t>
            </w:r>
          </w:p>
        </w:tc>
        <w:tc>
          <w:tcPr>
            <w:tcW w:w="1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4,773</w:t>
            </w:r>
          </w:p>
        </w:tc>
      </w:tr>
      <w:tr>
        <w:trPr>
          <w:trHeight w:val="88"/>
        </w:trPr>
        <w:tc>
          <w:tcPr>
            <w:tcW w:w="560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ATN International, Inc. stockholders’ equity</w:t>
            </w:r>
          </w:p>
        </w:tc>
        <w:tc>
          <w:tcPr>
            <w:tcW w:w="15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594,792</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601,250</w:t>
            </w:r>
          </w:p>
        </w:tc>
      </w:tr>
      <w:tr>
        <w:trPr>
          <w:trHeight w:val="88"/>
        </w:trPr>
        <w:tc>
          <w:tcPr>
            <w:tcW w:w="5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Noncontrolling interests</w:t>
            </w:r>
          </w:p>
        </w:tc>
        <w:tc>
          <w:tcPr>
            <w:tcW w:w="156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98,768</w:t>
            </w:r>
          </w:p>
        </w:tc>
        <w:tc>
          <w:tcPr>
            <w:tcW w:w="16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101,003</w:t>
            </w:r>
          </w:p>
        </w:tc>
      </w:tr>
      <w:tr>
        <w:trPr>
          <w:trHeight w:val="88"/>
        </w:trPr>
        <w:tc>
          <w:tcPr>
            <w:tcW w:w="56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Total equity</w:t>
            </w:r>
          </w:p>
        </w:tc>
        <w:tc>
          <w:tcPr>
            <w:tcW w:w="15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693,560</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702,253</w:t>
            </w:r>
          </w:p>
        </w:tc>
      </w:tr>
      <w:tr>
        <w:trPr>
          <w:trHeight w:val="95"/>
        </w:trPr>
        <w:tc>
          <w:tcPr>
            <w:tcW w:w="560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Total liabilities, redeemable noncontrolling interests and equity</w:t>
            </w:r>
          </w:p>
        </w:tc>
        <w:tc>
          <w:tcPr>
            <w:tcW w:w="15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1,590,707</w:t>
            </w: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1,608,604</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r>
        <w:rPr>
          <w:rFonts w:ascii="Times New Roman" w:cs="Times New Roman" w:eastAsia="Times New Roman" w:hAnsi="Times New Roman"/>
          <w:sz w:val="9"/>
          <w:szCs w:val="9"/>
          <w:color w:val="auto"/>
        </w:rPr>
        <w: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2022 AND 2021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r>
      <w:tr>
        <w:trPr>
          <w:trHeight w:val="79"/>
        </w:trPr>
        <w:tc>
          <w:tcPr>
            <w:tcW w:w="75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jc w:val="right"/>
              <w:ind w:right="213"/>
              <w:spacing w:after="0" w:line="79" w:lineRule="exact"/>
              <w:rPr>
                <w:sz w:val="20"/>
                <w:szCs w:val="20"/>
                <w:color w:val="auto"/>
              </w:rPr>
            </w:pPr>
            <w:r>
              <w:rPr>
                <w:rFonts w:ascii="Times New Roman" w:cs="Times New Roman" w:eastAsia="Times New Roman" w:hAnsi="Times New Roman"/>
                <w:sz w:val="8"/>
                <w:szCs w:val="8"/>
                <w:b w:val="1"/>
                <w:bCs w:val="1"/>
                <w:color w:val="auto"/>
              </w:rPr>
              <w:t>2022</w:t>
            </w: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right"/>
              <w:ind w:right="193"/>
              <w:spacing w:after="0" w:line="79" w:lineRule="exact"/>
              <w:rPr>
                <w:sz w:val="20"/>
                <w:szCs w:val="20"/>
                <w:color w:val="auto"/>
              </w:rPr>
            </w:pPr>
            <w:r>
              <w:rPr>
                <w:rFonts w:ascii="Times New Roman" w:cs="Times New Roman" w:eastAsia="Times New Roman" w:hAnsi="Times New Roman"/>
                <w:sz w:val="8"/>
                <w:szCs w:val="8"/>
                <w:b w:val="1"/>
                <w:bCs w:val="1"/>
                <w:color w:val="auto"/>
              </w:rPr>
              <w:t>2021</w:t>
            </w:r>
          </w:p>
        </w:tc>
      </w:tr>
      <w:tr>
        <w:trPr>
          <w:trHeight w:val="88"/>
        </w:trPr>
        <w:tc>
          <w:tcPr>
            <w:tcW w:w="75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REVENUE:</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99"/>
        </w:trPr>
        <w:tc>
          <w:tcPr>
            <w:tcW w:w="75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Communication services</w:t>
            </w: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166,543</w:t>
            </w:r>
          </w:p>
        </w:tc>
        <w:tc>
          <w:tcPr>
            <w:tcW w:w="120" w:type="dxa"/>
            <w:vAlign w:val="bottom"/>
          </w:tcPr>
          <w:p>
            <w:pPr>
              <w:spacing w:after="0"/>
              <w:rPr>
                <w:sz w:val="8"/>
                <w:szCs w:val="8"/>
                <w:color w:val="auto"/>
              </w:rPr>
            </w:pP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110,636</w:t>
            </w: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Construction</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1,987</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12,306</w:t>
            </w:r>
          </w:p>
        </w:tc>
      </w:tr>
      <w:tr>
        <w:trPr>
          <w:trHeight w:val="99"/>
        </w:trPr>
        <w:tc>
          <w:tcPr>
            <w:tcW w:w="75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3,489</w:t>
            </w: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1,568</w:t>
            </w:r>
          </w:p>
        </w:tc>
      </w:tr>
      <w:tr>
        <w:trPr>
          <w:trHeight w:val="88"/>
        </w:trPr>
        <w:tc>
          <w:tcPr>
            <w:tcW w:w="7520" w:type="dxa"/>
            <w:vAlign w:val="bottom"/>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Total revenue</w:t>
            </w:r>
          </w:p>
        </w:tc>
        <w:tc>
          <w:tcPr>
            <w:tcW w:w="1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172,019</w:t>
            </w: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124,510</w:t>
            </w:r>
          </w:p>
        </w:tc>
      </w:tr>
      <w:tr>
        <w:trPr>
          <w:trHeight w:val="88"/>
        </w:trPr>
        <w:tc>
          <w:tcPr>
            <w:tcW w:w="752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OPERATING EXPENSES </w:t>
            </w:r>
            <w:r>
              <w:rPr>
                <w:rFonts w:ascii="Times New Roman" w:cs="Times New Roman" w:eastAsia="Times New Roman" w:hAnsi="Times New Roman"/>
                <w:sz w:val="10"/>
                <w:szCs w:val="10"/>
                <w:i w:val="1"/>
                <w:iCs w:val="1"/>
                <w:color w:val="auto"/>
              </w:rPr>
              <w:t>(excluding depreciation and amortization unless otherwise indicated)</w:t>
            </w:r>
            <w:r>
              <w:rPr>
                <w:rFonts w:ascii="Times New Roman" w:cs="Times New Roman" w:eastAsia="Times New Roman" w:hAnsi="Times New Roman"/>
                <w:sz w:val="10"/>
                <w:szCs w:val="10"/>
                <w:b w:val="1"/>
                <w:bCs w:val="1"/>
                <w:color w:val="auto"/>
              </w:rPr>
              <w:t>:</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communication services and other</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73,011</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49,507</w:t>
            </w:r>
          </w:p>
        </w:tc>
      </w:tr>
      <w:tr>
        <w:trPr>
          <w:trHeight w:val="99"/>
        </w:trPr>
        <w:tc>
          <w:tcPr>
            <w:tcW w:w="75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construction revenue</w:t>
            </w:r>
          </w:p>
        </w:tc>
        <w:tc>
          <w:tcPr>
            <w:tcW w:w="1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2,033</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12,606</w:t>
            </w: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Selling, general and administrative</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56,343</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37,693</w:t>
            </w:r>
          </w:p>
        </w:tc>
      </w:tr>
      <w:tr>
        <w:trPr>
          <w:trHeight w:val="99"/>
        </w:trPr>
        <w:tc>
          <w:tcPr>
            <w:tcW w:w="75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Transaction-related charges</w:t>
            </w:r>
          </w:p>
        </w:tc>
        <w:tc>
          <w:tcPr>
            <w:tcW w:w="1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554</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730</w:t>
            </w: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33,292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20,111</w:t>
            </w:r>
          </w:p>
        </w:tc>
      </w:tr>
      <w:tr>
        <w:trPr>
          <w:trHeight w:val="99"/>
        </w:trPr>
        <w:tc>
          <w:tcPr>
            <w:tcW w:w="75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Amortization of intangibles from acquisitions</w:t>
            </w:r>
          </w:p>
        </w:tc>
        <w:tc>
          <w:tcPr>
            <w:tcW w:w="10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3,258</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397</w:t>
            </w: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Loss on disposition of long-lived assets</w:t>
            </w:r>
          </w:p>
        </w:tc>
        <w:tc>
          <w:tcPr>
            <w:tcW w:w="1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3,420</w:t>
            </w:r>
          </w:p>
        </w:tc>
        <w:tc>
          <w:tcPr>
            <w:tcW w:w="1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117</w:t>
            </w:r>
          </w:p>
        </w:tc>
      </w:tr>
      <w:tr>
        <w:trPr>
          <w:trHeight w:val="88"/>
        </w:trPr>
        <w:tc>
          <w:tcPr>
            <w:tcW w:w="752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operating expenses</w:t>
            </w: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171,911</w:t>
            </w: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121,161</w:t>
            </w:r>
          </w:p>
        </w:tc>
      </w:tr>
      <w:tr>
        <w:trPr>
          <w:trHeight w:val="88"/>
        </w:trPr>
        <w:tc>
          <w:tcPr>
            <w:tcW w:w="7520" w:type="dxa"/>
            <w:vAlign w:val="bottom"/>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Income from operations</w:t>
            </w:r>
          </w:p>
        </w:tc>
        <w:tc>
          <w:tcPr>
            <w:tcW w:w="1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108</w:t>
            </w: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3,349</w:t>
            </w:r>
          </w:p>
        </w:tc>
      </w:tr>
      <w:tr>
        <w:trPr>
          <w:trHeight w:val="88"/>
        </w:trPr>
        <w:tc>
          <w:tcPr>
            <w:tcW w:w="752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OTHER INCOME (EXPENSE)</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income</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51</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w:t>
            </w:r>
          </w:p>
        </w:tc>
      </w:tr>
      <w:tr>
        <w:trPr>
          <w:trHeight w:val="99"/>
        </w:trPr>
        <w:tc>
          <w:tcPr>
            <w:tcW w:w="752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expense</w:t>
            </w:r>
          </w:p>
        </w:tc>
        <w:tc>
          <w:tcPr>
            <w:tcW w:w="100" w:type="dxa"/>
            <w:vAlign w:val="bottom"/>
          </w:tcPr>
          <w:p>
            <w:pPr>
              <w:spacing w:after="0"/>
              <w:rPr>
                <w:sz w:val="8"/>
                <w:szCs w:val="8"/>
                <w:color w:val="auto"/>
              </w:rPr>
            </w:pPr>
          </w:p>
        </w:tc>
        <w:tc>
          <w:tcPr>
            <w:tcW w:w="6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(3,363)</w:t>
            </w:r>
          </w:p>
        </w:tc>
        <w:tc>
          <w:tcPr>
            <w:tcW w:w="14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(1,147)</w:t>
            </w:r>
          </w:p>
        </w:tc>
      </w:tr>
      <w:tr>
        <w:trPr>
          <w:trHeight w:val="9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 income</w:t>
            </w:r>
          </w:p>
        </w:tc>
        <w:tc>
          <w:tcPr>
            <w:tcW w:w="1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4,199</w:t>
            </w:r>
          </w:p>
        </w:tc>
        <w:tc>
          <w:tcPr>
            <w:tcW w:w="1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2,375</w:t>
            </w:r>
          </w:p>
        </w:tc>
      </w:tr>
      <w:tr>
        <w:trPr>
          <w:trHeight w:val="88"/>
        </w:trPr>
        <w:tc>
          <w:tcPr>
            <w:tcW w:w="7520" w:type="dxa"/>
            <w:vAlign w:val="bottom"/>
            <w:tcBorders>
              <w:bottom w:val="single" w:sz="8" w:color="CCEEFF"/>
            </w:tcBorders>
          </w:tcPr>
          <w:p>
            <w:pPr>
              <w:ind w:left="220"/>
              <w:spacing w:after="0" w:line="88" w:lineRule="exact"/>
              <w:rPr>
                <w:sz w:val="20"/>
                <w:szCs w:val="20"/>
                <w:color w:val="auto"/>
              </w:rPr>
            </w:pPr>
            <w:r>
              <w:rPr>
                <w:rFonts w:ascii="Times New Roman" w:cs="Times New Roman" w:eastAsia="Times New Roman" w:hAnsi="Times New Roman"/>
                <w:sz w:val="10"/>
                <w:szCs w:val="10"/>
                <w:color w:val="auto"/>
              </w:rPr>
              <w:t>Other income (expense), net</w:t>
            </w: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887</w:t>
            </w: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1,222</w:t>
            </w:r>
          </w:p>
        </w:tc>
      </w:tr>
      <w:tr>
        <w:trPr>
          <w:trHeight w:val="88"/>
        </w:trPr>
        <w:tc>
          <w:tcPr>
            <w:tcW w:w="75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995</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4,571</w:t>
            </w:r>
          </w:p>
        </w:tc>
      </w:tr>
      <w:tr>
        <w:trPr>
          <w:trHeight w:val="99"/>
        </w:trPr>
        <w:tc>
          <w:tcPr>
            <w:tcW w:w="75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Income tax provision</w:t>
            </w: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2,952</w:t>
            </w: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295</w:t>
            </w:r>
          </w:p>
        </w:tc>
      </w:tr>
      <w:tr>
        <w:trPr>
          <w:trHeight w:val="88"/>
        </w:trPr>
        <w:tc>
          <w:tcPr>
            <w:tcW w:w="752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INCOME (LOSS)</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(1,957)</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4,276</w:t>
            </w:r>
          </w:p>
        </w:tc>
      </w:tr>
      <w:tr>
        <w:trPr>
          <w:trHeight w:val="99"/>
        </w:trPr>
        <w:tc>
          <w:tcPr>
            <w:tcW w:w="75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Net income (loss) attributable to noncontrolling interests, net of tax expense (benefit) of $(0.5) million and $0.1 million, respectively.</w:t>
            </w: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1,009</w:t>
            </w: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(1,570)</w:t>
            </w:r>
          </w:p>
        </w:tc>
      </w:tr>
      <w:tr>
        <w:trPr>
          <w:trHeight w:val="108"/>
        </w:trPr>
        <w:tc>
          <w:tcPr>
            <w:tcW w:w="752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INCOME (LOSS) ATTRIBUTABLE TO ATN INTERNATIONAL, INC. STOCKHOLDERS</w:t>
            </w: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(948)</w:t>
            </w: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2,706</w:t>
            </w:r>
          </w:p>
        </w:tc>
      </w:tr>
      <w:tr>
        <w:trPr>
          <w:trHeight w:val="86"/>
        </w:trPr>
        <w:tc>
          <w:tcPr>
            <w:tcW w:w="7520" w:type="dxa"/>
            <w:vAlign w:val="bottom"/>
          </w:tcPr>
          <w:p>
            <w:pPr>
              <w:spacing w:after="0" w:line="86" w:lineRule="exact"/>
              <w:rPr>
                <w:sz w:val="20"/>
                <w:szCs w:val="20"/>
                <w:color w:val="auto"/>
              </w:rPr>
            </w:pPr>
            <w:r>
              <w:rPr>
                <w:rFonts w:ascii="Times New Roman" w:cs="Times New Roman" w:eastAsia="Times New Roman" w:hAnsi="Times New Roman"/>
                <w:sz w:val="8"/>
                <w:szCs w:val="8"/>
                <w:b w:val="1"/>
                <w:bCs w:val="1"/>
                <w:color w:val="auto"/>
              </w:rPr>
              <w:t>NET INCOME (LOSS) PER WEIGHTED AVERAGE SHARE ATTRIBUTABLE TO ATN INTERNATIONAL, INC. STOCKHOLDERS:</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119"/>
        </w:trPr>
        <w:tc>
          <w:tcPr>
            <w:tcW w:w="752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(0.13)</w:t>
            </w: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0.17</w:t>
            </w:r>
          </w:p>
        </w:tc>
      </w:tr>
      <w:tr>
        <w:trPr>
          <w:trHeight w:val="93"/>
        </w:trPr>
        <w:tc>
          <w:tcPr>
            <w:tcW w:w="7520" w:type="dxa"/>
            <w:vAlign w:val="bottom"/>
            <w:tcBorders>
              <w:top w:val="single" w:sz="8" w:color="CCEEFF"/>
              <w:bottom w:val="single" w:sz="8" w:color="CCEEFF"/>
            </w:tcBorders>
          </w:tcPr>
          <w:p>
            <w:pPr>
              <w:ind w:left="140"/>
              <w:spacing w:after="0" w:line="86" w:lineRule="exact"/>
              <w:rPr>
                <w:sz w:val="20"/>
                <w:szCs w:val="20"/>
                <w:color w:val="auto"/>
              </w:rPr>
            </w:pPr>
            <w:r>
              <w:rPr>
                <w:rFonts w:ascii="Times New Roman" w:cs="Times New Roman" w:eastAsia="Times New Roman" w:hAnsi="Times New Roman"/>
                <w:sz w:val="8"/>
                <w:szCs w:val="8"/>
                <w:color w:val="auto"/>
              </w:rPr>
              <w:t>Diluted</w:t>
            </w: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(0.13)</w:t>
            </w:r>
          </w:p>
        </w:tc>
        <w:tc>
          <w:tcPr>
            <w:tcW w:w="120" w:type="dxa"/>
            <w:vAlign w:val="bottom"/>
            <w:tcBorders>
              <w:top w:val="single" w:sz="8" w:color="CCEEFF"/>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0.17</w:t>
            </w:r>
          </w:p>
        </w:tc>
      </w:tr>
      <w:tr>
        <w:trPr>
          <w:trHeight w:val="99"/>
        </w:trPr>
        <w:tc>
          <w:tcPr>
            <w:tcW w:w="75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WEIGHTED AVERAGE COMMON SHARES OUTSTANDING:</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r>
      <w:tr>
        <w:trPr>
          <w:trHeight w:val="106"/>
        </w:trPr>
        <w:tc>
          <w:tcPr>
            <w:tcW w:w="752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15,708</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15,902</w:t>
            </w:r>
          </w:p>
        </w:tc>
      </w:tr>
      <w:tr>
        <w:trPr>
          <w:trHeight w:val="119"/>
        </w:trPr>
        <w:tc>
          <w:tcPr>
            <w:tcW w:w="752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Diluted</w:t>
            </w:r>
          </w:p>
        </w:tc>
        <w:tc>
          <w:tcPr>
            <w:tcW w:w="1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15,708</w:t>
            </w: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15,952</w:t>
            </w:r>
          </w:p>
        </w:tc>
      </w:tr>
      <w:tr>
        <w:trPr>
          <w:trHeight w:val="93"/>
        </w:trPr>
        <w:tc>
          <w:tcPr>
            <w:tcW w:w="7520" w:type="dxa"/>
            <w:vAlign w:val="bottom"/>
          </w:tcPr>
          <w:p>
            <w:pPr>
              <w:spacing w:after="0" w:line="86" w:lineRule="exact"/>
              <w:rPr>
                <w:sz w:val="20"/>
                <w:szCs w:val="20"/>
                <w:color w:val="auto"/>
              </w:rPr>
            </w:pPr>
            <w:r>
              <w:rPr>
                <w:rFonts w:ascii="Times New Roman" w:cs="Times New Roman" w:eastAsia="Times New Roman" w:hAnsi="Times New Roman"/>
                <w:sz w:val="8"/>
                <w:szCs w:val="8"/>
                <w:b w:val="1"/>
                <w:bCs w:val="1"/>
                <w:color w:val="auto"/>
              </w:rPr>
              <w:t>DIVIDENDS PER SHARE APPLICABLE TO COMMON STOCK</w:t>
            </w: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0.17</w:t>
            </w:r>
          </w:p>
        </w:tc>
        <w:tc>
          <w:tcPr>
            <w:tcW w:w="120" w:type="dxa"/>
            <w:vAlign w:val="bottom"/>
          </w:tcPr>
          <w:p>
            <w:pPr>
              <w:spacing w:after="0"/>
              <w:rPr>
                <w:sz w:val="8"/>
                <w:szCs w:val="8"/>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0.17</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2022 AND 2021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55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5"/>
          </w:tcPr>
          <w:p>
            <w:pPr>
              <w:jc w:val="right"/>
              <w:ind w:right="362"/>
              <w:spacing w:after="0"/>
              <w:rPr>
                <w:sz w:val="20"/>
                <w:szCs w:val="20"/>
                <w:color w:val="auto"/>
              </w:rPr>
            </w:pPr>
            <w:r>
              <w:rPr>
                <w:rFonts w:ascii="Times New Roman" w:cs="Times New Roman" w:eastAsia="Times New Roman" w:hAnsi="Times New Roman"/>
                <w:sz w:val="8"/>
                <w:szCs w:val="8"/>
                <w:b w:val="1"/>
                <w:bCs w:val="1"/>
                <w:color w:val="auto"/>
              </w:rPr>
              <w:t>Three months ended</w:t>
            </w:r>
          </w:p>
        </w:tc>
      </w:tr>
      <w:tr>
        <w:trPr>
          <w:trHeight w:val="103"/>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Borders>
              <w:bottom w:val="single" w:sz="8" w:color="auto"/>
            </w:tcBorders>
          </w:tcPr>
          <w:p>
            <w:pPr>
              <w:spacing w:after="0"/>
              <w:rPr>
                <w:sz w:val="8"/>
                <w:szCs w:val="8"/>
                <w:color w:val="auto"/>
              </w:rPr>
            </w:pPr>
          </w:p>
        </w:tc>
      </w:tr>
      <w:tr>
        <w:trPr>
          <w:trHeight w:val="115"/>
        </w:trPr>
        <w:tc>
          <w:tcPr>
            <w:tcW w:w="20" w:type="dxa"/>
            <w:vAlign w:val="bottom"/>
          </w:tcPr>
          <w:p>
            <w:pPr>
              <w:spacing w:after="0"/>
              <w:rPr>
                <w:sz w:val="10"/>
                <w:szCs w:val="10"/>
                <w:color w:val="auto"/>
              </w:rPr>
            </w:pPr>
          </w:p>
        </w:tc>
        <w:tc>
          <w:tcPr>
            <w:tcW w:w="5500" w:type="dxa"/>
            <w:vAlign w:val="bottom"/>
            <w:tcBorders>
              <w:bottom w:val="single" w:sz="8" w:color="CCEEFF"/>
            </w:tcBorders>
          </w:tcPr>
          <w:p>
            <w:pPr>
              <w:spacing w:after="0"/>
              <w:rPr>
                <w:sz w:val="10"/>
                <w:szCs w:val="10"/>
                <w:color w:val="auto"/>
              </w:rPr>
            </w:pPr>
          </w:p>
        </w:tc>
        <w:tc>
          <w:tcPr>
            <w:tcW w:w="19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20" w:type="dxa"/>
            <w:vAlign w:val="bottom"/>
          </w:tcPr>
          <w:p>
            <w:pPr>
              <w:spacing w:after="0"/>
              <w:rPr>
                <w:sz w:val="11"/>
                <w:szCs w:val="11"/>
                <w:color w:val="auto"/>
              </w:rPr>
            </w:pPr>
          </w:p>
        </w:tc>
        <w:tc>
          <w:tcPr>
            <w:tcW w:w="5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19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4,276</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20" w:type="dxa"/>
            <w:vAlign w:val="bottom"/>
          </w:tcPr>
          <w:p>
            <w:pPr>
              <w:spacing w:after="0"/>
              <w:rPr>
                <w:sz w:val="12"/>
                <w:szCs w:val="12"/>
                <w:color w:val="auto"/>
              </w:rPr>
            </w:pPr>
          </w:p>
        </w:tc>
        <w:tc>
          <w:tcPr>
            <w:tcW w:w="5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Unrealized gain (loss) on derivatives</w:t>
            </w:r>
          </w:p>
        </w:tc>
        <w:tc>
          <w:tcPr>
            <w:tcW w:w="19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w:t>
            </w:r>
          </w:p>
        </w:tc>
      </w:tr>
      <w:tr>
        <w:trPr>
          <w:trHeight w:val="133"/>
        </w:trPr>
        <w:tc>
          <w:tcPr>
            <w:tcW w:w="20" w:type="dxa"/>
            <w:vAlign w:val="bottom"/>
          </w:tcPr>
          <w:p>
            <w:pPr>
              <w:spacing w:after="0"/>
              <w:rPr>
                <w:sz w:val="11"/>
                <w:szCs w:val="11"/>
                <w:color w:val="auto"/>
              </w:rPr>
            </w:pPr>
          </w:p>
        </w:tc>
        <w:tc>
          <w:tcPr>
            <w:tcW w:w="5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 tax</w:t>
            </w:r>
          </w:p>
        </w:tc>
        <w:tc>
          <w:tcPr>
            <w:tcW w:w="19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r>
      <w:tr>
        <w:trPr>
          <w:trHeight w:val="133"/>
        </w:trPr>
        <w:tc>
          <w:tcPr>
            <w:tcW w:w="20" w:type="dxa"/>
            <w:vAlign w:val="bottom"/>
          </w:tcPr>
          <w:p>
            <w:pPr>
              <w:spacing w:after="0"/>
              <w:rPr>
                <w:sz w:val="11"/>
                <w:szCs w:val="11"/>
                <w:color w:val="auto"/>
              </w:rPr>
            </w:pPr>
          </w:p>
        </w:tc>
        <w:tc>
          <w:tcPr>
            <w:tcW w:w="5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(loss)</w:t>
            </w: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(1,535)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4,267</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Comprehensive income (loss) attributable to noncontrolling interests</w:t>
            </w:r>
          </w:p>
        </w:tc>
        <w:tc>
          <w:tcPr>
            <w:tcW w:w="19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w:t>
            </w:r>
          </w:p>
        </w:tc>
      </w:tr>
      <w:tr>
        <w:trPr>
          <w:trHeight w:val="140"/>
        </w:trPr>
        <w:tc>
          <w:tcPr>
            <w:tcW w:w="55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(loss) attributable to ATN International, Inc.</w:t>
            </w:r>
          </w:p>
        </w:tc>
        <w:tc>
          <w:tcPr>
            <w:tcW w:w="1960" w:type="dxa"/>
            <w:vAlign w:val="bottom"/>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(526)</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2,697</w:t>
            </w:r>
          </w:p>
        </w:tc>
      </w:tr>
    </w:tbl>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r>
        <w:rPr>
          <w:rFonts w:ascii="Times New Roman" w:cs="Times New Roman" w:eastAsia="Times New Roman" w:hAnsi="Times New Roman"/>
          <w:sz w:val="9"/>
          <w:szCs w:val="9"/>
          <w:color w:val="auto"/>
        </w:rPr>
        <w: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CONDENSED CONSOLIDATED STATEMENTS OF EQUITY</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MARCH 31, 2022 AND 2021</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(Unaudited)</w:t>
      </w:r>
    </w:p>
    <w:p>
      <w:pPr>
        <w:jc w:val="center"/>
        <w:ind w:right="19"/>
        <w:spacing w:after="0" w:line="236" w:lineRule="auto"/>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38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gridSpan w:val="5"/>
          </w:tcPr>
          <w:p>
            <w:pPr>
              <w:jc w:val="right"/>
              <w:ind w:right="447"/>
              <w:spacing w:after="0"/>
              <w:rPr>
                <w:sz w:val="20"/>
                <w:szCs w:val="20"/>
                <w:color w:val="auto"/>
              </w:rPr>
            </w:pPr>
            <w:r>
              <w:rPr>
                <w:rFonts w:ascii="Times New Roman" w:cs="Times New Roman" w:eastAsia="Times New Roman" w:hAnsi="Times New Roman"/>
                <w:sz w:val="7"/>
                <w:szCs w:val="7"/>
                <w:b w:val="1"/>
                <w:bCs w:val="1"/>
                <w:color w:val="auto"/>
              </w:rPr>
              <w:t>Total Redeemable Noncontrolling Interests</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7"/>
                <w:szCs w:val="7"/>
                <w:b w:val="1"/>
                <w:bCs w:val="1"/>
                <w:color w:val="auto"/>
              </w:rPr>
              <w:t>Total Equity</w:t>
            </w:r>
          </w:p>
        </w:tc>
        <w:tc>
          <w:tcPr>
            <w:tcW w:w="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r>
      <w:tr>
        <w:trPr>
          <w:trHeight w:val="77"/>
        </w:trPr>
        <w:tc>
          <w:tcPr>
            <w:tcW w:w="23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Redeemable</w:t>
            </w:r>
          </w:p>
        </w:tc>
        <w:tc>
          <w:tcPr>
            <w:tcW w:w="120" w:type="dxa"/>
            <w:vAlign w:val="bottom"/>
          </w:tcPr>
          <w:p>
            <w:pPr>
              <w:spacing w:after="0"/>
              <w:rPr>
                <w:sz w:val="6"/>
                <w:szCs w:val="6"/>
                <w:color w:val="auto"/>
              </w:rPr>
            </w:pPr>
          </w:p>
        </w:tc>
        <w:tc>
          <w:tcPr>
            <w:tcW w:w="44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Redeemable</w:t>
            </w:r>
          </w:p>
        </w:tc>
        <w:tc>
          <w:tcPr>
            <w:tcW w:w="180" w:type="dxa"/>
            <w:vAlign w:val="bottom"/>
          </w:tcPr>
          <w:p>
            <w:pPr>
              <w:spacing w:after="0"/>
              <w:rPr>
                <w:sz w:val="6"/>
                <w:szCs w:val="6"/>
                <w:color w:val="auto"/>
              </w:rPr>
            </w:pPr>
          </w:p>
        </w:tc>
        <w:tc>
          <w:tcPr>
            <w:tcW w:w="860" w:type="dxa"/>
            <w:vAlign w:val="bottom"/>
          </w:tcPr>
          <w:p>
            <w:pPr>
              <w:jc w:val="right"/>
              <w:ind w:right="7"/>
              <w:spacing w:after="0" w:line="78" w:lineRule="exact"/>
              <w:rPr>
                <w:sz w:val="20"/>
                <w:szCs w:val="20"/>
                <w:color w:val="auto"/>
              </w:rPr>
            </w:pPr>
            <w:r>
              <w:rPr>
                <w:rFonts w:ascii="Times New Roman" w:cs="Times New Roman" w:eastAsia="Times New Roman" w:hAnsi="Times New Roman"/>
                <w:sz w:val="7"/>
                <w:szCs w:val="7"/>
                <w:b w:val="1"/>
                <w:bCs w:val="1"/>
                <w:color w:val="auto"/>
              </w:rPr>
              <w:t>Total</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jc w:val="right"/>
              <w:ind w:right="87"/>
              <w:spacing w:after="0" w:line="78" w:lineRule="exact"/>
              <w:rPr>
                <w:sz w:val="20"/>
                <w:szCs w:val="20"/>
                <w:color w:val="auto"/>
              </w:rPr>
            </w:pPr>
            <w:r>
              <w:rPr>
                <w:rFonts w:ascii="Times New Roman" w:cs="Times New Roman" w:eastAsia="Times New Roman" w:hAnsi="Times New Roman"/>
                <w:sz w:val="7"/>
                <w:szCs w:val="7"/>
                <w:b w:val="1"/>
                <w:bCs w:val="1"/>
                <w:color w:val="auto"/>
              </w:rPr>
              <w:t>Treasury</w:t>
            </w:r>
          </w:p>
        </w:tc>
        <w:tc>
          <w:tcPr>
            <w:tcW w:w="38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jc w:val="right"/>
              <w:ind w:right="167"/>
              <w:spacing w:after="0" w:line="78" w:lineRule="exact"/>
              <w:rPr>
                <w:sz w:val="20"/>
                <w:szCs w:val="20"/>
                <w:color w:val="auto"/>
              </w:rPr>
            </w:pPr>
            <w:r>
              <w:rPr>
                <w:rFonts w:ascii="Times New Roman" w:cs="Times New Roman" w:eastAsia="Times New Roman" w:hAnsi="Times New Roman"/>
                <w:sz w:val="7"/>
                <w:szCs w:val="7"/>
                <w:b w:val="1"/>
                <w:bCs w:val="1"/>
                <w:color w:val="auto"/>
              </w:rPr>
              <w:t>Redeemable</w:t>
            </w:r>
          </w:p>
        </w:tc>
        <w:tc>
          <w:tcPr>
            <w:tcW w:w="52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6"/>
                <w:szCs w:val="6"/>
                <w:color w:val="auto"/>
              </w:rPr>
            </w:pPr>
          </w:p>
        </w:tc>
        <w:tc>
          <w:tcPr>
            <w:tcW w:w="50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ATNI</w:t>
            </w:r>
          </w:p>
        </w:tc>
        <w:tc>
          <w:tcPr>
            <w:tcW w:w="100" w:type="dxa"/>
            <w:vAlign w:val="bottom"/>
          </w:tcPr>
          <w:p>
            <w:pPr>
              <w:spacing w:after="0"/>
              <w:rPr>
                <w:sz w:val="6"/>
                <w:szCs w:val="6"/>
                <w:color w:val="auto"/>
              </w:rPr>
            </w:pP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7"/>
                <w:szCs w:val="7"/>
                <w:b w:val="1"/>
                <w:bCs w:val="1"/>
                <w:color w:val="auto"/>
              </w:rPr>
              <w:t>Non-</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81"/>
        </w:trPr>
        <w:tc>
          <w:tcPr>
            <w:tcW w:w="2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Preferred</w:t>
            </w:r>
          </w:p>
        </w:tc>
        <w:tc>
          <w:tcPr>
            <w:tcW w:w="12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Common</w:t>
            </w:r>
          </w:p>
        </w:tc>
        <w:tc>
          <w:tcPr>
            <w:tcW w:w="180" w:type="dxa"/>
            <w:vAlign w:val="bottom"/>
          </w:tcPr>
          <w:p>
            <w:pPr>
              <w:spacing w:after="0"/>
              <w:rPr>
                <w:sz w:val="7"/>
                <w:szCs w:val="7"/>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7"/>
                <w:szCs w:val="7"/>
                <w:b w:val="1"/>
                <w:bCs w:val="1"/>
                <w:color w:val="auto"/>
              </w:rPr>
              <w:t>Redeemable</w:t>
            </w:r>
          </w:p>
        </w:tc>
        <w:tc>
          <w:tcPr>
            <w:tcW w:w="6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Common</w:t>
            </w:r>
          </w:p>
        </w:tc>
        <w:tc>
          <w:tcPr>
            <w:tcW w:w="100" w:type="dxa"/>
            <w:vAlign w:val="bottom"/>
          </w:tcPr>
          <w:p>
            <w:pPr>
              <w:spacing w:after="0"/>
              <w:rPr>
                <w:sz w:val="7"/>
                <w:szCs w:val="7"/>
                <w:color w:val="auto"/>
              </w:rPr>
            </w:pPr>
          </w:p>
        </w:tc>
        <w:tc>
          <w:tcPr>
            <w:tcW w:w="440" w:type="dxa"/>
            <w:vAlign w:val="bottom"/>
          </w:tcPr>
          <w:p>
            <w:pPr>
              <w:jc w:val="right"/>
              <w:ind w:right="87"/>
              <w:spacing w:after="0"/>
              <w:rPr>
                <w:sz w:val="20"/>
                <w:szCs w:val="20"/>
                <w:color w:val="auto"/>
              </w:rPr>
            </w:pPr>
            <w:r>
              <w:rPr>
                <w:rFonts w:ascii="Times New Roman" w:cs="Times New Roman" w:eastAsia="Times New Roman" w:hAnsi="Times New Roman"/>
                <w:sz w:val="7"/>
                <w:szCs w:val="7"/>
                <w:b w:val="1"/>
                <w:bCs w:val="1"/>
                <w:color w:val="auto"/>
              </w:rPr>
              <w:t>Stock,</w:t>
            </w: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Paid In</w:t>
            </w:r>
          </w:p>
        </w:tc>
        <w:tc>
          <w:tcPr>
            <w:tcW w:w="100" w:type="dxa"/>
            <w:vAlign w:val="bottom"/>
          </w:tcPr>
          <w:p>
            <w:pPr>
              <w:spacing w:after="0"/>
              <w:rPr>
                <w:sz w:val="7"/>
                <w:szCs w:val="7"/>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7"/>
                <w:szCs w:val="7"/>
                <w:b w:val="1"/>
                <w:bCs w:val="1"/>
                <w:color w:val="auto"/>
              </w:rPr>
              <w:t>Retained</w:t>
            </w:r>
          </w:p>
        </w:tc>
        <w:tc>
          <w:tcPr>
            <w:tcW w:w="100" w:type="dxa"/>
            <w:vAlign w:val="bottom"/>
          </w:tcPr>
          <w:p>
            <w:pPr>
              <w:spacing w:after="0"/>
              <w:rPr>
                <w:sz w:val="7"/>
                <w:szCs w:val="7"/>
                <w:color w:val="auto"/>
              </w:rPr>
            </w:pPr>
          </w:p>
        </w:tc>
        <w:tc>
          <w:tcPr>
            <w:tcW w:w="600" w:type="dxa"/>
            <w:vAlign w:val="bottom"/>
          </w:tcPr>
          <w:p>
            <w:pPr>
              <w:jc w:val="right"/>
              <w:ind w:right="167"/>
              <w:spacing w:after="0"/>
              <w:rPr>
                <w:sz w:val="20"/>
                <w:szCs w:val="20"/>
                <w:color w:val="auto"/>
              </w:rPr>
            </w:pPr>
            <w:r>
              <w:rPr>
                <w:rFonts w:ascii="Times New Roman" w:cs="Times New Roman" w:eastAsia="Times New Roman" w:hAnsi="Times New Roman"/>
                <w:sz w:val="7"/>
                <w:szCs w:val="7"/>
                <w:b w:val="1"/>
                <w:bCs w:val="1"/>
                <w:color w:val="auto"/>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Comprehensive</w:t>
            </w:r>
          </w:p>
        </w:tc>
        <w:tc>
          <w:tcPr>
            <w:tcW w:w="10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Stockholders’</w:t>
            </w:r>
          </w:p>
        </w:tc>
        <w:tc>
          <w:tcPr>
            <w:tcW w:w="1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Controlling</w:t>
            </w:r>
          </w:p>
        </w:tc>
        <w:tc>
          <w:tcPr>
            <w:tcW w:w="100" w:type="dxa"/>
            <w:vAlign w:val="bottom"/>
          </w:tcPr>
          <w:p>
            <w:pPr>
              <w:spacing w:after="0"/>
              <w:rPr>
                <w:sz w:val="7"/>
                <w:szCs w:val="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85"/>
        </w:trPr>
        <w:tc>
          <w:tcPr>
            <w:tcW w:w="23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Units</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Units</w:t>
            </w: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7"/>
                <w:szCs w:val="7"/>
                <w:b w:val="1"/>
                <w:bCs w:val="1"/>
                <w:color w:val="auto"/>
              </w:rPr>
              <w:t>Noncontrolling Interests</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Stock</w:t>
            </w: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7"/>
                <w:szCs w:val="7"/>
                <w:b w:val="1"/>
                <w:bCs w:val="1"/>
                <w:color w:val="auto"/>
              </w:rPr>
              <w:t>at cost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Capital</w:t>
            </w: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7"/>
                <w:szCs w:val="7"/>
                <w:b w:val="1"/>
                <w:bCs w:val="1"/>
                <w:color w:val="auto"/>
              </w:rPr>
              <w:t>Earnings</w:t>
            </w: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7"/>
                <w:szCs w:val="7"/>
                <w:b w:val="1"/>
                <w:bCs w:val="1"/>
                <w:color w:val="auto"/>
              </w:rPr>
              <w:t>Units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Income/(Loss)</w:t>
            </w: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Equity</w:t>
            </w: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Interests</w:t>
            </w: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Equity</w:t>
            </w:r>
          </w:p>
        </w:tc>
      </w:tr>
      <w:tr>
        <w:trPr>
          <w:trHeight w:val="70"/>
        </w:trPr>
        <w:tc>
          <w:tcPr>
            <w:tcW w:w="2380" w:type="dxa"/>
            <w:vAlign w:val="bottom"/>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Balance, December 31, 2021</w:t>
            </w: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50,296</w:t>
            </w:r>
          </w:p>
        </w:tc>
        <w:tc>
          <w:tcPr>
            <w:tcW w:w="120" w:type="dxa"/>
            <w:vAlign w:val="bottom"/>
            <w:tcBorders>
              <w:bottom w:val="single" w:sz="8" w:color="auto"/>
            </w:tcBorders>
            <w:shd w:val="clear" w:color="auto" w:fill="CCEEFF"/>
          </w:tcPr>
          <w:p>
            <w:pPr>
              <w:jc w:val="right"/>
              <w:ind w:right="27"/>
              <w:spacing w:after="0" w:line="70"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22,640</w:t>
            </w: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72,936</w:t>
            </w:r>
          </w:p>
        </w:tc>
        <w:tc>
          <w:tcPr>
            <w:tcW w:w="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3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172</w:t>
            </w:r>
          </w:p>
        </w:tc>
        <w:tc>
          <w:tcPr>
            <w:tcW w:w="100" w:type="dxa"/>
            <w:vAlign w:val="bottom"/>
            <w:tcBorders>
              <w:bottom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shd w:val="clear" w:color="auto" w:fill="CCEEFF"/>
          </w:tcPr>
          <w:p>
            <w:pPr>
              <w:jc w:val="right"/>
              <w:ind w:right="27"/>
              <w:spacing w:after="0" w:line="70" w:lineRule="exact"/>
              <w:rPr>
                <w:sz w:val="20"/>
                <w:szCs w:val="20"/>
                <w:color w:val="auto"/>
              </w:rPr>
            </w:pPr>
            <w:r>
              <w:rPr>
                <w:rFonts w:ascii="Times New Roman" w:cs="Times New Roman" w:eastAsia="Times New Roman" w:hAnsi="Times New Roman"/>
                <w:sz w:val="7"/>
                <w:szCs w:val="7"/>
                <w:color w:val="auto"/>
              </w:rPr>
              <w:t>(71,714)$</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192,132</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475,887</w:t>
            </w:r>
          </w:p>
        </w:tc>
        <w:tc>
          <w:tcPr>
            <w:tcW w:w="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bottom w:val="single" w:sz="8" w:color="auto"/>
            </w:tcBorders>
            <w:shd w:val="clear" w:color="auto" w:fill="CCEEFF"/>
          </w:tcPr>
          <w:p>
            <w:pPr>
              <w:ind w:left="340"/>
              <w:spacing w:after="0" w:line="70"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4,773</w:t>
            </w:r>
          </w:p>
        </w:tc>
        <w:tc>
          <w:tcPr>
            <w:tcW w:w="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5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601,250</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101,003</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702,253</w:t>
            </w:r>
          </w:p>
        </w:tc>
      </w:tr>
      <w:tr>
        <w:trPr>
          <w:trHeight w:val="70"/>
        </w:trPr>
        <w:tc>
          <w:tcPr>
            <w:tcW w:w="2380" w:type="dxa"/>
            <w:vAlign w:val="bottom"/>
          </w:tcPr>
          <w:p>
            <w:pPr>
              <w:spacing w:after="0" w:line="70" w:lineRule="exact"/>
              <w:rPr>
                <w:sz w:val="20"/>
                <w:szCs w:val="20"/>
                <w:color w:val="auto"/>
              </w:rPr>
            </w:pPr>
            <w:r>
              <w:rPr>
                <w:rFonts w:ascii="Times New Roman" w:cs="Times New Roman" w:eastAsia="Times New Roman" w:hAnsi="Times New Roman"/>
                <w:sz w:val="7"/>
                <w:szCs w:val="7"/>
                <w:color w:val="auto"/>
              </w:rPr>
              <w:t>Purchase of 56,284 shares of common stock</w:t>
            </w:r>
          </w:p>
        </w:tc>
        <w:tc>
          <w:tcPr>
            <w:tcW w:w="40" w:type="dxa"/>
            <w:vAlign w:val="bottom"/>
          </w:tcPr>
          <w:p>
            <w:pPr>
              <w:spacing w:after="0"/>
              <w:rPr>
                <w:sz w:val="6"/>
                <w:szCs w:val="6"/>
                <w:color w:val="auto"/>
              </w:rPr>
            </w:pP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6"/>
                <w:szCs w:val="6"/>
                <w:color w:val="auto"/>
              </w:rPr>
            </w:pP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6"/>
                <w:szCs w:val="6"/>
                <w:color w:val="auto"/>
              </w:rPr>
            </w:pPr>
          </w:p>
        </w:tc>
        <w:tc>
          <w:tcPr>
            <w:tcW w:w="860" w:type="dxa"/>
            <w:vAlign w:val="bottom"/>
            <w:tcBorders>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3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440" w:type="dxa"/>
            <w:vAlign w:val="bottom"/>
          </w:tcPr>
          <w:p>
            <w:pPr>
              <w:jc w:val="right"/>
              <w:ind w:right="67"/>
              <w:spacing w:after="0" w:line="70" w:lineRule="exact"/>
              <w:rPr>
                <w:sz w:val="20"/>
                <w:szCs w:val="20"/>
                <w:color w:val="auto"/>
              </w:rPr>
            </w:pPr>
            <w:r>
              <w:rPr>
                <w:rFonts w:ascii="Times New Roman" w:cs="Times New Roman" w:eastAsia="Times New Roman" w:hAnsi="Times New Roman"/>
                <w:sz w:val="7"/>
                <w:szCs w:val="7"/>
                <w:color w:val="auto"/>
              </w:rPr>
              <w:t>(2,081)</w:t>
            </w:r>
          </w:p>
        </w:tc>
        <w:tc>
          <w:tcPr>
            <w:tcW w:w="3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340" w:type="dxa"/>
            <w:vAlign w:val="bottom"/>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600" w:type="dxa"/>
            <w:vAlign w:val="bottom"/>
          </w:tcPr>
          <w:p>
            <w:pPr>
              <w:ind w:left="340"/>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50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(2,081)</w:t>
            </w:r>
          </w:p>
        </w:tc>
        <w:tc>
          <w:tcPr>
            <w:tcW w:w="100" w:type="dxa"/>
            <w:vAlign w:val="bottom"/>
          </w:tcPr>
          <w:p>
            <w:pPr>
              <w:spacing w:after="0"/>
              <w:rPr>
                <w:sz w:val="6"/>
                <w:szCs w:val="6"/>
                <w:color w:val="auto"/>
              </w:rPr>
            </w:pPr>
          </w:p>
        </w:tc>
        <w:tc>
          <w:tcPr>
            <w:tcW w:w="42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280" w:type="dxa"/>
            <w:vAlign w:val="bottom"/>
          </w:tcPr>
          <w:p>
            <w:pPr>
              <w:jc w:val="right"/>
              <w:spacing w:after="0" w:line="70" w:lineRule="exact"/>
              <w:rPr>
                <w:sz w:val="20"/>
                <w:szCs w:val="20"/>
                <w:color w:val="auto"/>
              </w:rPr>
            </w:pPr>
            <w:r>
              <w:rPr>
                <w:rFonts w:ascii="Times New Roman" w:cs="Times New Roman" w:eastAsia="Times New Roman" w:hAnsi="Times New Roman"/>
                <w:sz w:val="7"/>
                <w:szCs w:val="7"/>
                <w:color w:val="auto"/>
              </w:rPr>
              <w:t>(2,081)</w:t>
            </w:r>
          </w:p>
        </w:tc>
      </w:tr>
      <w:tr>
        <w:trPr>
          <w:trHeight w:val="8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1,310</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1,310</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150</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1,460</w:t>
            </w:r>
          </w:p>
        </w:tc>
      </w:tr>
      <w:tr>
        <w:trPr>
          <w:trHeight w:val="81"/>
        </w:trPr>
        <w:tc>
          <w:tcPr>
            <w:tcW w:w="2380" w:type="dxa"/>
            <w:vAlign w:val="bottom"/>
          </w:tcPr>
          <w:p>
            <w:pPr>
              <w:spacing w:after="0"/>
              <w:rPr>
                <w:sz w:val="20"/>
                <w:szCs w:val="20"/>
                <w:color w:val="auto"/>
              </w:rPr>
            </w:pPr>
            <w:r>
              <w:rPr>
                <w:rFonts w:ascii="Times New Roman" w:cs="Times New Roman" w:eastAsia="Times New Roman" w:hAnsi="Times New Roman"/>
                <w:sz w:val="7"/>
                <w:szCs w:val="7"/>
                <w:color w:val="auto"/>
              </w:rPr>
              <w:t>Dividends declared on common stock ($0.17 per common share)</w:t>
            </w:r>
          </w:p>
        </w:tc>
        <w:tc>
          <w:tcPr>
            <w:tcW w:w="4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86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(2,675)</w:t>
            </w:r>
          </w:p>
        </w:tc>
        <w:tc>
          <w:tcPr>
            <w:tcW w:w="100" w:type="dxa"/>
            <w:vAlign w:val="bottom"/>
          </w:tcPr>
          <w:p>
            <w:pPr>
              <w:spacing w:after="0"/>
              <w:rPr>
                <w:sz w:val="7"/>
                <w:szCs w:val="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(2,675)</w:t>
            </w:r>
          </w:p>
        </w:tc>
        <w:tc>
          <w:tcPr>
            <w:tcW w:w="1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(263)</w:t>
            </w:r>
          </w:p>
        </w:tc>
        <w:tc>
          <w:tcPr>
            <w:tcW w:w="100" w:type="dxa"/>
            <w:vAlign w:val="bottom"/>
          </w:tcPr>
          <w:p>
            <w:pPr>
              <w:spacing w:after="0"/>
              <w:rPr>
                <w:sz w:val="7"/>
                <w:szCs w:val="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(2,938)</w:t>
            </w:r>
          </w:p>
        </w:tc>
      </w:tr>
      <w:tr>
        <w:trPr>
          <w:trHeight w:val="8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(278)</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(278)</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(2,205)</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(2,483)</w:t>
            </w:r>
          </w:p>
        </w:tc>
      </w:tr>
      <w:tr>
        <w:trPr>
          <w:trHeight w:val="81"/>
        </w:trPr>
        <w:tc>
          <w:tcPr>
            <w:tcW w:w="2380" w:type="dxa"/>
            <w:vAlign w:val="bottom"/>
          </w:tcPr>
          <w:p>
            <w:pPr>
              <w:spacing w:after="0"/>
              <w:rPr>
                <w:sz w:val="20"/>
                <w:szCs w:val="20"/>
                <w:color w:val="auto"/>
              </w:rPr>
            </w:pPr>
            <w:r>
              <w:rPr>
                <w:rFonts w:ascii="Times New Roman" w:cs="Times New Roman" w:eastAsia="Times New Roman" w:hAnsi="Times New Roman"/>
                <w:sz w:val="7"/>
                <w:szCs w:val="7"/>
                <w:color w:val="auto"/>
              </w:rPr>
              <w:t>Accrued dividend - redeemable preferred units</w:t>
            </w:r>
          </w:p>
        </w:tc>
        <w:tc>
          <w:tcPr>
            <w:tcW w:w="4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1,116</w:t>
            </w:r>
          </w:p>
        </w:tc>
        <w:tc>
          <w:tcPr>
            <w:tcW w:w="12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86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1,116</w:t>
            </w:r>
          </w:p>
        </w:tc>
        <w:tc>
          <w:tcPr>
            <w:tcW w:w="6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(1,116)</w:t>
            </w:r>
          </w:p>
        </w:tc>
        <w:tc>
          <w:tcPr>
            <w:tcW w:w="100" w:type="dxa"/>
            <w:vAlign w:val="bottom"/>
          </w:tcPr>
          <w:p>
            <w:pPr>
              <w:spacing w:after="0"/>
              <w:rPr>
                <w:sz w:val="7"/>
                <w:szCs w:val="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(1,116)</w:t>
            </w:r>
          </w:p>
        </w:tc>
        <w:tc>
          <w:tcPr>
            <w:tcW w:w="1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(1,116)</w:t>
            </w:r>
          </w:p>
        </w:tc>
      </w:tr>
      <w:tr>
        <w:trPr>
          <w:trHeight w:val="8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Deemed dividend - redeemable common units</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1,092</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1,092</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(1,092)</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7"/>
                <w:szCs w:val="7"/>
                <w:color w:val="auto"/>
              </w:rPr>
              <w:t>1,092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r>
      <w:tr>
        <w:trPr>
          <w:trHeight w:val="81"/>
        </w:trPr>
        <w:tc>
          <w:tcPr>
            <w:tcW w:w="2380" w:type="dxa"/>
            <w:vAlign w:val="bottom"/>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81"/>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7"/>
                <w:szCs w:val="7"/>
                <w:color w:val="auto"/>
              </w:rPr>
              <w:t>Net income (loss)</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(1,092)</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(1,092)</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(948)</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7"/>
                <w:szCs w:val="7"/>
                <w:color w:val="auto"/>
              </w:rPr>
              <w:t>(1,092)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(2,040)</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83</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(1,957)</w:t>
            </w:r>
          </w:p>
        </w:tc>
      </w:tr>
      <w:tr>
        <w:trPr>
          <w:trHeight w:val="81"/>
        </w:trPr>
        <w:tc>
          <w:tcPr>
            <w:tcW w:w="2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7"/>
                <w:szCs w:val="7"/>
                <w:color w:val="auto"/>
              </w:rPr>
              <w:t>Other comprehensive income</w:t>
            </w:r>
          </w:p>
        </w:tc>
        <w:tc>
          <w:tcPr>
            <w:tcW w:w="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422</w:t>
            </w: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422</w:t>
            </w: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422</w:t>
            </w:r>
          </w:p>
        </w:tc>
      </w:tr>
      <w:tr>
        <w:trPr>
          <w:trHeight w:val="70"/>
        </w:trPr>
        <w:tc>
          <w:tcPr>
            <w:tcW w:w="2380" w:type="dxa"/>
            <w:vAlign w:val="bottom"/>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 (loss)</w:t>
            </w:r>
          </w:p>
        </w:tc>
        <w:tc>
          <w:tcPr>
            <w:tcW w:w="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(1,092)</w:t>
            </w: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right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(1,092)</w:t>
            </w:r>
          </w:p>
        </w:tc>
        <w:tc>
          <w:tcPr>
            <w:tcW w:w="6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ind w:right="87"/>
              <w:spacing w:after="0" w:line="70"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(948)</w:t>
            </w: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jc w:val="right"/>
              <w:ind w:right="127"/>
              <w:spacing w:after="0" w:line="70" w:lineRule="exact"/>
              <w:rPr>
                <w:sz w:val="20"/>
                <w:szCs w:val="20"/>
                <w:color w:val="auto"/>
              </w:rPr>
            </w:pPr>
            <w:r>
              <w:rPr>
                <w:rFonts w:ascii="Times New Roman" w:cs="Times New Roman" w:eastAsia="Times New Roman" w:hAnsi="Times New Roman"/>
                <w:sz w:val="7"/>
                <w:szCs w:val="7"/>
                <w:color w:val="auto"/>
              </w:rPr>
              <w:t>(1,092)</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422</w:t>
            </w:r>
          </w:p>
        </w:tc>
        <w:tc>
          <w:tcPr>
            <w:tcW w:w="10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(1,618)</w:t>
            </w:r>
          </w:p>
        </w:tc>
        <w:tc>
          <w:tcPr>
            <w:tcW w:w="1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83</w:t>
            </w:r>
          </w:p>
        </w:tc>
        <w:tc>
          <w:tcPr>
            <w:tcW w:w="10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(1,535)</w:t>
            </w:r>
          </w:p>
        </w:tc>
      </w:tr>
      <w:tr>
        <w:trPr>
          <w:trHeight w:val="77"/>
        </w:trPr>
        <w:tc>
          <w:tcPr>
            <w:tcW w:w="2380" w:type="dxa"/>
            <w:vAlign w:val="bottom"/>
            <w:tcBorders>
              <w:bottom w:val="single" w:sz="8" w:color="CCEEFF"/>
            </w:tcBorders>
          </w:tcPr>
          <w:p>
            <w:pPr>
              <w:spacing w:after="0" w:line="70" w:lineRule="exact"/>
              <w:rPr>
                <w:sz w:val="20"/>
                <w:szCs w:val="20"/>
                <w:color w:val="auto"/>
              </w:rPr>
            </w:pPr>
            <w:r>
              <w:rPr>
                <w:rFonts w:ascii="Times New Roman" w:cs="Times New Roman" w:eastAsia="Times New Roman" w:hAnsi="Times New Roman"/>
                <w:sz w:val="7"/>
                <w:szCs w:val="7"/>
                <w:color w:val="auto"/>
              </w:rPr>
              <w:t>Balance, March 31, 2022</w:t>
            </w: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51,412</w:t>
            </w:r>
          </w:p>
        </w:tc>
        <w:tc>
          <w:tcPr>
            <w:tcW w:w="120" w:type="dxa"/>
            <w:vAlign w:val="bottom"/>
            <w:tcBorders>
              <w:bottom w:val="single" w:sz="8" w:color="auto"/>
            </w:tcBorders>
          </w:tcPr>
          <w:p>
            <w:pPr>
              <w:jc w:val="right"/>
              <w:ind w:right="27"/>
              <w:spacing w:after="0" w:line="70"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22,640</w:t>
            </w: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74,052</w:t>
            </w:r>
          </w:p>
        </w:tc>
        <w:tc>
          <w:tcPr>
            <w:tcW w:w="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3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172</w:t>
            </w:r>
          </w:p>
        </w:tc>
        <w:tc>
          <w:tcPr>
            <w:tcW w:w="100" w:type="dxa"/>
            <w:vAlign w:val="bottom"/>
            <w:tcBorders>
              <w:bottom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tcPr>
          <w:p>
            <w:pPr>
              <w:jc w:val="right"/>
              <w:ind w:right="27"/>
              <w:spacing w:after="0" w:line="70" w:lineRule="exact"/>
              <w:rPr>
                <w:sz w:val="20"/>
                <w:szCs w:val="20"/>
                <w:color w:val="auto"/>
              </w:rPr>
            </w:pPr>
            <w:r>
              <w:rPr>
                <w:rFonts w:ascii="Times New Roman" w:cs="Times New Roman" w:eastAsia="Times New Roman" w:hAnsi="Times New Roman"/>
                <w:sz w:val="7"/>
                <w:szCs w:val="7"/>
                <w:color w:val="auto"/>
              </w:rPr>
              <w:t>(73,795)$</w:t>
            </w: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193,164</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470,056</w:t>
            </w:r>
          </w:p>
        </w:tc>
        <w:tc>
          <w:tcPr>
            <w:tcW w:w="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bottom w:val="single" w:sz="8" w:color="auto"/>
            </w:tcBorders>
          </w:tcPr>
          <w:p>
            <w:pPr>
              <w:ind w:left="340"/>
              <w:spacing w:after="0" w:line="70"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5,195</w:t>
            </w:r>
          </w:p>
        </w:tc>
        <w:tc>
          <w:tcPr>
            <w:tcW w:w="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5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594,792</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98,768</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693,560</w:t>
            </w:r>
          </w:p>
        </w:tc>
      </w:tr>
      <w:tr>
        <w:trPr>
          <w:trHeight w:val="81"/>
        </w:trPr>
        <w:tc>
          <w:tcPr>
            <w:tcW w:w="2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r>
      <w:tr>
        <w:trPr>
          <w:trHeight w:val="81"/>
        </w:trPr>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7"/>
                <w:szCs w:val="7"/>
                <w:color w:val="auto"/>
              </w:rPr>
              <w:t>Balance, December 31, 2020</w:t>
            </w: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7"/>
                <w:szCs w:val="7"/>
                <w:color w:val="auto"/>
              </w:rPr>
              <w:t>— $</w:t>
            </w:r>
          </w:p>
        </w:tc>
        <w:tc>
          <w:tcPr>
            <w:tcW w:w="62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7"/>
                <w:szCs w:val="7"/>
                <w:color w:val="auto"/>
              </w:rPr>
              <w:t>— $</w:t>
            </w:r>
          </w:p>
        </w:tc>
        <w:tc>
          <w:tcPr>
            <w:tcW w:w="86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172</w:t>
            </w:r>
          </w:p>
        </w:tc>
        <w:tc>
          <w:tcPr>
            <w:tcW w:w="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7"/>
                <w:szCs w:val="7"/>
                <w:color w:val="auto"/>
              </w:rPr>
              <w:t>(59,456)$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187,754</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516,901</w:t>
            </w:r>
          </w:p>
        </w:tc>
        <w:tc>
          <w:tcPr>
            <w:tcW w:w="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7"/>
                <w:szCs w:val="7"/>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278</w:t>
            </w:r>
          </w:p>
        </w:tc>
        <w:tc>
          <w:tcPr>
            <w:tcW w:w="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645,649</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108,687</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754,336</w:t>
            </w:r>
          </w:p>
        </w:tc>
      </w:tr>
      <w:tr>
        <w:trPr>
          <w:trHeight w:val="70"/>
        </w:trPr>
        <w:tc>
          <w:tcPr>
            <w:tcW w:w="2380" w:type="dxa"/>
            <w:vAlign w:val="bottom"/>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Purchase of 43,978 shares of common stock</w:t>
            </w:r>
          </w:p>
        </w:tc>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6"/>
                <w:szCs w:val="6"/>
                <w:color w:val="auto"/>
              </w:rPr>
            </w:pPr>
          </w:p>
        </w:tc>
        <w:tc>
          <w:tcPr>
            <w:tcW w:w="860" w:type="dxa"/>
            <w:vAlign w:val="bottom"/>
            <w:tcBorders>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jc w:val="right"/>
              <w:ind w:right="67"/>
              <w:spacing w:after="0" w:line="70" w:lineRule="exact"/>
              <w:rPr>
                <w:sz w:val="20"/>
                <w:szCs w:val="20"/>
                <w:color w:val="auto"/>
              </w:rPr>
            </w:pPr>
            <w:r>
              <w:rPr>
                <w:rFonts w:ascii="Times New Roman" w:cs="Times New Roman" w:eastAsia="Times New Roman" w:hAnsi="Times New Roman"/>
                <w:sz w:val="7"/>
                <w:szCs w:val="7"/>
                <w:color w:val="auto"/>
              </w:rPr>
              <w:t>(2,221)</w:t>
            </w:r>
          </w:p>
        </w:tc>
        <w:tc>
          <w:tcPr>
            <w:tcW w:w="38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ind w:left="340"/>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(2,221)</w:t>
            </w: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(2,221)</w:t>
            </w:r>
          </w:p>
        </w:tc>
      </w:tr>
      <w:tr>
        <w:trPr>
          <w:trHeight w:val="81"/>
        </w:trPr>
        <w:tc>
          <w:tcPr>
            <w:tcW w:w="2380" w:type="dxa"/>
            <w:vAlign w:val="bottom"/>
          </w:tcPr>
          <w:p>
            <w:pPr>
              <w:spacing w:after="0"/>
              <w:rPr>
                <w:sz w:val="20"/>
                <w:szCs w:val="20"/>
                <w:color w:val="auto"/>
              </w:rPr>
            </w:pPr>
            <w:r>
              <w:rPr>
                <w:rFonts w:ascii="Times New Roman" w:cs="Times New Roman" w:eastAsia="Times New Roman" w:hAnsi="Times New Roman"/>
                <w:sz w:val="7"/>
                <w:szCs w:val="7"/>
                <w:color w:val="auto"/>
              </w:rPr>
              <w:t>Stock-based compensation</w:t>
            </w:r>
          </w:p>
        </w:tc>
        <w:tc>
          <w:tcPr>
            <w:tcW w:w="4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86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1,262</w:t>
            </w:r>
          </w:p>
        </w:tc>
        <w:tc>
          <w:tcPr>
            <w:tcW w:w="100" w:type="dxa"/>
            <w:vAlign w:val="bottom"/>
          </w:tcPr>
          <w:p>
            <w:pPr>
              <w:spacing w:after="0"/>
              <w:rPr>
                <w:sz w:val="7"/>
                <w:szCs w:val="7"/>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1,262</w:t>
            </w:r>
          </w:p>
        </w:tc>
        <w:tc>
          <w:tcPr>
            <w:tcW w:w="1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74</w:t>
            </w:r>
          </w:p>
        </w:tc>
        <w:tc>
          <w:tcPr>
            <w:tcW w:w="100" w:type="dxa"/>
            <w:vAlign w:val="bottom"/>
          </w:tcPr>
          <w:p>
            <w:pPr>
              <w:spacing w:after="0"/>
              <w:rPr>
                <w:sz w:val="7"/>
                <w:szCs w:val="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1,336</w:t>
            </w:r>
          </w:p>
        </w:tc>
      </w:tr>
      <w:tr>
        <w:trPr>
          <w:trHeight w:val="8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Dividends declared on common stock ($0.17 per common share)</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(2,710)</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(2,710)</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(2,710)</w:t>
            </w:r>
          </w:p>
        </w:tc>
      </w:tr>
      <w:tr>
        <w:trPr>
          <w:trHeight w:val="81"/>
        </w:trPr>
        <w:tc>
          <w:tcPr>
            <w:tcW w:w="2380" w:type="dxa"/>
            <w:vAlign w:val="bottom"/>
          </w:tcPr>
          <w:p>
            <w:pPr>
              <w:spacing w:after="0"/>
              <w:rPr>
                <w:sz w:val="20"/>
                <w:szCs w:val="20"/>
                <w:color w:val="auto"/>
              </w:rPr>
            </w:pPr>
            <w:r>
              <w:rPr>
                <w:rFonts w:ascii="Times New Roman" w:cs="Times New Roman" w:eastAsia="Times New Roman" w:hAnsi="Times New Roman"/>
                <w:sz w:val="7"/>
                <w:szCs w:val="7"/>
                <w:color w:val="auto"/>
              </w:rPr>
              <w:t>Distributions to non-controlling interests</w:t>
            </w:r>
          </w:p>
        </w:tc>
        <w:tc>
          <w:tcPr>
            <w:tcW w:w="4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860" w:type="dxa"/>
            <w:vAlign w:val="bottom"/>
            <w:tcBorders>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(1,530)</w:t>
            </w:r>
          </w:p>
        </w:tc>
        <w:tc>
          <w:tcPr>
            <w:tcW w:w="100" w:type="dxa"/>
            <w:vAlign w:val="bottom"/>
          </w:tcPr>
          <w:p>
            <w:pPr>
              <w:spacing w:after="0"/>
              <w:rPr>
                <w:sz w:val="7"/>
                <w:szCs w:val="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(1,530)</w:t>
            </w:r>
          </w:p>
        </w:tc>
      </w:tr>
      <w:tr>
        <w:trPr>
          <w:trHeight w:val="8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Repurchase of noncontrolling interests</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(2,086)</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(2,086)</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(9,123)</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(11,209)</w:t>
            </w:r>
          </w:p>
        </w:tc>
      </w:tr>
      <w:tr>
        <w:trPr>
          <w:trHeight w:val="81"/>
        </w:trPr>
        <w:tc>
          <w:tcPr>
            <w:tcW w:w="2380" w:type="dxa"/>
            <w:vAlign w:val="bottom"/>
          </w:tcPr>
          <w:p>
            <w:pPr>
              <w:spacing w:after="0"/>
              <w:rPr>
                <w:sz w:val="20"/>
                <w:szCs w:val="20"/>
                <w:color w:val="auto"/>
              </w:rPr>
            </w:pPr>
            <w:r>
              <w:rPr>
                <w:rFonts w:ascii="Times New Roman" w:cs="Times New Roman" w:eastAsia="Times New Roman" w:hAnsi="Times New Roman"/>
                <w:sz w:val="7"/>
                <w:szCs w:val="7"/>
                <w:i w:val="1"/>
                <w:iCs w:val="1"/>
                <w:color w:val="auto"/>
              </w:rPr>
              <w:t>Comprehensive income:</w:t>
            </w: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81"/>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7"/>
                <w:szCs w:val="7"/>
                <w:color w:val="auto"/>
              </w:rPr>
              <w:t>Net income</w:t>
            </w: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7"/>
                <w:szCs w:val="7"/>
                <w:color w:val="auto"/>
              </w:rPr>
              <w:t>2,706</w:t>
            </w: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2,706</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1,570</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4,276</w:t>
            </w:r>
          </w:p>
        </w:tc>
      </w:tr>
      <w:tr>
        <w:trPr>
          <w:trHeight w:val="81"/>
        </w:trPr>
        <w:tc>
          <w:tcPr>
            <w:tcW w:w="2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7"/>
                <w:szCs w:val="7"/>
                <w:color w:val="auto"/>
              </w:rPr>
              <w:t>Other comprehensive income (loss)</w:t>
            </w:r>
          </w:p>
        </w:tc>
        <w:tc>
          <w:tcPr>
            <w:tcW w:w="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(9)</w:t>
            </w: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(9)</w:t>
            </w: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(9)</w:t>
            </w:r>
          </w:p>
        </w:tc>
      </w:tr>
      <w:tr>
        <w:trPr>
          <w:trHeight w:val="70"/>
        </w:trPr>
        <w:tc>
          <w:tcPr>
            <w:tcW w:w="2380" w:type="dxa"/>
            <w:vAlign w:val="bottom"/>
            <w:shd w:val="clear" w:color="auto" w:fill="CCEEFF"/>
          </w:tcPr>
          <w:p>
            <w:pPr>
              <w:spacing w:after="0" w:line="70" w:lineRule="exact"/>
              <w:rPr>
                <w:sz w:val="20"/>
                <w:szCs w:val="20"/>
                <w:color w:val="auto"/>
              </w:rPr>
            </w:pPr>
            <w:r>
              <w:rPr>
                <w:rFonts w:ascii="Times New Roman" w:cs="Times New Roman" w:eastAsia="Times New Roman" w:hAnsi="Times New Roman"/>
                <w:sz w:val="7"/>
                <w:szCs w:val="7"/>
                <w:color w:val="auto"/>
              </w:rPr>
              <w:t>Total comprehensive income (loss)</w:t>
            </w:r>
          </w:p>
        </w:tc>
        <w:tc>
          <w:tcPr>
            <w:tcW w:w="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right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ind w:right="87"/>
              <w:spacing w:after="0" w:line="70"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2,706</w:t>
            </w: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ind w:left="340"/>
              <w:spacing w:after="0" w:line="70"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(9)</w:t>
            </w:r>
          </w:p>
        </w:tc>
        <w:tc>
          <w:tcPr>
            <w:tcW w:w="10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2,697</w:t>
            </w:r>
          </w:p>
        </w:tc>
        <w:tc>
          <w:tcPr>
            <w:tcW w:w="1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1,570</w:t>
            </w:r>
          </w:p>
        </w:tc>
        <w:tc>
          <w:tcPr>
            <w:tcW w:w="10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jc w:val="right"/>
              <w:spacing w:after="0" w:line="70" w:lineRule="exact"/>
              <w:rPr>
                <w:sz w:val="20"/>
                <w:szCs w:val="20"/>
                <w:color w:val="auto"/>
              </w:rPr>
            </w:pPr>
            <w:r>
              <w:rPr>
                <w:rFonts w:ascii="Times New Roman" w:cs="Times New Roman" w:eastAsia="Times New Roman" w:hAnsi="Times New Roman"/>
                <w:sz w:val="7"/>
                <w:szCs w:val="7"/>
                <w:color w:val="auto"/>
              </w:rPr>
              <w:t>4,267</w:t>
            </w:r>
          </w:p>
        </w:tc>
      </w:tr>
      <w:tr>
        <w:trPr>
          <w:trHeight w:val="77"/>
        </w:trPr>
        <w:tc>
          <w:tcPr>
            <w:tcW w:w="2380" w:type="dxa"/>
            <w:vAlign w:val="bottom"/>
          </w:tcPr>
          <w:p>
            <w:pPr>
              <w:spacing w:after="0" w:line="70" w:lineRule="exact"/>
              <w:rPr>
                <w:sz w:val="20"/>
                <w:szCs w:val="20"/>
                <w:color w:val="auto"/>
              </w:rPr>
            </w:pPr>
            <w:r>
              <w:rPr>
                <w:rFonts w:ascii="Times New Roman" w:cs="Times New Roman" w:eastAsia="Times New Roman" w:hAnsi="Times New Roman"/>
                <w:sz w:val="7"/>
                <w:szCs w:val="7"/>
                <w:color w:val="auto"/>
              </w:rPr>
              <w:t>Balance, March 31, 2021</w:t>
            </w: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gridSpan w:val="2"/>
          </w:tcPr>
          <w:p>
            <w:pPr>
              <w:jc w:val="right"/>
              <w:ind w:right="27"/>
              <w:spacing w:after="0" w:line="70" w:lineRule="exact"/>
              <w:rPr>
                <w:sz w:val="20"/>
                <w:szCs w:val="20"/>
                <w:color w:val="auto"/>
              </w:rPr>
            </w:pPr>
            <w:r>
              <w:rPr>
                <w:rFonts w:ascii="Times New Roman" w:cs="Times New Roman" w:eastAsia="Times New Roman" w:hAnsi="Times New Roman"/>
                <w:sz w:val="7"/>
                <w:szCs w:val="7"/>
                <w:color w:val="auto"/>
              </w:rPr>
              <w:t>— $</w:t>
            </w:r>
          </w:p>
        </w:tc>
        <w:tc>
          <w:tcPr>
            <w:tcW w:w="620" w:type="dxa"/>
            <w:vAlign w:val="bottom"/>
            <w:tcBorders>
              <w:bottom w:val="single" w:sz="8" w:color="auto"/>
            </w:tcBorders>
            <w:gridSpan w:val="2"/>
          </w:tcPr>
          <w:p>
            <w:pPr>
              <w:jc w:val="right"/>
              <w:ind w:right="113"/>
              <w:spacing w:after="0" w:line="70" w:lineRule="exact"/>
              <w:rPr>
                <w:sz w:val="20"/>
                <w:szCs w:val="20"/>
                <w:color w:val="auto"/>
              </w:rPr>
            </w:pPr>
            <w:r>
              <w:rPr>
                <w:rFonts w:ascii="Times New Roman" w:cs="Times New Roman" w:eastAsia="Times New Roman" w:hAnsi="Times New Roman"/>
                <w:sz w:val="7"/>
                <w:szCs w:val="7"/>
                <w:color w:val="auto"/>
              </w:rPr>
              <w:t>— $</w:t>
            </w:r>
          </w:p>
        </w:tc>
        <w:tc>
          <w:tcPr>
            <w:tcW w:w="860" w:type="dxa"/>
            <w:vAlign w:val="bottom"/>
            <w:tcBorders>
              <w:bottom w:val="single" w:sz="8" w:color="auto"/>
              <w:right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3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172</w:t>
            </w:r>
          </w:p>
        </w:tc>
        <w:tc>
          <w:tcPr>
            <w:tcW w:w="100" w:type="dxa"/>
            <w:vAlign w:val="bottom"/>
            <w:tcBorders>
              <w:bottom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tcPr>
          <w:p>
            <w:pPr>
              <w:jc w:val="right"/>
              <w:ind w:right="27"/>
              <w:spacing w:after="0" w:line="70" w:lineRule="exact"/>
              <w:rPr>
                <w:sz w:val="20"/>
                <w:szCs w:val="20"/>
                <w:color w:val="auto"/>
              </w:rPr>
            </w:pPr>
            <w:r>
              <w:rPr>
                <w:rFonts w:ascii="Times New Roman" w:cs="Times New Roman" w:eastAsia="Times New Roman" w:hAnsi="Times New Roman"/>
                <w:sz w:val="7"/>
                <w:szCs w:val="7"/>
                <w:color w:val="auto"/>
              </w:rPr>
              <w:t>(61,677)$</w:t>
            </w:r>
          </w:p>
        </w:tc>
        <w:tc>
          <w:tcPr>
            <w:tcW w:w="3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186,930</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tcPr>
          <w:p>
            <w:pPr>
              <w:jc w:val="right"/>
              <w:ind w:right="7"/>
              <w:spacing w:after="0" w:line="70" w:lineRule="exact"/>
              <w:rPr>
                <w:sz w:val="20"/>
                <w:szCs w:val="20"/>
                <w:color w:val="auto"/>
              </w:rPr>
            </w:pPr>
            <w:r>
              <w:rPr>
                <w:rFonts w:ascii="Times New Roman" w:cs="Times New Roman" w:eastAsia="Times New Roman" w:hAnsi="Times New Roman"/>
                <w:sz w:val="7"/>
                <w:szCs w:val="7"/>
                <w:color w:val="auto"/>
              </w:rPr>
              <w:t>516,897</w:t>
            </w:r>
          </w:p>
        </w:tc>
        <w:tc>
          <w:tcPr>
            <w:tcW w:w="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bottom w:val="single" w:sz="8" w:color="auto"/>
            </w:tcBorders>
          </w:tcPr>
          <w:p>
            <w:pPr>
              <w:ind w:left="340"/>
              <w:spacing w:after="0" w:line="70"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269</w:t>
            </w:r>
          </w:p>
        </w:tc>
        <w:tc>
          <w:tcPr>
            <w:tcW w:w="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color w:val="auto"/>
                <w:w w:val="4294967286"/>
              </w:rPr>
              <w:t>$</w:t>
            </w:r>
          </w:p>
        </w:tc>
        <w:tc>
          <w:tcPr>
            <w:tcW w:w="5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642,591</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99,678</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color w:val="auto"/>
              </w:rPr>
              <w:t>742,269</w:t>
            </w:r>
          </w:p>
        </w:tc>
      </w:tr>
    </w:tbl>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r>
        <w:rPr>
          <w:rFonts w:ascii="Times New Roman" w:cs="Times New Roman" w:eastAsia="Times New Roman" w:hAnsi="Times New Roman"/>
          <w:sz w:val="9"/>
          <w:szCs w:val="9"/>
          <w:b w:val="1"/>
          <w:bCs w:val="1"/>
          <w:color w:val="auto"/>
        </w:rPr>
        <w: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THREE MONTHS ENDED MARCH 31, 2022 AND 2021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90"/>
        </w:trPr>
        <w:tc>
          <w:tcPr>
            <w:tcW w:w="71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7"/>
                <w:szCs w:val="7"/>
                <w:b w:val="1"/>
                <w:bCs w:val="1"/>
                <w:color w:val="auto"/>
              </w:rPr>
              <w:t>Three Months Ended March 31,</w:t>
            </w: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70"/>
        </w:trPr>
        <w:tc>
          <w:tcPr>
            <w:tcW w:w="7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jc w:val="right"/>
              <w:ind w:right="358"/>
              <w:spacing w:after="0" w:line="70" w:lineRule="exact"/>
              <w:rPr>
                <w:sz w:val="20"/>
                <w:szCs w:val="20"/>
                <w:color w:val="auto"/>
              </w:rPr>
            </w:pPr>
            <w:r>
              <w:rPr>
                <w:rFonts w:ascii="Times New Roman" w:cs="Times New Roman" w:eastAsia="Times New Roman" w:hAnsi="Times New Roman"/>
                <w:sz w:val="7"/>
                <w:szCs w:val="7"/>
                <w:b w:val="1"/>
                <w:bCs w:val="1"/>
                <w:color w:val="auto"/>
              </w:rPr>
              <w:t>2022</w:t>
            </w:r>
          </w:p>
        </w:tc>
        <w:tc>
          <w:tcPr>
            <w:tcW w:w="2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ind w:right="218"/>
              <w:spacing w:after="0" w:line="70" w:lineRule="exact"/>
              <w:rPr>
                <w:sz w:val="20"/>
                <w:szCs w:val="20"/>
                <w:color w:val="auto"/>
              </w:rPr>
            </w:pPr>
            <w:r>
              <w:rPr>
                <w:rFonts w:ascii="Times New Roman" w:cs="Times New Roman" w:eastAsia="Times New Roman" w:hAnsi="Times New Roman"/>
                <w:sz w:val="7"/>
                <w:szCs w:val="7"/>
                <w:b w:val="1"/>
                <w:bCs w:val="1"/>
                <w:color w:val="auto"/>
                <w:w w:val="99"/>
              </w:rPr>
              <w:t>2021</w:t>
            </w:r>
          </w:p>
        </w:tc>
        <w:tc>
          <w:tcPr>
            <w:tcW w:w="20" w:type="dxa"/>
            <w:vAlign w:val="bottom"/>
          </w:tcPr>
          <w:p>
            <w:pPr>
              <w:spacing w:after="0"/>
              <w:rPr>
                <w:sz w:val="6"/>
                <w:szCs w:val="6"/>
                <w:color w:val="auto"/>
              </w:rPr>
            </w:pPr>
          </w:p>
        </w:tc>
      </w:tr>
      <w:tr>
        <w:trPr>
          <w:trHeight w:val="79"/>
        </w:trPr>
        <w:tc>
          <w:tcPr>
            <w:tcW w:w="712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operating activities:</w:t>
            </w: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Net income</w:t>
            </w:r>
          </w:p>
        </w:tc>
        <w:tc>
          <w:tcPr>
            <w:tcW w:w="220" w:type="dxa"/>
            <w:vAlign w:val="bottom"/>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(1,957)</w:t>
            </w:r>
          </w:p>
        </w:tc>
        <w:tc>
          <w:tcPr>
            <w:tcW w:w="260" w:type="dxa"/>
            <w:vAlign w:val="bottom"/>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4,276</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Adjustments to reconcile net income to net cash flows provided by operating activities: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Depreciation</w:t>
            </w:r>
          </w:p>
        </w:tc>
        <w:tc>
          <w:tcPr>
            <w:tcW w:w="2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33,292</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20,111</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acquisition intangibles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3,258</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397</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Provision for doubtful accounts</w:t>
            </w:r>
          </w:p>
        </w:tc>
        <w:tc>
          <w:tcPr>
            <w:tcW w:w="2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1,913</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1,122</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debt discount and debt issuance costs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501</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168</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Stock-based compensation</w:t>
            </w:r>
          </w:p>
        </w:tc>
        <w:tc>
          <w:tcPr>
            <w:tcW w:w="2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1,461</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1,336</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Deferred income taxes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191</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(2,504)</w:t>
            </w: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Gain on equity investments</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(4,222)</w:t>
            </w:r>
          </w:p>
        </w:tc>
        <w:tc>
          <w:tcPr>
            <w:tcW w:w="260" w:type="dxa"/>
            <w:vAlign w:val="bottom"/>
          </w:tcPr>
          <w:p>
            <w:pPr>
              <w:spacing w:after="0"/>
              <w:rPr>
                <w:sz w:val="7"/>
                <w:szCs w:val="7"/>
                <w:color w:val="auto"/>
              </w:rPr>
            </w:pPr>
          </w:p>
        </w:tc>
        <w:tc>
          <w:tcPr>
            <w:tcW w:w="44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(2,188)</w:t>
            </w: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Loss on disposition of long-lived assets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3,420</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117</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Unrealized gain on foreign currency</w:t>
            </w:r>
          </w:p>
        </w:tc>
        <w:tc>
          <w:tcPr>
            <w:tcW w:w="220" w:type="dxa"/>
            <w:vAlign w:val="bottom"/>
          </w:tcPr>
          <w:p>
            <w:pPr>
              <w:spacing w:after="0"/>
              <w:rPr>
                <w:sz w:val="7"/>
                <w:szCs w:val="7"/>
                <w:color w:val="auto"/>
              </w:rPr>
            </w:pPr>
          </w:p>
        </w:tc>
        <w:tc>
          <w:tcPr>
            <w:tcW w:w="94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(81)</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Changes in operating assets and liabilities, excluding the effects of acquisitions and dispositions: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712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receivable</w:t>
            </w:r>
          </w:p>
        </w:tc>
        <w:tc>
          <w:tcPr>
            <w:tcW w:w="2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1,677</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1,430</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Customer receivable</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(746)</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(12,579)</w:t>
            </w:r>
          </w:p>
        </w:tc>
        <w:tc>
          <w:tcPr>
            <w:tcW w:w="20" w:type="dxa"/>
            <w:vAlign w:val="bottom"/>
            <w:shd w:val="clear" w:color="auto" w:fill="CCEEFF"/>
          </w:tcPr>
          <w:p>
            <w:pPr>
              <w:spacing w:after="0"/>
              <w:rPr>
                <w:sz w:val="7"/>
                <w:szCs w:val="7"/>
                <w:color w:val="auto"/>
              </w:rPr>
            </w:pPr>
          </w:p>
        </w:tc>
      </w:tr>
      <w:tr>
        <w:trPr>
          <w:trHeight w:val="90"/>
        </w:trPr>
        <w:tc>
          <w:tcPr>
            <w:tcW w:w="712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Materials and supplies, prepayments, and other current assets</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(5,330)</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(253)</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Prepaid income taxes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6,206</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r>
      <w:tr>
        <w:trPr>
          <w:trHeight w:val="90"/>
        </w:trPr>
        <w:tc>
          <w:tcPr>
            <w:tcW w:w="712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payable and accrued liabilities, advance payments and deposits and other current liabilities</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(27,465)</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(7,648)</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Accrued taxes</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2,763</w:t>
            </w: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1,810</w:t>
            </w:r>
          </w:p>
        </w:tc>
        <w:tc>
          <w:tcPr>
            <w:tcW w:w="20" w:type="dxa"/>
            <w:vAlign w:val="bottom"/>
          </w:tcPr>
          <w:p>
            <w:pPr>
              <w:spacing w:after="0"/>
              <w:rPr>
                <w:sz w:val="7"/>
                <w:szCs w:val="7"/>
                <w:color w:val="auto"/>
              </w:rPr>
            </w:pPr>
          </w:p>
        </w:tc>
      </w:tr>
      <w:tr>
        <w:trPr>
          <w:trHeight w:val="90"/>
        </w:trPr>
        <w:tc>
          <w:tcPr>
            <w:tcW w:w="712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Other assets</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(325)</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(242)</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Other liabilities</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(3,249)</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51</w:t>
            </w:r>
          </w:p>
        </w:tc>
        <w:tc>
          <w:tcPr>
            <w:tcW w:w="20" w:type="dxa"/>
            <w:vAlign w:val="bottom"/>
          </w:tcPr>
          <w:p>
            <w:pPr>
              <w:spacing w:after="0"/>
              <w:rPr>
                <w:sz w:val="7"/>
                <w:szCs w:val="7"/>
                <w:color w:val="auto"/>
              </w:rPr>
            </w:pPr>
          </w:p>
        </w:tc>
      </w:tr>
      <w:tr>
        <w:trPr>
          <w:trHeight w:val="79"/>
        </w:trPr>
        <w:tc>
          <w:tcPr>
            <w:tcW w:w="7120" w:type="dxa"/>
            <w:vAlign w:val="bottom"/>
            <w:tcBorders>
              <w:bottom w:val="single" w:sz="8" w:color="CCEEFF"/>
            </w:tcBorders>
          </w:tcPr>
          <w:p>
            <w:pPr>
              <w:ind w:left="220"/>
              <w:spacing w:after="0" w:line="79" w:lineRule="exact"/>
              <w:rPr>
                <w:sz w:val="20"/>
                <w:szCs w:val="20"/>
                <w:color w:val="auto"/>
              </w:rPr>
            </w:pPr>
            <w:r>
              <w:rPr>
                <w:rFonts w:ascii="Times New Roman" w:cs="Times New Roman" w:eastAsia="Times New Roman" w:hAnsi="Times New Roman"/>
                <w:sz w:val="8"/>
                <w:szCs w:val="8"/>
                <w:color w:val="auto"/>
              </w:rPr>
              <w:t>Net cash provided by operating activities</w:t>
            </w:r>
          </w:p>
        </w:tc>
        <w:tc>
          <w:tcPr>
            <w:tcW w:w="220" w:type="dxa"/>
            <w:vAlign w:val="bottom"/>
            <w:tcBorders>
              <w:top w:val="single" w:sz="8" w:color="auto"/>
              <w:bottom w:val="single" w:sz="8" w:color="auto"/>
            </w:tcBorders>
          </w:tcPr>
          <w:p>
            <w:pPr>
              <w:spacing w:after="0"/>
              <w:rPr>
                <w:sz w:val="6"/>
                <w:szCs w:val="6"/>
                <w:color w:val="auto"/>
              </w:rPr>
            </w:pPr>
          </w:p>
        </w:tc>
        <w:tc>
          <w:tcPr>
            <w:tcW w:w="7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11,388</w:t>
            </w:r>
          </w:p>
        </w:tc>
        <w:tc>
          <w:tcPr>
            <w:tcW w:w="220" w:type="dxa"/>
            <w:vAlign w:val="bottom"/>
            <w:tcBorders>
              <w:bottom w:val="single" w:sz="8" w:color="CCEEFF"/>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5,323</w:t>
            </w:r>
          </w:p>
        </w:tc>
        <w:tc>
          <w:tcPr>
            <w:tcW w:w="20" w:type="dxa"/>
            <w:vAlign w:val="bottom"/>
          </w:tcPr>
          <w:p>
            <w:pPr>
              <w:spacing w:after="0"/>
              <w:rPr>
                <w:sz w:val="6"/>
                <w:szCs w:val="6"/>
                <w:color w:val="auto"/>
              </w:rPr>
            </w:pPr>
          </w:p>
        </w:tc>
      </w:tr>
      <w:tr>
        <w:trPr>
          <w:trHeight w:val="79"/>
        </w:trPr>
        <w:tc>
          <w:tcPr>
            <w:tcW w:w="712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investing activities:</w:t>
            </w: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Capital expenditures</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(34,220)</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(19,495)</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Reimbursable capital expenditures</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(248)</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(6,185)</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Receipt of capital government grants</w:t>
            </w:r>
          </w:p>
        </w:tc>
        <w:tc>
          <w:tcPr>
            <w:tcW w:w="220" w:type="dxa"/>
            <w:vAlign w:val="bottom"/>
          </w:tcPr>
          <w:p>
            <w:pPr>
              <w:spacing w:after="0"/>
              <w:rPr>
                <w:sz w:val="7"/>
                <w:szCs w:val="7"/>
                <w:color w:val="auto"/>
              </w:rPr>
            </w:pPr>
          </w:p>
        </w:tc>
        <w:tc>
          <w:tcPr>
            <w:tcW w:w="94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3,292</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Divestiture of businesses, net of transferred cash of $0.9 million</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60"/>
              <w:spacing w:after="0" w:line="90"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18,597</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strategic investments</w:t>
            </w:r>
          </w:p>
        </w:tc>
        <w:tc>
          <w:tcPr>
            <w:tcW w:w="220" w:type="dxa"/>
            <w:vAlign w:val="bottom"/>
          </w:tcPr>
          <w:p>
            <w:pPr>
              <w:spacing w:after="0"/>
              <w:rPr>
                <w:sz w:val="7"/>
                <w:szCs w:val="7"/>
                <w:color w:val="auto"/>
              </w:rPr>
            </w:pPr>
          </w:p>
        </w:tc>
        <w:tc>
          <w:tcPr>
            <w:tcW w:w="940" w:type="dxa"/>
            <w:vAlign w:val="bottom"/>
            <w:gridSpan w:val="2"/>
          </w:tcPr>
          <w:p>
            <w:pPr>
              <w:jc w:val="right"/>
              <w:ind w:right="260"/>
              <w:spacing w:after="0" w:line="90"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(4,155)</w:t>
            </w:r>
          </w:p>
        </w:tc>
        <w:tc>
          <w:tcPr>
            <w:tcW w:w="20" w:type="dxa"/>
            <w:vAlign w:val="bottom"/>
          </w:tcPr>
          <w:p>
            <w:pPr>
              <w:spacing w:after="0"/>
              <w:rPr>
                <w:sz w:val="7"/>
                <w:szCs w:val="7"/>
                <w:color w:val="auto"/>
              </w:rPr>
            </w:pPr>
          </w:p>
        </w:tc>
      </w:tr>
      <w:tr>
        <w:trPr>
          <w:trHeight w:val="79"/>
        </w:trPr>
        <w:tc>
          <w:tcPr>
            <w:tcW w:w="7120" w:type="dxa"/>
            <w:vAlign w:val="bottom"/>
            <w:tcBorders>
              <w:top w:val="single" w:sz="8" w:color="CCEEFF"/>
            </w:tcBorders>
            <w:shd w:val="clear" w:color="auto" w:fill="CCEEFF"/>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6"/>
                <w:szCs w:val="6"/>
                <w:color w:val="auto"/>
              </w:rPr>
            </w:pPr>
          </w:p>
        </w:tc>
        <w:tc>
          <w:tcPr>
            <w:tcW w:w="7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(34,468)</w:t>
            </w:r>
          </w:p>
        </w:tc>
        <w:tc>
          <w:tcPr>
            <w:tcW w:w="2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bottom w:val="single" w:sz="8" w:color="auto"/>
            </w:tcBorders>
            <w:shd w:val="clear" w:color="auto" w:fill="CCEEFF"/>
          </w:tcPr>
          <w:p>
            <w:pPr>
              <w:spacing w:after="0"/>
              <w:rPr>
                <w:sz w:val="6"/>
                <w:szCs w:val="6"/>
                <w:color w:val="auto"/>
              </w:rPr>
            </w:pPr>
          </w:p>
        </w:tc>
        <w:tc>
          <w:tcPr>
            <w:tcW w:w="4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(7,946)</w:t>
            </w:r>
          </w:p>
        </w:tc>
        <w:tc>
          <w:tcPr>
            <w:tcW w:w="20" w:type="dxa"/>
            <w:vAlign w:val="bottom"/>
            <w:tcBorders>
              <w:top w:val="single" w:sz="8" w:color="CCEEFF"/>
            </w:tcBorders>
            <w:shd w:val="clear" w:color="auto" w:fill="CCEEFF"/>
          </w:tcPr>
          <w:p>
            <w:pPr>
              <w:spacing w:after="0"/>
              <w:rPr>
                <w:sz w:val="6"/>
                <w:szCs w:val="6"/>
                <w:color w:val="auto"/>
              </w:rPr>
            </w:pPr>
          </w:p>
        </w:tc>
      </w:tr>
      <w:tr>
        <w:trPr>
          <w:trHeight w:val="79"/>
        </w:trPr>
        <w:tc>
          <w:tcPr>
            <w:tcW w:w="712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Cash flows from financing activities:</w:t>
            </w: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Dividends paid on common stock</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(2,672)</w:t>
            </w:r>
          </w:p>
        </w:tc>
        <w:tc>
          <w:tcPr>
            <w:tcW w:w="2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(2,703)</w:t>
            </w: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Distributions to noncontrolling interests</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(263)</w:t>
            </w:r>
          </w:p>
        </w:tc>
        <w:tc>
          <w:tcPr>
            <w:tcW w:w="260" w:type="dxa"/>
            <w:vAlign w:val="bottom"/>
          </w:tcPr>
          <w:p>
            <w:pPr>
              <w:spacing w:after="0"/>
              <w:rPr>
                <w:sz w:val="7"/>
                <w:szCs w:val="7"/>
                <w:color w:val="auto"/>
              </w:rPr>
            </w:pPr>
          </w:p>
        </w:tc>
        <w:tc>
          <w:tcPr>
            <w:tcW w:w="44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(3,530)</w:t>
            </w: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Payment of debt issuance costs</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60"/>
              <w:spacing w:after="0" w:line="90"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53</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Finance lease payment</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(338)</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repayments</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(938)</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(938)</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borrowings</w:t>
            </w:r>
          </w:p>
        </w:tc>
        <w:tc>
          <w:tcPr>
            <w:tcW w:w="2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36,500</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repayments</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(15,500)</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Repayment of customer receivable credit facility</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(1,003)</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stock- based compensation</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(1,136)</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(1,677)</w:t>
            </w:r>
          </w:p>
        </w:tc>
        <w:tc>
          <w:tcPr>
            <w:tcW w:w="20" w:type="dxa"/>
            <w:vAlign w:val="bottom"/>
            <w:shd w:val="clear" w:color="auto" w:fill="CCEEFF"/>
          </w:tcPr>
          <w:p>
            <w:pPr>
              <w:spacing w:after="0"/>
              <w:rPr>
                <w:sz w:val="7"/>
                <w:szCs w:val="7"/>
                <w:color w:val="auto"/>
              </w:rPr>
            </w:pPr>
          </w:p>
        </w:tc>
      </w:tr>
      <w:tr>
        <w:trPr>
          <w:trHeight w:val="90"/>
        </w:trPr>
        <w:tc>
          <w:tcPr>
            <w:tcW w:w="712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share repurchase plan</w:t>
            </w:r>
          </w:p>
        </w:tc>
        <w:tc>
          <w:tcPr>
            <w:tcW w:w="220" w:type="dxa"/>
            <w:vAlign w:val="bottom"/>
          </w:tcPr>
          <w:p>
            <w:pPr>
              <w:spacing w:after="0"/>
              <w:rPr>
                <w:sz w:val="7"/>
                <w:szCs w:val="7"/>
                <w:color w:val="auto"/>
              </w:rPr>
            </w:pPr>
          </w:p>
        </w:tc>
        <w:tc>
          <w:tcPr>
            <w:tcW w:w="940" w:type="dxa"/>
            <w:vAlign w:val="bottom"/>
            <w:gridSpan w:val="2"/>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(941)</w:t>
            </w:r>
          </w:p>
        </w:tc>
        <w:tc>
          <w:tcPr>
            <w:tcW w:w="260" w:type="dxa"/>
            <w:vAlign w:val="bottom"/>
          </w:tcPr>
          <w:p>
            <w:pPr>
              <w:spacing w:after="0"/>
              <w:rPr>
                <w:sz w:val="7"/>
                <w:szCs w:val="7"/>
                <w:color w:val="auto"/>
              </w:rPr>
            </w:pP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(540)</w:t>
            </w:r>
          </w:p>
        </w:tc>
        <w:tc>
          <w:tcPr>
            <w:tcW w:w="20" w:type="dxa"/>
            <w:vAlign w:val="bottom"/>
          </w:tcPr>
          <w:p>
            <w:pPr>
              <w:spacing w:after="0"/>
              <w:rPr>
                <w:sz w:val="7"/>
                <w:szCs w:val="7"/>
                <w:color w:val="auto"/>
              </w:rPr>
            </w:pPr>
          </w:p>
        </w:tc>
      </w:tr>
      <w:tr>
        <w:trPr>
          <w:trHeight w:val="90"/>
        </w:trPr>
        <w:tc>
          <w:tcPr>
            <w:tcW w:w="71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Repurchases of noncontrolling interests</w:t>
            </w:r>
          </w:p>
        </w:tc>
        <w:tc>
          <w:tcPr>
            <w:tcW w:w="22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(2,481)</w:t>
            </w: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(11,522)</w:t>
            </w:r>
          </w:p>
        </w:tc>
        <w:tc>
          <w:tcPr>
            <w:tcW w:w="20" w:type="dxa"/>
            <w:vAlign w:val="bottom"/>
          </w:tcPr>
          <w:p>
            <w:pPr>
              <w:spacing w:after="0"/>
              <w:rPr>
                <w:sz w:val="7"/>
                <w:szCs w:val="7"/>
                <w:color w:val="auto"/>
              </w:rPr>
            </w:pPr>
          </w:p>
        </w:tc>
      </w:tr>
      <w:tr>
        <w:trPr>
          <w:trHeight w:val="90"/>
        </w:trPr>
        <w:tc>
          <w:tcPr>
            <w:tcW w:w="7120" w:type="dxa"/>
            <w:vAlign w:val="bottom"/>
            <w:tcBorders>
              <w:bottom w:val="single" w:sz="8" w:color="CCEEFF"/>
            </w:tcBorders>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customer receivable credit facility</w:t>
            </w: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8,000</w:t>
            </w: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10,814</w:t>
            </w:r>
          </w:p>
        </w:tc>
        <w:tc>
          <w:tcPr>
            <w:tcW w:w="20" w:type="dxa"/>
            <w:vAlign w:val="bottom"/>
          </w:tcPr>
          <w:p>
            <w:pPr>
              <w:spacing w:after="0"/>
              <w:rPr>
                <w:sz w:val="7"/>
                <w:szCs w:val="7"/>
                <w:color w:val="auto"/>
              </w:rPr>
            </w:pPr>
          </w:p>
        </w:tc>
      </w:tr>
      <w:tr>
        <w:trPr>
          <w:trHeight w:val="79"/>
        </w:trPr>
        <w:tc>
          <w:tcPr>
            <w:tcW w:w="7120" w:type="dxa"/>
            <w:vAlign w:val="bottom"/>
            <w:shd w:val="clear" w:color="auto" w:fill="CCEEFF"/>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provided by (used in) financing activities of continuing operations</w:t>
            </w:r>
          </w:p>
        </w:tc>
        <w:tc>
          <w:tcPr>
            <w:tcW w:w="2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19,228</w:t>
            </w:r>
          </w:p>
        </w:tc>
        <w:tc>
          <w:tcPr>
            <w:tcW w:w="2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(10,043)</w:t>
            </w:r>
          </w:p>
        </w:tc>
        <w:tc>
          <w:tcPr>
            <w:tcW w:w="20" w:type="dxa"/>
            <w:vAlign w:val="bottom"/>
          </w:tcPr>
          <w:p>
            <w:pPr>
              <w:spacing w:after="0"/>
              <w:rPr>
                <w:sz w:val="6"/>
                <w:szCs w:val="6"/>
                <w:color w:val="auto"/>
              </w:rPr>
            </w:pPr>
          </w:p>
        </w:tc>
      </w:tr>
      <w:tr>
        <w:trPr>
          <w:trHeight w:val="79"/>
        </w:trPr>
        <w:tc>
          <w:tcPr>
            <w:tcW w:w="712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Net change in cash, cash equivalents, and restricted cash</w:t>
            </w:r>
          </w:p>
        </w:tc>
        <w:tc>
          <w:tcPr>
            <w:tcW w:w="220" w:type="dxa"/>
            <w:vAlign w:val="bottom"/>
          </w:tcPr>
          <w:p>
            <w:pPr>
              <w:spacing w:after="0"/>
              <w:rPr>
                <w:sz w:val="6"/>
                <w:szCs w:val="6"/>
                <w:color w:val="auto"/>
              </w:rPr>
            </w:pPr>
          </w:p>
        </w:tc>
        <w:tc>
          <w:tcPr>
            <w:tcW w:w="72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(3,852)</w:t>
            </w: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(12,666)</w:t>
            </w:r>
          </w:p>
        </w:tc>
        <w:tc>
          <w:tcPr>
            <w:tcW w:w="20" w:type="dxa"/>
            <w:vAlign w:val="bottom"/>
          </w:tcPr>
          <w:p>
            <w:pPr>
              <w:spacing w:after="0"/>
              <w:rPr>
                <w:sz w:val="6"/>
                <w:szCs w:val="6"/>
                <w:color w:val="auto"/>
              </w:rPr>
            </w:pPr>
          </w:p>
        </w:tc>
      </w:tr>
      <w:tr>
        <w:trPr>
          <w:trHeight w:val="90"/>
        </w:trPr>
        <w:tc>
          <w:tcPr>
            <w:tcW w:w="712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Total cash, cash equivalents, and restricted cash, beginning of period</w:t>
            </w:r>
          </w:p>
        </w:tc>
        <w:tc>
          <w:tcPr>
            <w:tcW w:w="2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80,697</w:t>
            </w:r>
          </w:p>
        </w:tc>
        <w:tc>
          <w:tcPr>
            <w:tcW w:w="2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104,997</w:t>
            </w:r>
          </w:p>
        </w:tc>
        <w:tc>
          <w:tcPr>
            <w:tcW w:w="20" w:type="dxa"/>
            <w:vAlign w:val="bottom"/>
          </w:tcPr>
          <w:p>
            <w:pPr>
              <w:spacing w:after="0"/>
              <w:rPr>
                <w:sz w:val="7"/>
                <w:szCs w:val="7"/>
                <w:color w:val="auto"/>
              </w:rPr>
            </w:pPr>
          </w:p>
        </w:tc>
      </w:tr>
      <w:tr>
        <w:trPr>
          <w:trHeight w:val="86"/>
        </w:trPr>
        <w:tc>
          <w:tcPr>
            <w:tcW w:w="7120" w:type="dxa"/>
            <w:vAlign w:val="bottom"/>
            <w:tcBorders>
              <w:bottom w:val="single" w:sz="8" w:color="CCEEFF"/>
            </w:tcBorders>
          </w:tcPr>
          <w:p>
            <w:pPr>
              <w:spacing w:after="0" w:line="79" w:lineRule="exact"/>
              <w:rPr>
                <w:sz w:val="20"/>
                <w:szCs w:val="20"/>
                <w:color w:val="auto"/>
              </w:rPr>
            </w:pPr>
            <w:r>
              <w:rPr>
                <w:rFonts w:ascii="Times New Roman" w:cs="Times New Roman" w:eastAsia="Times New Roman" w:hAnsi="Times New Roman"/>
                <w:sz w:val="8"/>
                <w:szCs w:val="8"/>
                <w:color w:val="auto"/>
              </w:rPr>
              <w:t>Total cash, cash equivalents, and restricted cash, end of period</w:t>
            </w: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76,845</w:t>
            </w: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92,331</w:t>
            </w:r>
          </w:p>
        </w:tc>
        <w:tc>
          <w:tcPr>
            <w:tcW w:w="20" w:type="dxa"/>
            <w:vAlign w:val="bottom"/>
          </w:tcPr>
          <w:p>
            <w:pPr>
              <w:spacing w:after="0"/>
              <w:rPr>
                <w:sz w:val="7"/>
                <w:szCs w:val="7"/>
                <w:color w:val="auto"/>
              </w:rPr>
            </w:pPr>
          </w:p>
        </w:tc>
      </w:tr>
      <w:tr>
        <w:trPr>
          <w:trHeight w:val="97"/>
        </w:trPr>
        <w:tc>
          <w:tcPr>
            <w:tcW w:w="7120" w:type="dxa"/>
            <w:vAlign w:val="bottom"/>
            <w:tcBorders>
              <w:bottom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Purchases of property, plant and equipment included in accounts payable and accrued expenses</w:t>
            </w: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13,221</w:t>
            </w: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10,075</w:t>
            </w:r>
          </w:p>
        </w:tc>
        <w:tc>
          <w:tcPr>
            <w:tcW w:w="20" w:type="dxa"/>
            <w:vAlign w:val="bottom"/>
          </w:tcPr>
          <w:p>
            <w:pPr>
              <w:spacing w:after="0"/>
              <w:rPr>
                <w:sz w:val="8"/>
                <w:szCs w:val="8"/>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condensed notes are an integral part of these condensed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ORGANIZATION AND BUSINESS OPERATIONS</w:t>
      </w:r>
    </w:p>
    <w:p>
      <w:pPr>
        <w:spacing w:after="0" w:line="298" w:lineRule="exact"/>
        <w:rPr>
          <w:sz w:val="20"/>
          <w:szCs w:val="20"/>
          <w:color w:val="auto"/>
        </w:rPr>
      </w:pPr>
    </w:p>
    <w:p>
      <w:pPr>
        <w:ind w:left="40" w:right="139" w:firstLine="320"/>
        <w:spacing w:after="0" w:line="265" w:lineRule="auto"/>
        <w:rPr>
          <w:sz w:val="20"/>
          <w:szCs w:val="20"/>
          <w:color w:val="auto"/>
        </w:rPr>
      </w:pPr>
      <w:r>
        <w:rPr>
          <w:rFonts w:ascii="Times New Roman" w:cs="Times New Roman" w:eastAsia="Times New Roman" w:hAnsi="Times New Roman"/>
          <w:sz w:val="12"/>
          <w:szCs w:val="12"/>
          <w:color w:val="auto"/>
        </w:rPr>
        <w:t>The Company provides critical infrastructure-based communications and related information technology solutions to remote and historically underserved markets in the United States, Bermuda, and the Caribbean. The Company seeks to invest in its existing and new markets for long term growth led by its Glass and Steel and “fiber first” strategies that enable it to bring new or enhanced communications services to markets often overlooked by larger telecommunications providers.</w:t>
      </w:r>
    </w:p>
    <w:p>
      <w:pPr>
        <w:spacing w:after="0" w:line="119" w:lineRule="exact"/>
        <w:rPr>
          <w:sz w:val="20"/>
          <w:szCs w:val="20"/>
          <w:color w:val="auto"/>
        </w:rPr>
      </w:pPr>
    </w:p>
    <w:p>
      <w:pPr>
        <w:jc w:val="both"/>
        <w:ind w:left="40" w:right="179" w:firstLine="317"/>
        <w:spacing w:after="0" w:line="254" w:lineRule="auto"/>
        <w:rPr>
          <w:sz w:val="20"/>
          <w:szCs w:val="20"/>
          <w:color w:val="auto"/>
        </w:rPr>
      </w:pPr>
      <w:r>
        <w:rPr>
          <w:rFonts w:ascii="Times New Roman" w:cs="Times New Roman" w:eastAsia="Times New Roman" w:hAnsi="Times New Roman"/>
          <w:sz w:val="12"/>
          <w:szCs w:val="12"/>
          <w:color w:val="auto"/>
        </w:rPr>
        <w:t>At the holding company level, the Company oversees the allocation of capital within and among its subsidiaries, affiliates, new investments, and stockholders. The Company also has developed significant operational expertise and resources that it uses to augment the capabilities of its individual operating subsidiaries in its local markets. Over the past 10 years, the Company has built a platform of resources and expertise to support its operating subsidiaries and to improve their quality of service with greater economies of scale and expertise than would typically be available at the operating subsidiary level. The Company also provides management, technical, financial, regulatory, and marketing services to its operating subsidiaries and typically receives a management fee calculated as a percentage of their revenues, which is eliminated in consolidation. The Company also actively evaluates potential acquisitions, investment opportunities and other strategic transactions, both domestic and international, and generally looks for those that it believes fit the Company’s profile of telecommunications businesses and have the potential to complement its Glass and Steel and “fiber first”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As of March 31, 2022, the Company offered the following types of services to its customers:</w:t>
      </w:r>
    </w:p>
    <w:p>
      <w:pPr>
        <w:spacing w:after="0" w:line="146" w:lineRule="exact"/>
        <w:rPr>
          <w:sz w:val="20"/>
          <w:szCs w:val="20"/>
          <w:color w:val="auto"/>
        </w:rPr>
      </w:pPr>
    </w:p>
    <w:p>
      <w:pPr>
        <w:ind w:left="800" w:right="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Mobility Telecommunications Services</w:t>
      </w:r>
      <w:r>
        <w:rPr>
          <w:rFonts w:ascii="Times New Roman" w:cs="Times New Roman" w:eastAsia="Times New Roman" w:hAnsi="Times New Roman"/>
          <w:sz w:val="12"/>
          <w:szCs w:val="12"/>
          <w:color w:val="auto"/>
        </w:rPr>
        <w:t>. The Company offers mobile communications services and equipment over our wireless networks to both its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subscribers. In certain markets, mobility services also includes private network services to business customers and municipalities.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The Company provides fixed data and voice telecommunications services to both its business and consumer subscribers in all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its markets. These services include consumer broadband and high 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The Company delivers services to other telecommunications providers such as wholesale roaming, the leasing of critical network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infrastructure such as tower and transport facilities,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2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The Company provides information technology services such as network, application, infrastructure and hosting services to both its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customers to complement its fixed services in its existing markets.</w:t>
      </w:r>
    </w:p>
    <w:p>
      <w:pPr>
        <w:spacing w:after="0" w:line="107" w:lineRule="exact"/>
        <w:rPr>
          <w:sz w:val="20"/>
          <w:szCs w:val="20"/>
          <w:color w:val="auto"/>
        </w:rPr>
      </w:pPr>
    </w:p>
    <w:p>
      <w:pPr>
        <w:ind w:left="60" w:right="139" w:firstLine="402"/>
        <w:spacing w:after="0" w:line="279" w:lineRule="auto"/>
        <w:rPr>
          <w:sz w:val="20"/>
          <w:szCs w:val="20"/>
          <w:color w:val="auto"/>
        </w:rPr>
      </w:pPr>
      <w:r>
        <w:rPr>
          <w:rFonts w:ascii="Times New Roman" w:cs="Times New Roman" w:eastAsia="Times New Roman" w:hAnsi="Times New Roman"/>
          <w:sz w:val="12"/>
          <w:szCs w:val="12"/>
          <w:color w:val="auto"/>
        </w:rPr>
        <w:t>Through March 31, 2022, the Company has identified three operating segments to manage and review its operations and to facilitate investor presentations of its results. These three operating segments are as follows:</w:t>
      </w:r>
    </w:p>
    <w:p>
      <w:pPr>
        <w:spacing w:after="0" w:line="107" w:lineRule="exact"/>
        <w:rPr>
          <w:sz w:val="20"/>
          <w:szCs w:val="20"/>
          <w:color w:val="auto"/>
        </w:rPr>
      </w:pPr>
    </w:p>
    <w:p>
      <w:pPr>
        <w:ind w:left="820" w:right="479" w:hanging="222"/>
        <w:spacing w:after="0" w:line="286" w:lineRule="auto"/>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In the Company’s international markets, it offers fixed services, mobility services, carrier services and managed services to customers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Bermuda, the Cayman Islands, Guyana and the US Virgin Islands.</w:t>
      </w:r>
    </w:p>
    <w:p>
      <w:pPr>
        <w:spacing w:after="0" w:line="103" w:lineRule="exact"/>
        <w:rPr>
          <w:rFonts w:ascii="Times New Roman" w:cs="Times New Roman" w:eastAsia="Times New Roman" w:hAnsi="Times New Roman"/>
          <w:sz w:val="12"/>
          <w:szCs w:val="12"/>
          <w:color w:val="auto"/>
        </w:rPr>
      </w:pPr>
    </w:p>
    <w:p>
      <w:pPr>
        <w:ind w:left="820" w:hanging="222"/>
        <w:spacing w:after="0"/>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US Telecom. </w:t>
      </w:r>
      <w:r>
        <w:rPr>
          <w:rFonts w:ascii="Times New Roman" w:cs="Times New Roman" w:eastAsia="Times New Roman" w:hAnsi="Times New Roman"/>
          <w:sz w:val="12"/>
          <w:szCs w:val="12"/>
          <w:color w:val="auto"/>
        </w:rPr>
        <w:t>In the United States, the Company offers fixed services, carrier services, and managed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right="259"/>
        <w:spacing w:after="0" w:line="279" w:lineRule="auto"/>
        <w:rPr>
          <w:sz w:val="20"/>
          <w:szCs w:val="20"/>
          <w:color w:val="auto"/>
        </w:rPr>
      </w:pPr>
      <w:r>
        <w:rPr>
          <w:rFonts w:ascii="Times New Roman" w:cs="Times New Roman" w:eastAsia="Times New Roman" w:hAnsi="Times New Roman"/>
          <w:sz w:val="12"/>
          <w:szCs w:val="12"/>
          <w:color w:val="auto"/>
        </w:rPr>
        <w:t>services to business and consumer customers in Alaska and the western United States. In the western United States, the Company also provides mobility services and private network services to enterprise and consumer customers.</w:t>
      </w:r>
    </w:p>
    <w:p>
      <w:pPr>
        <w:spacing w:after="0" w:line="107" w:lineRule="exact"/>
        <w:rPr>
          <w:sz w:val="20"/>
          <w:szCs w:val="20"/>
          <w:color w:val="auto"/>
        </w:rPr>
      </w:pPr>
    </w:p>
    <w:p>
      <w:pPr>
        <w:ind w:left="840" w:right="579" w:hanging="242"/>
        <w:spacing w:after="0" w:line="286" w:lineRule="auto"/>
        <w:tabs>
          <w:tab w:leader="none" w:pos="81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Renewable Energy. </w:t>
      </w:r>
      <w:r>
        <w:rPr>
          <w:rFonts w:ascii="Times New Roman" w:cs="Times New Roman" w:eastAsia="Times New Roman" w:hAnsi="Times New Roman"/>
          <w:sz w:val="12"/>
          <w:szCs w:val="12"/>
          <w:color w:val="auto"/>
        </w:rPr>
        <w:t>In India, the Company provided distributed generation solar power to commercial and industrial customers through January 27, 2021. See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 xml:space="preserve">Disposition of International Solar Business </w:t>
      </w:r>
      <w:r>
        <w:rPr>
          <w:rFonts w:ascii="Times New Roman" w:cs="Times New Roman" w:eastAsia="Times New Roman" w:hAnsi="Times New Roman"/>
          <w:sz w:val="12"/>
          <w:szCs w:val="12"/>
          <w:color w:val="auto"/>
        </w:rPr>
        <w:t>for further details.</w:t>
      </w:r>
    </w:p>
    <w:p>
      <w:pPr>
        <w:spacing w:after="0" w:line="10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following chart summarizes the operating activities of the Company’s principal subsidiaries, the segments in which it reports its revenue and the markets it served during the three months ended March 31, 2022:</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360" w:type="dxa"/>
            <w:vAlign w:val="bottom"/>
            <w:gridSpan w:val="2"/>
          </w:tcPr>
          <w:p>
            <w:pPr>
              <w:ind w:left="940"/>
              <w:spacing w:after="0"/>
              <w:rPr>
                <w:sz w:val="20"/>
                <w:szCs w:val="20"/>
                <w:color w:val="auto"/>
              </w:rPr>
            </w:pPr>
            <w:r>
              <w:rPr>
                <w:rFonts w:ascii="Times New Roman" w:cs="Times New Roman" w:eastAsia="Times New Roman" w:hAnsi="Times New Roman"/>
                <w:sz w:val="10"/>
                <w:szCs w:val="10"/>
                <w:b w:val="1"/>
                <w:bCs w:val="1"/>
                <w:color w:val="auto"/>
              </w:rPr>
              <w:t>Segment</w:t>
            </w:r>
          </w:p>
        </w:tc>
        <w:tc>
          <w:tcPr>
            <w:tcW w:w="2500" w:type="dxa"/>
            <w:vAlign w:val="bottom"/>
            <w:gridSpan w:val="2"/>
          </w:tcPr>
          <w:p>
            <w:pPr>
              <w:ind w:left="1020"/>
              <w:spacing w:after="0"/>
              <w:rPr>
                <w:sz w:val="20"/>
                <w:szCs w:val="20"/>
                <w:color w:val="auto"/>
              </w:rPr>
            </w:pPr>
            <w:r>
              <w:rPr>
                <w:rFonts w:ascii="Times New Roman" w:cs="Times New Roman" w:eastAsia="Times New Roman" w:hAnsi="Times New Roman"/>
                <w:sz w:val="10"/>
                <w:szCs w:val="10"/>
                <w:b w:val="1"/>
                <w:bCs w:val="1"/>
                <w:color w:val="auto"/>
              </w:rPr>
              <w:t>Services</w:t>
            </w:r>
          </w:p>
        </w:tc>
        <w:tc>
          <w:tcPr>
            <w:tcW w:w="2600" w:type="dxa"/>
            <w:vAlign w:val="bottom"/>
            <w:gridSpan w:val="2"/>
          </w:tcPr>
          <w:p>
            <w:pPr>
              <w:ind w:left="1060"/>
              <w:spacing w:after="0"/>
              <w:rPr>
                <w:sz w:val="20"/>
                <w:szCs w:val="20"/>
                <w:color w:val="auto"/>
              </w:rPr>
            </w:pPr>
            <w:r>
              <w:rPr>
                <w:rFonts w:ascii="Times New Roman" w:cs="Times New Roman" w:eastAsia="Times New Roman" w:hAnsi="Times New Roman"/>
                <w:sz w:val="10"/>
                <w:szCs w:val="10"/>
                <w:b w:val="1"/>
                <w:bCs w:val="1"/>
                <w:color w:val="auto"/>
              </w:rPr>
              <w:t>Markets</w:t>
            </w:r>
          </w:p>
        </w:tc>
        <w:tc>
          <w:tcPr>
            <w:tcW w:w="150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Tradenames</w:t>
            </w:r>
          </w:p>
        </w:tc>
      </w:tr>
      <w:tr>
        <w:trPr>
          <w:trHeight w:val="133"/>
        </w:trPr>
        <w:tc>
          <w:tcPr>
            <w:tcW w:w="2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International Telecom</w:t>
            </w:r>
          </w:p>
        </w:tc>
        <w:tc>
          <w:tcPr>
            <w:tcW w:w="14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Mobility Services</w:t>
            </w:r>
          </w:p>
        </w:tc>
        <w:tc>
          <w:tcPr>
            <w:tcW w:w="140" w:type="dxa"/>
            <w:vAlign w:val="bottom"/>
            <w:tcBorders>
              <w:top w:val="single" w:sz="8" w:color="CCEEFF"/>
            </w:tcBorders>
            <w:shd w:val="clear" w:color="auto" w:fill="CCEEFF"/>
          </w:tcPr>
          <w:p>
            <w:pPr>
              <w:spacing w:after="0"/>
              <w:rPr>
                <w:sz w:val="11"/>
                <w:szCs w:val="11"/>
                <w:color w:val="auto"/>
              </w:rPr>
            </w:pPr>
          </w:p>
        </w:tc>
        <w:tc>
          <w:tcPr>
            <w:tcW w:w="24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 Islands</w:t>
            </w:r>
          </w:p>
        </w:tc>
        <w:tc>
          <w:tcPr>
            <w:tcW w:w="14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Guyana, US Virgin</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r>
      <w:tr>
        <w:trPr>
          <w:trHeight w:val="155"/>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Islands</w:t>
            </w:r>
          </w:p>
        </w:tc>
        <w:tc>
          <w:tcPr>
            <w:tcW w:w="1500" w:type="dxa"/>
            <w:vAlign w:val="bottom"/>
          </w:tcPr>
          <w:p>
            <w:pPr>
              <w:spacing w:after="0"/>
              <w:rPr>
                <w:sz w:val="13"/>
                <w:szCs w:val="13"/>
                <w:color w:val="auto"/>
              </w:rPr>
            </w:pPr>
          </w:p>
        </w:tc>
      </w:tr>
      <w:tr>
        <w:trPr>
          <w:trHeight w:val="144"/>
        </w:trPr>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Carrier Services</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Bermuda, Guyana, US Virgin Islands</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GTT+, Viya</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US Virgin Islands,</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Fireminds, One, Logic, GTT,</w:t>
            </w:r>
          </w:p>
        </w:tc>
      </w:tr>
      <w:tr>
        <w:trPr>
          <w:trHeight w:val="155"/>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Guyana</w:t>
            </w: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Viya</w:t>
            </w:r>
          </w:p>
        </w:tc>
      </w:tr>
      <w:tr>
        <w:trPr>
          <w:trHeight w:val="122"/>
        </w:trPr>
        <w:tc>
          <w:tcPr>
            <w:tcW w:w="22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US Telecom</w:t>
            </w:r>
          </w:p>
        </w:tc>
        <w:tc>
          <w:tcPr>
            <w:tcW w:w="140" w:type="dxa"/>
            <w:vAlign w:val="bottom"/>
            <w:tcBorders>
              <w:top w:val="single" w:sz="8" w:color="CCEEFF"/>
            </w:tcBorders>
            <w:shd w:val="clear" w:color="auto" w:fill="CCEEFF"/>
          </w:tcPr>
          <w:p>
            <w:pPr>
              <w:spacing w:after="0"/>
              <w:rPr>
                <w:sz w:val="10"/>
                <w:szCs w:val="10"/>
                <w:color w:val="auto"/>
              </w:rPr>
            </w:pPr>
          </w:p>
        </w:tc>
        <w:tc>
          <w:tcPr>
            <w:tcW w:w="23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40" w:type="dxa"/>
            <w:vAlign w:val="bottom"/>
            <w:tcBorders>
              <w:top w:val="single" w:sz="8" w:color="CCEEFF"/>
            </w:tcBorders>
            <w:shd w:val="clear" w:color="auto" w:fill="CCEEFF"/>
          </w:tcPr>
          <w:p>
            <w:pPr>
              <w:spacing w:after="0"/>
              <w:rPr>
                <w:sz w:val="10"/>
                <w:szCs w:val="10"/>
                <w:color w:val="auto"/>
              </w:rPr>
            </w:pPr>
          </w:p>
        </w:tc>
        <w:tc>
          <w:tcPr>
            <w:tcW w:w="24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 markets)</w:t>
            </w:r>
          </w:p>
        </w:tc>
        <w:tc>
          <w:tcPr>
            <w:tcW w:w="14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Choice, Choice NTUA</w:t>
            </w:r>
          </w:p>
        </w:tc>
      </w:tr>
      <w:tr>
        <w:trPr>
          <w:trHeight w:val="155"/>
        </w:trPr>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Wireless, Geoverse</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44"/>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Commnet, Choice, Choice</w:t>
            </w:r>
          </w:p>
        </w:tc>
      </w:tr>
      <w:tr>
        <w:trPr>
          <w:trHeight w:val="155"/>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NTUA Wireless</w:t>
            </w:r>
          </w:p>
        </w:tc>
      </w:tr>
      <w:tr>
        <w:trPr>
          <w:trHeight w:val="133"/>
        </w:trPr>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55"/>
        </w:trPr>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Commnet, Essextel</w:t>
            </w: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w:t>
            </w:r>
          </w:p>
        </w:tc>
      </w:tr>
      <w:tr>
        <w:trPr>
          <w:trHeight w:val="155"/>
        </w:trPr>
        <w:tc>
          <w:tcPr>
            <w:tcW w:w="22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Choice</w:t>
            </w:r>
          </w:p>
        </w:tc>
      </w:tr>
      <w:tr>
        <w:trPr>
          <w:trHeight w:val="133"/>
        </w:trPr>
        <w:tc>
          <w:tcPr>
            <w:tcW w:w="22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Renewable Energy (1)</w:t>
            </w:r>
          </w:p>
        </w:tc>
        <w:tc>
          <w:tcPr>
            <w:tcW w:w="140" w:type="dxa"/>
            <w:vAlign w:val="bottom"/>
            <w:shd w:val="clear" w:color="auto" w:fill="CCEEFF"/>
          </w:tcPr>
          <w:p>
            <w:pPr>
              <w:spacing w:after="0"/>
              <w:rPr>
                <w:sz w:val="11"/>
                <w:szCs w:val="11"/>
                <w:color w:val="auto"/>
              </w:rPr>
            </w:pPr>
          </w:p>
        </w:tc>
        <w:tc>
          <w:tcPr>
            <w:tcW w:w="236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Solar</w:t>
            </w:r>
          </w:p>
        </w:tc>
        <w:tc>
          <w:tcPr>
            <w:tcW w:w="140" w:type="dxa"/>
            <w:vAlign w:val="bottom"/>
            <w:shd w:val="clear" w:color="auto" w:fill="CCEEFF"/>
          </w:tcPr>
          <w:p>
            <w:pPr>
              <w:spacing w:after="0"/>
              <w:rPr>
                <w:sz w:val="11"/>
                <w:szCs w:val="11"/>
                <w:color w:val="auto"/>
              </w:rPr>
            </w:pPr>
          </w:p>
        </w:tc>
        <w:tc>
          <w:tcPr>
            <w:tcW w:w="246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India</w:t>
            </w:r>
          </w:p>
        </w:tc>
        <w:tc>
          <w:tcPr>
            <w:tcW w:w="140" w:type="dxa"/>
            <w:vAlign w:val="bottom"/>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Vibrant Energy</w:t>
            </w:r>
          </w:p>
        </w:tc>
      </w:tr>
    </w:tbl>
    <w:p>
      <w:pPr>
        <w:spacing w:after="0" w:line="131" w:lineRule="exact"/>
        <w:rPr>
          <w:sz w:val="20"/>
          <w:szCs w:val="20"/>
          <w:color w:val="auto"/>
        </w:rPr>
      </w:pPr>
    </w:p>
    <w:p>
      <w:pPr>
        <w:ind w:left="680" w:hanging="208"/>
        <w:spacing w:after="0"/>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Disposition of International Solar Business</w:t>
      </w:r>
      <w:r>
        <w:rPr>
          <w:rFonts w:ascii="Times New Roman" w:cs="Times New Roman" w:eastAsia="Times New Roman" w:hAnsi="Times New Roman"/>
          <w:sz w:val="12"/>
          <w:szCs w:val="12"/>
          <w:color w:val="auto"/>
        </w:rPr>
        <w:t xml:space="preserve"> for further details.</w:t>
      </w:r>
    </w:p>
    <w:p>
      <w:pPr>
        <w:spacing w:after="0" w:line="152" w:lineRule="exact"/>
        <w:rPr>
          <w:sz w:val="20"/>
          <w:szCs w:val="20"/>
          <w:color w:val="auto"/>
        </w:rPr>
      </w:pPr>
    </w:p>
    <w:p>
      <w:pPr>
        <w:ind w:left="20" w:right="79" w:firstLine="462"/>
        <w:spacing w:after="0" w:line="279" w:lineRule="auto"/>
        <w:rPr>
          <w:sz w:val="20"/>
          <w:szCs w:val="20"/>
          <w:color w:val="auto"/>
        </w:rPr>
      </w:pPr>
      <w:r>
        <w:rPr>
          <w:rFonts w:ascii="Times New Roman" w:cs="Times New Roman" w:eastAsia="Times New Roman" w:hAnsi="Times New Roman"/>
          <w:sz w:val="12"/>
          <w:szCs w:val="12"/>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Acquisition of Alaska Communications</w:t>
      </w:r>
    </w:p>
    <w:p>
      <w:pPr>
        <w:spacing w:after="0" w:line="154" w:lineRule="exact"/>
        <w:rPr>
          <w:sz w:val="20"/>
          <w:szCs w:val="20"/>
          <w:color w:val="auto"/>
        </w:rPr>
      </w:pPr>
    </w:p>
    <w:p>
      <w:pPr>
        <w:ind w:left="20" w:right="239" w:firstLine="432"/>
        <w:spacing w:after="0" w:line="260" w:lineRule="auto"/>
        <w:rPr>
          <w:sz w:val="20"/>
          <w:szCs w:val="20"/>
          <w:color w:val="auto"/>
        </w:rPr>
      </w:pPr>
      <w:r>
        <w:rPr>
          <w:rFonts w:ascii="Times New Roman" w:cs="Times New Roman" w:eastAsia="Times New Roman" w:hAnsi="Times New Roman"/>
          <w:sz w:val="12"/>
          <w:szCs w:val="12"/>
          <w:color w:val="auto"/>
        </w:rPr>
        <w:t>On July 22, 2021, the Company completed the acquisition of Alaska Communications Systems Group, Inc. (“Alaska Communications”), a publicly listed company, for approximately $339.5 million in cash, net of cash acquired, (the “Alaska Transaction”). Alaska Communications provides broadband telecommunication and managed information technology services to customers in the state of Alaska and beyond using its statewide and interstate telecommunications network. The Company completed the Alaska Transaction to enter a new market with similar characteristics to its existing operations.</w:t>
      </w:r>
    </w:p>
    <w:p>
      <w:pPr>
        <w:spacing w:after="0" w:line="122" w:lineRule="exact"/>
        <w:rPr>
          <w:sz w:val="20"/>
          <w:szCs w:val="20"/>
          <w:color w:val="auto"/>
        </w:rPr>
      </w:pPr>
    </w:p>
    <w:p>
      <w:pPr>
        <w:ind w:left="20" w:right="199" w:firstLine="410"/>
        <w:spacing w:after="0" w:line="279" w:lineRule="auto"/>
        <w:rPr>
          <w:sz w:val="20"/>
          <w:szCs w:val="20"/>
          <w:color w:val="auto"/>
        </w:rPr>
      </w:pPr>
      <w:r>
        <w:rPr>
          <w:rFonts w:ascii="Times New Roman" w:cs="Times New Roman" w:eastAsia="Times New Roman" w:hAnsi="Times New Roman"/>
          <w:sz w:val="12"/>
          <w:szCs w:val="12"/>
          <w:color w:val="auto"/>
        </w:rPr>
        <w:t>In conjunction with the Alaska Transaction, the Company entered into an agreement with affiliates and investment funds managed by Freedom 3 Capital, LLC as well as other institutional investors (collectively the “Freedom 3 Investors”). The Freedom 3 Investors contributed approximately $71.5 million in conjunction with the Alaska</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spacing w:after="0" w:line="255" w:lineRule="auto"/>
        <w:rPr>
          <w:sz w:val="20"/>
          <w:szCs w:val="20"/>
          <w:color w:val="auto"/>
        </w:rPr>
      </w:pPr>
      <w:r>
        <w:rPr>
          <w:rFonts w:ascii="Times New Roman" w:cs="Times New Roman" w:eastAsia="Times New Roman" w:hAnsi="Times New Roman"/>
          <w:sz w:val="12"/>
          <w:szCs w:val="12"/>
          <w:color w:val="auto"/>
        </w:rPr>
        <w:t>Transaction (the “Freedom 3 Investment”). The Freedom 3 Investment consists of redeemable common and preferred equity instruments in a subsidiary of the Company which holds the ownership of Alaska Communications. The Company accounted for the Freedom 3 Investment as redeemable noncontrolling interests in its consolidated financial statements because the instruments contain put options allowing the holders to sell the instruments to a subsidiary of the Company. The put option is solely the obligation of the Alaska Communications subsidiary and is nonrecourse to the Company. The Company also entered into a financing transaction drawing $220 million on a new credit facility to complete the Alaska Transaction. As a result of the Alaska Transaction, the Company owns approximately 52% of the common equity of Alaska Communications and controls its operations and management. The Company incurred $11.0 million of transaction costs in conjunction with the Alaska Transaction. Beginning on July 22, 2021, the results of the Alaska Transaction are included in the Company’s US Telecom segment.</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COVID-19</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continues to monitor and assess the effects of the ongoing COVID-19 pandemic on its commercial operations, the safety of its employees and their families, its sales force and customers.</w:t>
      </w:r>
    </w:p>
    <w:p>
      <w:pPr>
        <w:spacing w:after="0" w:line="11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preparation of the condensed consolidated financial statements requires us to make estimates, judgments and assumptions, which are evaluated on an ongoing basis, that may affect the reported amounts of assets, liabilities, equity, revenues and expenses and related disclosure of contingent assets and liabilities. The Company assessed certain accounting matters and estimates that generally require consideration of forecasted financial information in context with the information and estimates reasonably available to the Company and the unknown future impacts of COVID-19 as of March 31, 2022 and through the date of this report. The accounting matters assessed included, but were not limited to, the allowance for credit losses, the carrying value of goodwill and other long-lived assets, financial assets, valuation allowances for tax assets and revenue recognition.</w:t>
      </w:r>
    </w:p>
    <w:p>
      <w:pPr>
        <w:spacing w:after="0" w:line="125" w:lineRule="exact"/>
        <w:rPr>
          <w:sz w:val="20"/>
          <w:szCs w:val="20"/>
          <w:color w:val="auto"/>
        </w:rPr>
      </w:pPr>
    </w:p>
    <w:p>
      <w:pPr>
        <w:jc w:val="both"/>
        <w:ind w:left="20" w:right="39" w:firstLine="462"/>
        <w:spacing w:after="0" w:line="256" w:lineRule="auto"/>
        <w:rPr>
          <w:sz w:val="20"/>
          <w:szCs w:val="20"/>
          <w:color w:val="auto"/>
        </w:rPr>
      </w:pPr>
      <w:r>
        <w:rPr>
          <w:rFonts w:ascii="Times New Roman" w:cs="Times New Roman" w:eastAsia="Times New Roman" w:hAnsi="Times New Roman"/>
          <w:sz w:val="12"/>
          <w:szCs w:val="12"/>
          <w:color w:val="auto"/>
        </w:rPr>
        <w:t>The Company’s assessment of the impact of COVID-19 on its operations did not indicate that there was a material adverse impact to its consolidated financial statements as of and for the three months ended March 31, 2022. However, future assessments of the impacts of COVID-19, as well as other factors, including the possible reinstatement of certain COVID-19 travel-related and stay-at-home restrictions, could result in material adverse impacts to its consolidated financial statements in future reporting periods. For example, the Company may experience difficulty in procuring network or retail equipment, such as handsets for subscribers, as a result of COVID-19 restrictions. Apart from possible government issued travel restrictions, the Company currently cannot assess how COVID-19 may influence subscribers’ procurement behavior for services or how that behavior will impact revenues in the foreseeable future.</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 BASIS OF PRESENTATION</w:t>
      </w:r>
    </w:p>
    <w:p>
      <w:pPr>
        <w:spacing w:after="0" w:line="154" w:lineRule="exact"/>
        <w:rPr>
          <w:sz w:val="20"/>
          <w:szCs w:val="20"/>
          <w:color w:val="auto"/>
        </w:rPr>
      </w:pPr>
    </w:p>
    <w:p>
      <w:pPr>
        <w:ind w:left="20" w:right="219" w:firstLine="432"/>
        <w:spacing w:after="0" w:line="255"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2021, filed with the SEC on March 16, 2022.</w:t>
      </w:r>
    </w:p>
    <w:p>
      <w:pPr>
        <w:spacing w:after="0" w:line="126" w:lineRule="exact"/>
        <w:rPr>
          <w:sz w:val="20"/>
          <w:szCs w:val="20"/>
          <w:color w:val="auto"/>
        </w:rPr>
      </w:pPr>
    </w:p>
    <w:p>
      <w:pPr>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Presentation of Revenue</w:t>
      </w:r>
    </w:p>
    <w:p>
      <w:pPr>
        <w:spacing w:after="0" w:line="145" w:lineRule="exact"/>
        <w:rPr>
          <w:sz w:val="20"/>
          <w:szCs w:val="20"/>
          <w:color w:val="auto"/>
        </w:rPr>
      </w:pPr>
    </w:p>
    <w:p>
      <w:pPr>
        <w:ind w:left="20" w:right="399" w:firstLine="432"/>
        <w:spacing w:after="0" w:line="279" w:lineRule="auto"/>
        <w:rPr>
          <w:sz w:val="20"/>
          <w:szCs w:val="20"/>
          <w:color w:val="auto"/>
        </w:rPr>
      </w:pPr>
      <w:r>
        <w:rPr>
          <w:rFonts w:ascii="Times New Roman" w:cs="Times New Roman" w:eastAsia="Times New Roman" w:hAnsi="Times New Roman"/>
          <w:sz w:val="12"/>
          <w:szCs w:val="12"/>
          <w:color w:val="auto"/>
        </w:rPr>
        <w:t>Effective October 1, 2021, the Company’s statement of operations separately reflects Construction Revenue. All periods presented have been adjusted to conform to these presentation updates.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Presentation of Operating Expenses</w:t>
      </w:r>
    </w:p>
    <w:p>
      <w:pPr>
        <w:spacing w:after="0" w:line="154"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Effective January 1, 2021, the Company changed its presentation of operating expenses in the Condensed Consolidated Statements of Operations by combining the previously disclosed Termination and Access Fees with Engineering and Operations as the newly represented Costs of communication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the Company’s results with industry standards. Cost of construction services continues to be broken out separately and all depreciation and amortization continues to be shown separately.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54"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In October 2021, the Financial Accounting Standards Board (FASB) issued Accounting Standards Update (ASU) ASU 2021-08, Business Combinations (Topic 805): Accounting for Contract Assets and Contract Liabilities from Contracts with Customers, which requires entities to apply Topic 606 to recognize and measure contract assets and contract liabilities in a business combination. ASU 2021-08 is effective for fiscal years beginning after December 15, 2022, with early adoption permitted. The Company prospectively adopted this accounting standard in 2021.</w:t>
      </w:r>
    </w:p>
    <w:p>
      <w:pPr>
        <w:spacing w:after="0" w:line="122" w:lineRule="exact"/>
        <w:rPr>
          <w:sz w:val="20"/>
          <w:szCs w:val="20"/>
          <w:color w:val="auto"/>
        </w:rPr>
      </w:pPr>
    </w:p>
    <w:p>
      <w:pPr>
        <w:jc w:val="both"/>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In November 2021, the FASB issued ASU 2021-10, Government Assistance (Topic 832): Disclosures by Business Entities about Government Assistance, which required entities to make specific annual disclosures about transactions with a government. The new standard is effective for fiscal years beginning after December 15, 2021. We are currently evaluating the impact of the standard, but we do not expect it to have a material impact on our disclosures.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3. REVENUE RECOGNITION AND RECEIVABLES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152"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119" w:lineRule="exact"/>
        <w:rPr>
          <w:sz w:val="20"/>
          <w:szCs w:val="20"/>
          <w:color w:val="auto"/>
        </w:rPr>
      </w:pPr>
    </w:p>
    <w:p>
      <w:pPr>
        <w:ind w:left="20" w:right="279" w:firstLine="432"/>
        <w:spacing w:after="0" w:line="260" w:lineRule="auto"/>
        <w:rPr>
          <w:sz w:val="20"/>
          <w:szCs w:val="20"/>
          <w:color w:val="auto"/>
        </w:rPr>
      </w:pPr>
      <w:r>
        <w:rPr>
          <w:rFonts w:ascii="Times New Roman" w:cs="Times New Roman" w:eastAsia="Times New Roman" w:hAnsi="Times New Roman"/>
          <w:sz w:val="12"/>
          <w:szCs w:val="12"/>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are recorded in advanced payments and deposits and other liabilities on the Company’s balance sheets.</w:t>
      </w:r>
    </w:p>
    <w:p>
      <w:pPr>
        <w:spacing w:after="0" w:line="122"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In July 2019, the Company entered into a Network Build and Maintenance Agreement with AT&amp;T Mobility, LLC (“AT&amp;T”) and subsequently entered into amendments in August 2020 and May 2021 (the “FirstNet Agreement”). In connection with the FirstNet Agreement, the Company is building a portion of AT&amp;T’s network for the First Responder Network Authority in or near the Company’s current operating area in the 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circumstances. The current portion receivables under this agreement are recorded in customer receivable and the long-term portion is recorded in customer receivable long-term on the Company’s balance sheet.</w:t>
      </w:r>
    </w:p>
    <w:p>
      <w:pPr>
        <w:spacing w:after="0" w:line="111"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Company has certain Carrier Services roaming agreements that contain stand-ready performance obligations and management allocates transaction value to performance obligations based on the standalone selling price. The standalone selling price is the estimated price the Company would charge for the good or service with similar customers in similar circumstances. Management determined the performance obligations were obligations to make the service continuously available and will recognize revenue evenly over the service period.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Contract assets and liabilities consisted of the following (amounts in thousands)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6"/>
              </w:rPr>
              <w:t>March 31, 2022</w:t>
            </w:r>
          </w:p>
        </w:tc>
        <w:tc>
          <w:tcPr>
            <w:tcW w:w="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 Change</w:t>
            </w:r>
          </w:p>
        </w:tc>
      </w:tr>
      <w:tr>
        <w:trPr>
          <w:trHeight w:val="133"/>
        </w:trPr>
        <w:tc>
          <w:tcPr>
            <w:tcW w:w="3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Contract asset – current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4,123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4,805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r>
              <w:rPr>
                <w:rFonts w:ascii="Arial" w:cs="Arial" w:eastAsia="Arial" w:hAnsi="Arial"/>
                <w:sz w:val="12"/>
                <w:szCs w:val="12"/>
                <w:color w:val="auto"/>
              </w:rPr>
              <w:t>%</w:t>
            </w:r>
          </w:p>
        </w:tc>
      </w:tr>
      <w:tr>
        <w:trPr>
          <w:trHeight w:val="144"/>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Contract asset – noncurrent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r>
              <w:rPr>
                <w:rFonts w:ascii="Arial" w:cs="Arial" w:eastAsia="Arial" w:hAnsi="Arial"/>
                <w:sz w:val="12"/>
                <w:szCs w:val="12"/>
                <w:color w:val="auto"/>
              </w:rPr>
              <w:t>%</w:t>
            </w:r>
          </w:p>
        </w:tc>
      </w:tr>
      <w:tr>
        <w:trPr>
          <w:trHeight w:val="14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liability – current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(23,756)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(25,332)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liability – noncurrent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(78,861)</w:t>
            </w:r>
          </w:p>
        </w:tc>
        <w:tc>
          <w:tcPr>
            <w:tcW w:w="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(81,391)</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2,530</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0"/>
        </w:trPr>
        <w:tc>
          <w:tcPr>
            <w:tcW w:w="36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contract liability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(97,604)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(101,018)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r>
    </w:tbl>
    <w:p>
      <w:pPr>
        <w:spacing w:after="0" w:line="133"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contract asset – current is included in prepayments and other current assets and the contract asset – noncurrent is included in other assets on the Company’s balance sheet. The contract liability – current is included in advance payments and deposits and the contract liability – noncurrent is included in other liabilities on the Company’s balance sheet. The decrease in the Company’s net contract liability was due to the timing of customer prepayments, contract billings, and recognition of deferred revenue. During the three months ended March 31, 2022, the Company recognized revenue of $15.0 million related to its December 31, 2021 contract liability and amortized $0.7 million of the December 31, 2021 contract asset into revenue.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Acquisition Costs</w:t>
      </w:r>
    </w:p>
    <w:p>
      <w:pPr>
        <w:spacing w:after="0" w:line="152"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The March 31, 2022 balance sheet includes contract acquisition costs of $5.1 million in other assets. During the three months ended March 31, 2022 and 2021, the Company amortized $0.8 million and $0.6 million, respectively, of contract acquisition costs.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Remaining Performance Obligations</w:t>
      </w:r>
    </w:p>
    <w:p>
      <w:pPr>
        <w:spacing w:after="0" w:line="152" w:lineRule="exact"/>
        <w:rPr>
          <w:sz w:val="20"/>
          <w:szCs w:val="20"/>
          <w:color w:val="auto"/>
        </w:rPr>
      </w:pPr>
    </w:p>
    <w:p>
      <w:pPr>
        <w:ind w:left="20" w:right="239" w:firstLine="432"/>
        <w:spacing w:after="0" w:line="260" w:lineRule="auto"/>
        <w:rPr>
          <w:sz w:val="20"/>
          <w:szCs w:val="20"/>
          <w:color w:val="auto"/>
        </w:rPr>
      </w:pPr>
      <w:r>
        <w:rPr>
          <w:rFonts w:ascii="Times New Roman" w:cs="Times New Roman" w:eastAsia="Times New Roman" w:hAnsi="Times New Roman"/>
          <w:sz w:val="12"/>
          <w:szCs w:val="12"/>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$350 million and $369 million at March 31, 2022 and December 31, 2021, respectively. The Company expects to satisfy approximately 52% of the remaining performance obligations and recognize the transaction price within 24 months and the remainder thereafter.</w:t>
      </w:r>
    </w:p>
    <w:p>
      <w:pPr>
        <w:spacing w:after="0" w:line="122"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Disaggregation</w:t>
      </w:r>
    </w:p>
    <w:p>
      <w:pPr>
        <w:spacing w:after="0" w:line="152" w:lineRule="exact"/>
        <w:rPr>
          <w:sz w:val="20"/>
          <w:szCs w:val="20"/>
          <w:color w:val="auto"/>
        </w:rPr>
      </w:pPr>
    </w:p>
    <w:p>
      <w:pPr>
        <w:ind w:left="20" w:right="159" w:firstLine="432"/>
        <w:spacing w:after="0" w:line="260" w:lineRule="auto"/>
        <w:rPr>
          <w:sz w:val="20"/>
          <w:szCs w:val="20"/>
          <w:color w:val="auto"/>
        </w:rPr>
      </w:pPr>
      <w:r>
        <w:rPr>
          <w:rFonts w:ascii="Times New Roman" w:cs="Times New Roman" w:eastAsia="Times New Roman" w:hAnsi="Times New Roman"/>
          <w:sz w:val="12"/>
          <w:szCs w:val="12"/>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Renewable Energy and,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Managed Services revenue. This disaggregation of revenue depicts how the nature, amount, timing and uncertainty of revenue and cash flows are affected by economic factors.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Receivables</w:t>
      </w:r>
    </w:p>
    <w:p>
      <w:pPr>
        <w:spacing w:after="0" w:line="152" w:lineRule="exact"/>
        <w:rPr>
          <w:sz w:val="20"/>
          <w:szCs w:val="20"/>
          <w:color w:val="auto"/>
        </w:rPr>
      </w:pPr>
    </w:p>
    <w:p>
      <w:pPr>
        <w:jc w:val="both"/>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 accounts receivable is based on management’s assessment of the collectability of assets pooled together with similar risk characteristics.</w:t>
      </w:r>
    </w:p>
    <w:p>
      <w:pPr>
        <w:spacing w:after="0" w:line="119" w:lineRule="exact"/>
        <w:rPr>
          <w:sz w:val="20"/>
          <w:szCs w:val="20"/>
          <w:color w:val="auto"/>
        </w:rPr>
      </w:pPr>
    </w:p>
    <w:p>
      <w:pPr>
        <w:ind w:left="20" w:right="519" w:firstLine="432"/>
        <w:spacing w:after="0" w:line="256" w:lineRule="auto"/>
        <w:rPr>
          <w:sz w:val="20"/>
          <w:szCs w:val="20"/>
          <w:color w:val="auto"/>
        </w:rPr>
      </w:pPr>
      <w:r>
        <w:rPr>
          <w:rFonts w:ascii="Times New Roman" w:cs="Times New Roman" w:eastAsia="Times New Roman" w:hAnsi="Times New Roman"/>
          <w:sz w:val="12"/>
          <w:szCs w:val="12"/>
          <w:color w:val="auto"/>
        </w:rPr>
        <w:t>At March 31, 2022 the Company had gross accounts receivable of $129.7 million and an allowance for credit losses of $15.0 million. The receivable under the FirstNet Agreement totaled $44.5 million of which $4.3 million was current and $40.2 million was long-term. At December 31, 2021, the Company had gross accounts receivable of $131.4 million and an allowance for credit losses of $13.9 million. The receivable under the FirstNet Agreement totaled $43.8 million, of which $4.1 million was current and</w:t>
      </w:r>
    </w:p>
    <w:p>
      <w:pPr>
        <w:spacing w:after="0" w:line="1" w:lineRule="exact"/>
        <w:rPr>
          <w:sz w:val="20"/>
          <w:szCs w:val="20"/>
          <w:color w:val="auto"/>
        </w:rPr>
      </w:pPr>
    </w:p>
    <w:p>
      <w:pPr>
        <w:ind w:left="20" w:right="159"/>
        <w:spacing w:after="0" w:line="260" w:lineRule="auto"/>
        <w:rPr>
          <w:sz w:val="20"/>
          <w:szCs w:val="20"/>
          <w:color w:val="auto"/>
        </w:rPr>
      </w:pPr>
      <w:r>
        <w:rPr>
          <w:rFonts w:ascii="Times New Roman" w:cs="Times New Roman" w:eastAsia="Times New Roman" w:hAnsi="Times New Roman"/>
          <w:sz w:val="12"/>
          <w:szCs w:val="12"/>
          <w:color w:val="auto"/>
        </w:rPr>
        <w:t>$39.7 million was long-term. The Company monitors receivables through the use of historical operating data adjusted for expectation of future performance as appropriate. Activity in the allowance for credit losses is below:</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2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8"/>
              </w:rPr>
              <w:t>Three months ended March 31, 2022</w:t>
            </w: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March 31, 2021</w:t>
            </w:r>
          </w:p>
        </w:tc>
      </w:tr>
      <w:tr>
        <w:trPr>
          <w:trHeight w:val="151"/>
        </w:trPr>
        <w:tc>
          <w:tcPr>
            <w:tcW w:w="9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144"/>
        </w:trPr>
        <w:tc>
          <w:tcPr>
            <w:tcW w:w="90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1600" w:type="dxa"/>
            <w:vAlign w:val="bottom"/>
            <w:gridSpan w:val="2"/>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13,885</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12,121</w:t>
            </w:r>
          </w:p>
        </w:tc>
        <w:tc>
          <w:tcPr>
            <w:tcW w:w="90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Current period provision for expected losses</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1,913</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c>
          <w:tcPr>
            <w:tcW w:w="90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Write-offs charged against the allowance</w:t>
            </w: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(862)</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900" w:type="dxa"/>
            <w:vAlign w:val="bottom"/>
          </w:tcPr>
          <w:p>
            <w:pPr>
              <w:spacing w:after="0"/>
              <w:rPr>
                <w:sz w:val="12"/>
                <w:szCs w:val="12"/>
                <w:color w:val="auto"/>
              </w:rPr>
            </w:pPr>
          </w:p>
        </w:tc>
      </w:tr>
      <w:tr>
        <w:trPr>
          <w:trHeight w:val="144"/>
        </w:trPr>
        <w:tc>
          <w:tcPr>
            <w:tcW w:w="900" w:type="dxa"/>
            <w:vAlign w:val="bottom"/>
          </w:tcPr>
          <w:p>
            <w:pPr>
              <w:spacing w:after="0"/>
              <w:rPr>
                <w:sz w:val="12"/>
                <w:szCs w:val="12"/>
                <w:color w:val="auto"/>
              </w:rPr>
            </w:pPr>
          </w:p>
        </w:tc>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Recoveries collected</w:t>
            </w:r>
          </w:p>
        </w:tc>
        <w:tc>
          <w:tcPr>
            <w:tcW w:w="8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900" w:type="dxa"/>
            <w:vAlign w:val="bottom"/>
          </w:tcPr>
          <w:p>
            <w:pPr>
              <w:spacing w:after="0"/>
              <w:rPr>
                <w:sz w:val="12"/>
                <w:szCs w:val="12"/>
                <w:color w:val="auto"/>
              </w:rPr>
            </w:pPr>
          </w:p>
        </w:tc>
      </w:tr>
      <w:tr>
        <w:trPr>
          <w:trHeight w:val="153"/>
        </w:trPr>
        <w:tc>
          <w:tcPr>
            <w:tcW w:w="900" w:type="dxa"/>
            <w:vAlign w:val="bottom"/>
          </w:tcPr>
          <w:p>
            <w:pPr>
              <w:spacing w:after="0"/>
              <w:rPr>
                <w:sz w:val="13"/>
                <w:szCs w:val="13"/>
                <w:color w:val="auto"/>
              </w:rPr>
            </w:pPr>
          </w:p>
        </w:tc>
        <w:tc>
          <w:tcPr>
            <w:tcW w:w="28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8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15,044</w:t>
            </w:r>
          </w:p>
        </w:tc>
        <w:tc>
          <w:tcPr>
            <w:tcW w:w="2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64"/>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13,013</w:t>
            </w:r>
          </w:p>
        </w:tc>
        <w:tc>
          <w:tcPr>
            <w:tcW w:w="900" w:type="dxa"/>
            <w:vAlign w:val="bottom"/>
          </w:tcPr>
          <w:p>
            <w:pPr>
              <w:spacing w:after="0"/>
              <w:rPr>
                <w:sz w:val="13"/>
                <w:szCs w:val="13"/>
                <w:color w:val="auto"/>
              </w:rPr>
            </w:pPr>
          </w:p>
        </w:tc>
      </w:tr>
      <w:tr>
        <w:trPr>
          <w:trHeight w:val="860"/>
        </w:trPr>
        <w:tc>
          <w:tcPr>
            <w:tcW w:w="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7"/>
        </w:trPr>
        <w:tc>
          <w:tcPr>
            <w:tcW w:w="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Lessee Disclosure</w:t>
      </w:r>
    </w:p>
    <w:p>
      <w:pPr>
        <w:spacing w:after="0" w:line="260"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Company has operating and financing leases for towers, land, corporate offices, retail facilities, and data transport capacity. The lease terms are generally between 3 and 10 years, some of which include additional renewal options.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Supplemental lease information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components of lease expense were as follows (in thousands):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34"/>
        </w:trPr>
        <w:tc>
          <w:tcPr>
            <w:tcW w:w="3920" w:type="dxa"/>
            <w:vAlign w:val="bottom"/>
          </w:tcPr>
          <w:p>
            <w:pPr>
              <w:spacing w:after="0"/>
              <w:rPr>
                <w:sz w:val="11"/>
                <w:szCs w:val="11"/>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Three months ended March 31,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 2021</w:t>
            </w:r>
          </w:p>
        </w:tc>
      </w:tr>
      <w:tr>
        <w:trPr>
          <w:trHeight w:val="142"/>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6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r>
      <w:tr>
        <w:trPr>
          <w:trHeight w:val="144"/>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cost</w:t>
            </w:r>
          </w:p>
        </w:tc>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6,142</w:t>
            </w:r>
          </w:p>
        </w:tc>
        <w:tc>
          <w:tcPr>
            <w:tcW w:w="180" w:type="dxa"/>
            <w:vAlign w:val="bottom"/>
          </w:tcPr>
          <w:p>
            <w:pPr>
              <w:spacing w:after="0"/>
              <w:rPr>
                <w:sz w:val="12"/>
                <w:szCs w:val="12"/>
                <w:color w:val="auto"/>
              </w:rPr>
            </w:pPr>
          </w:p>
        </w:tc>
        <w:tc>
          <w:tcPr>
            <w:tcW w:w="660" w:type="dxa"/>
            <w:vAlign w:val="bottom"/>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4,225</w:t>
            </w:r>
          </w:p>
        </w:tc>
      </w:tr>
      <w:tr>
        <w:trPr>
          <w:trHeight w:val="144"/>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Short-term lease cost</w:t>
            </w: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r>
      <w:tr>
        <w:trPr>
          <w:trHeight w:val="144"/>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Variable lease cost</w:t>
            </w: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804</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w:t>
            </w:r>
          </w:p>
        </w:tc>
      </w:tr>
      <w:tr>
        <w:trPr>
          <w:trHeight w:val="140"/>
        </w:trPr>
        <w:tc>
          <w:tcPr>
            <w:tcW w:w="39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lease cost</w:t>
            </w:r>
          </w:p>
        </w:tc>
        <w:tc>
          <w:tcPr>
            <w:tcW w:w="6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7,455</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5,698</w:t>
            </w:r>
          </w:p>
        </w:tc>
      </w:tr>
      <w:tr>
        <w:trPr>
          <w:trHeight w:val="144"/>
        </w:trPr>
        <w:tc>
          <w:tcPr>
            <w:tcW w:w="3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cost:</w:t>
            </w: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4"/>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Amortization of right-of-use asset</w:t>
            </w:r>
          </w:p>
        </w:tc>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180" w:type="dxa"/>
            <w:vAlign w:val="bottom"/>
          </w:tcPr>
          <w:p>
            <w:pPr>
              <w:spacing w:after="0"/>
              <w:rPr>
                <w:sz w:val="12"/>
                <w:szCs w:val="12"/>
                <w:color w:val="auto"/>
              </w:rPr>
            </w:pPr>
          </w:p>
        </w:tc>
        <w:tc>
          <w:tcPr>
            <w:tcW w:w="660" w:type="dxa"/>
            <w:vAlign w:val="bottom"/>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r>
      <w:tr>
        <w:trPr>
          <w:trHeight w:val="144"/>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Variable costs</w:t>
            </w: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44"/>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Interest costs</w:t>
            </w: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9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finance lease cost</w:t>
            </w:r>
          </w:p>
        </w:tc>
        <w:tc>
          <w:tcPr>
            <w:tcW w:w="6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1,147</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770</w:t>
            </w:r>
          </w:p>
        </w:tc>
      </w:tr>
    </w:tbl>
    <w:p>
      <w:pPr>
        <w:spacing w:after="0" w:line="133"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During the three month periods ended March 31, 2022 and 2021, the Company paid $5.6 million and $3.5 million, respectively for operating lease liabilities. During the three months ended March 31, 2022, the Company recorded $3.7 million of operating lease liabilities arising from ROU assets. During the three months ended March 31, 2021, the Company recorded $2.2 million of operating lease liabilities arising from ROU assets.</w:t>
      </w:r>
    </w:p>
    <w:p>
      <w:pPr>
        <w:spacing w:after="0" w:line="119" w:lineRule="exact"/>
        <w:rPr>
          <w:sz w:val="20"/>
          <w:szCs w:val="20"/>
          <w:color w:val="auto"/>
        </w:rPr>
      </w:pPr>
    </w:p>
    <w:p>
      <w:pPr>
        <w:jc w:val="both"/>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At March 31, 2022, finance leases with a cost of $28.1 million and accumulated amortization of $11.1 million were included in property, plant and equipment. During the three months ended March 31, 2022, the Company paid $0.3 million of financing cash flows and $0.1 million of operating cash flows for finance lease liabilities and recorded $0.8 million of additional finance lease liabilities. Additionally, during the three months ended March 31, 2022, the Company disposed of a finance lease with a net book value of $1.0 million recording a loss for that amount. At March 31, 2022, finance leases had a lease liability of $6.5 million, of which $1.1 million was current.</w:t>
      </w:r>
    </w:p>
    <w:p>
      <w:pPr>
        <w:spacing w:after="0" w:line="122"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At March 31, 2021, finance leases with a cost of $26.5 million and accumulated amortization of $10.1 million were included in property, plant and equipment. During the three months ended March 31, 2021, the Company recorded $1.1 million of additional finance lease liabilities. At March 31, 2021, finance leases had a lease liability of $2.2 million, of which $0.4 million was current. At December 31, 2021, finance leases with a cost of $30.8 million and accumulated amortization of $12.1 million were included in property, plant and equipment.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The weighted average remaining lease terms and discount rates as of March 31, 2022 and December 31, 2021 are noted in the table below:</w:t>
      </w:r>
    </w:p>
    <w:p>
      <w:pPr>
        <w:sectPr>
          <w:pgSz w:w="11900" w:h="16838" w:orient="portrait"/>
          <w:cols w:equalWidth="0" w:num="1">
            <w:col w:w="9019"/>
          </w:cols>
          <w:pgMar w:left="1440" w:top="390" w:right="1440" w:bottom="1440" w:gutter="0" w:footer="0" w:header="0"/>
        </w:sect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-85725</wp:posOffset>
            </wp:positionV>
            <wp:extent cx="4269105" cy="108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9105" cy="108585"/>
                    </a:xfrm>
                    <a:prstGeom prst="rect">
                      <a:avLst/>
                    </a:prstGeom>
                    <a:noFill/>
                  </pic:spPr>
                </pic:pic>
              </a:graphicData>
            </a:graphic>
          </wp:anchor>
        </w:drawing>
      </w:r>
    </w:p>
    <w:p>
      <w:pPr>
        <w:spacing w:after="0" w:line="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-85725</wp:posOffset>
            </wp:positionV>
            <wp:extent cx="426910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9105" cy="102870"/>
                    </a:xfrm>
                    <a:prstGeom prst="rect">
                      <a:avLst/>
                    </a:prstGeom>
                    <a:noFill/>
                  </pic:spPr>
                </pic:pic>
              </a:graphicData>
            </a:graphic>
          </wp:anchor>
        </w:drawing>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-85725</wp:posOffset>
            </wp:positionV>
            <wp:extent cx="426910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9105" cy="102870"/>
                    </a:xfrm>
                    <a:prstGeom prst="rect">
                      <a:avLst/>
                    </a:prstGeom>
                    <a:noFill/>
                  </pic:spPr>
                </pic:pic>
              </a:graphicData>
            </a:graphic>
          </wp:anchor>
        </w:drawing>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-85725</wp:posOffset>
            </wp:positionV>
            <wp:extent cx="426910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9105" cy="102870"/>
                    </a:xfrm>
                    <a:prstGeom prst="rect">
                      <a:avLst/>
                    </a:prstGeom>
                    <a:noFill/>
                  </pic:spPr>
                </pic:pic>
              </a:graphicData>
            </a:graphic>
          </wp:anchor>
        </w:drawing>
      </w:r>
    </w:p>
    <w:p>
      <w:pPr>
        <w:spacing w:after="0" w:line="1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1"/>
          <w:szCs w:val="11"/>
          <w:color w:val="auto"/>
        </w:rPr>
        <w:t>Maturities of lease liabilities as of March 31, 2022 were as follows (in thousands):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4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March 31, 2022</w:t>
            </w:r>
          </w:p>
        </w:tc>
        <w:tc>
          <w:tcPr>
            <w:tcW w:w="140" w:type="dxa"/>
            <w:vAlign w:val="bottom"/>
          </w:tcPr>
          <w:p>
            <w:pPr>
              <w:spacing w:after="0"/>
              <w:rPr>
                <w:sz w:val="11"/>
                <w:szCs w:val="11"/>
                <w:color w:val="auto"/>
              </w:rPr>
            </w:pPr>
          </w:p>
        </w:tc>
        <w:tc>
          <w:tcPr>
            <w:tcW w:w="14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321"/>
        </w:trPr>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11.3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 years</w:t>
            </w:r>
          </w:p>
        </w:tc>
      </w:tr>
      <w:tr>
        <w:trPr>
          <w:trHeight w:val="162"/>
        </w:trPr>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9.6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 years</w:t>
            </w:r>
          </w:p>
        </w:tc>
      </w:tr>
      <w:tr>
        <w:trPr>
          <w:trHeight w:val="486"/>
        </w:trPr>
        <w:tc>
          <w:tcPr>
            <w:tcW w:w="1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62"/>
        </w:trPr>
        <w:tc>
          <w:tcPr>
            <w:tcW w:w="1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bl>
    <w:p>
      <w:pPr>
        <w:spacing w:after="0" w:line="442" w:lineRule="exact"/>
        <w:rPr>
          <w:sz w:val="20"/>
          <w:szCs w:val="20"/>
          <w:color w:val="auto"/>
        </w:rPr>
      </w:pPr>
    </w:p>
    <w:p>
      <w:pPr>
        <w:sectPr>
          <w:pgSz w:w="11900" w:h="16838" w:orient="portrait"/>
          <w:cols w:equalWidth="0" w:num="2">
            <w:col w:w="4400" w:space="420"/>
            <w:col w:w="4199"/>
          </w:cols>
          <w:pgMar w:left="1440" w:top="390" w:right="1440" w:bottom="1440" w:gutter="0" w:footer="0" w:header="0"/>
          <w:type w:val="continuous"/>
        </w:sectPr>
      </w:pPr>
    </w:p>
    <w:tbl>
      <w:tblPr>
        <w:tblLayout w:type="fixed"/>
        <w:tblInd w:w="460" w:type="dxa"/>
        <w:tblCellMar>
          <w:top w:w="0" w:type="dxa"/>
          <w:left w:w="0" w:type="dxa"/>
          <w:bottom w:w="0" w:type="dxa"/>
          <w:right w:w="0" w:type="dxa"/>
        </w:tblCellMar>
      </w:tblPr>
      <w:tr>
        <w:trPr>
          <w:trHeight w:val="131"/>
        </w:trPr>
        <w:tc>
          <w:tcPr>
            <w:tcW w:w="680" w:type="dxa"/>
            <w:vAlign w:val="bottom"/>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4"/>
        </w:trPr>
        <w:tc>
          <w:tcPr>
            <w:tcW w:w="68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(excluding the three months ended March 31, 2022)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16,310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w:t>
            </w:r>
          </w:p>
        </w:tc>
      </w:tr>
      <w:tr>
        <w:trPr>
          <w:trHeight w:val="144"/>
        </w:trPr>
        <w:tc>
          <w:tcPr>
            <w:tcW w:w="68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18,466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1,463</w:t>
            </w:r>
          </w:p>
        </w:tc>
      </w:tr>
      <w:tr>
        <w:trPr>
          <w:trHeight w:val="144"/>
        </w:trPr>
        <w:tc>
          <w:tcPr>
            <w:tcW w:w="68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16,996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1,354</w:t>
            </w:r>
          </w:p>
        </w:tc>
      </w:tr>
      <w:tr>
        <w:trPr>
          <w:trHeight w:val="144"/>
        </w:trPr>
        <w:tc>
          <w:tcPr>
            <w:tcW w:w="68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14,156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1,132</w:t>
            </w:r>
          </w:p>
        </w:tc>
      </w:tr>
      <w:tr>
        <w:trPr>
          <w:trHeight w:val="144"/>
        </w:trPr>
        <w:tc>
          <w:tcPr>
            <w:tcW w:w="68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10,047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r>
      <w:tr>
        <w:trPr>
          <w:trHeight w:val="144"/>
        </w:trPr>
        <w:tc>
          <w:tcPr>
            <w:tcW w:w="680" w:type="dxa"/>
            <w:vAlign w:val="bottom"/>
          </w:tcPr>
          <w:p>
            <w:pPr>
              <w:spacing w:after="0"/>
              <w:rPr>
                <w:sz w:val="12"/>
                <w:szCs w:val="12"/>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68,363</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3,145</w:t>
            </w:r>
          </w:p>
        </w:tc>
      </w:tr>
      <w:tr>
        <w:trPr>
          <w:trHeight w:val="133"/>
        </w:trPr>
        <w:tc>
          <w:tcPr>
            <w:tcW w:w="680" w:type="dxa"/>
            <w:vAlign w:val="bottom"/>
          </w:tcPr>
          <w:p>
            <w:pPr>
              <w:spacing w:after="0"/>
              <w:rPr>
                <w:sz w:val="11"/>
                <w:szCs w:val="11"/>
                <w:color w:val="auto"/>
              </w:rPr>
            </w:pPr>
          </w:p>
        </w:tc>
        <w:tc>
          <w:tcPr>
            <w:tcW w:w="3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144,338</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8,718</w:t>
            </w:r>
          </w:p>
        </w:tc>
      </w:tr>
      <w:tr>
        <w:trPr>
          <w:trHeight w:val="144"/>
        </w:trPr>
        <w:tc>
          <w:tcPr>
            <w:tcW w:w="680" w:type="dxa"/>
            <w:vAlign w:val="bottom"/>
          </w:tcPr>
          <w:p>
            <w:pPr>
              <w:spacing w:after="0"/>
              <w:rPr>
                <w:sz w:val="12"/>
                <w:szCs w:val="12"/>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(42,399)</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(2,211)</w:t>
            </w:r>
          </w:p>
        </w:tc>
      </w:tr>
      <w:tr>
        <w:trPr>
          <w:trHeight w:val="153"/>
        </w:trPr>
        <w:tc>
          <w:tcPr>
            <w:tcW w:w="680" w:type="dxa"/>
            <w:vAlign w:val="bottom"/>
          </w:tcPr>
          <w:p>
            <w:pPr>
              <w:spacing w:after="0"/>
              <w:rPr>
                <w:sz w:val="13"/>
                <w:szCs w:val="13"/>
                <w:color w:val="auto"/>
              </w:rPr>
            </w:pPr>
          </w:p>
        </w:tc>
        <w:tc>
          <w:tcPr>
            <w:tcW w:w="35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101,939</w:t>
            </w: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6,507</w:t>
            </w:r>
          </w:p>
        </w:tc>
      </w:tr>
      <w:tr>
        <w:trPr>
          <w:trHeight w:val="275"/>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Maturities of lease liabilities as of December 31, 2021 were as follows (in thousands):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6"/>
        </w:trPr>
        <w:tc>
          <w:tcPr>
            <w:tcW w:w="680" w:type="dxa"/>
            <w:vAlign w:val="bottom"/>
          </w:tcPr>
          <w:p>
            <w:pPr>
              <w:spacing w:after="0"/>
              <w:rPr>
                <w:sz w:val="24"/>
                <w:szCs w:val="24"/>
                <w:color w:val="auto"/>
              </w:rPr>
            </w:pPr>
          </w:p>
        </w:tc>
        <w:tc>
          <w:tcPr>
            <w:tcW w:w="3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4"/>
        </w:trPr>
        <w:tc>
          <w:tcPr>
            <w:tcW w:w="68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20,474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w:t>
            </w:r>
          </w:p>
        </w:tc>
      </w:tr>
      <w:tr>
        <w:trPr>
          <w:trHeight w:val="144"/>
        </w:trPr>
        <w:tc>
          <w:tcPr>
            <w:tcW w:w="68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17,941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1,278</w:t>
            </w:r>
          </w:p>
        </w:tc>
      </w:tr>
      <w:tr>
        <w:trPr>
          <w:trHeight w:val="144"/>
        </w:trPr>
        <w:tc>
          <w:tcPr>
            <w:tcW w:w="68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16,634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r>
      <w:tr>
        <w:trPr>
          <w:trHeight w:val="144"/>
        </w:trPr>
        <w:tc>
          <w:tcPr>
            <w:tcW w:w="68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13,640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w:t>
            </w:r>
          </w:p>
        </w:tc>
      </w:tr>
      <w:tr>
        <w:trPr>
          <w:trHeight w:val="144"/>
        </w:trPr>
        <w:tc>
          <w:tcPr>
            <w:tcW w:w="68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9,610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44"/>
        </w:trPr>
        <w:tc>
          <w:tcPr>
            <w:tcW w:w="680" w:type="dxa"/>
            <w:vAlign w:val="bottom"/>
          </w:tcPr>
          <w:p>
            <w:pPr>
              <w:spacing w:after="0"/>
              <w:rPr>
                <w:sz w:val="12"/>
                <w:szCs w:val="12"/>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65,902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3,145</w:t>
            </w:r>
          </w:p>
        </w:tc>
      </w:tr>
      <w:tr>
        <w:trPr>
          <w:trHeight w:val="133"/>
        </w:trPr>
        <w:tc>
          <w:tcPr>
            <w:tcW w:w="680" w:type="dxa"/>
            <w:vAlign w:val="bottom"/>
          </w:tcPr>
          <w:p>
            <w:pPr>
              <w:spacing w:after="0"/>
              <w:rPr>
                <w:sz w:val="11"/>
                <w:szCs w:val="11"/>
                <w:color w:val="auto"/>
              </w:rPr>
            </w:pPr>
          </w:p>
        </w:tc>
        <w:tc>
          <w:tcPr>
            <w:tcW w:w="3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144,201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w:t>
            </w:r>
          </w:p>
        </w:tc>
      </w:tr>
      <w:tr>
        <w:trPr>
          <w:trHeight w:val="162"/>
        </w:trPr>
        <w:tc>
          <w:tcPr>
            <w:tcW w:w="680" w:type="dxa"/>
            <w:vAlign w:val="bottom"/>
          </w:tcPr>
          <w:p>
            <w:pPr>
              <w:spacing w:after="0"/>
              <w:rPr>
                <w:sz w:val="14"/>
                <w:szCs w:val="14"/>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(42,333)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(2,268)</w:t>
            </w:r>
          </w:p>
        </w:tc>
      </w:tr>
      <w:tr>
        <w:trPr>
          <w:trHeight w:val="140"/>
        </w:trPr>
        <w:tc>
          <w:tcPr>
            <w:tcW w:w="680" w:type="dxa"/>
            <w:vAlign w:val="bottom"/>
          </w:tcPr>
          <w:p>
            <w:pPr>
              <w:spacing w:after="0"/>
              <w:rPr>
                <w:sz w:val="12"/>
                <w:szCs w:val="12"/>
                <w:color w:val="auto"/>
              </w:rPr>
            </w:pPr>
          </w:p>
        </w:tc>
        <w:tc>
          <w:tcPr>
            <w:tcW w:w="35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101,868</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6,052</w:t>
            </w: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March 31, 2022, the Company did not have any material operating or finance leases that have not yet commenced.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Lessor Disclosure</w:t>
      </w:r>
    </w:p>
    <w:p>
      <w:pPr>
        <w:spacing w:after="0" w:line="152"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Company is the lessor in agreements to lease the use of its network assets including its cell sites and buildings. For the three months ended March 31, 2022 the Company recorded $1.0 million of lease income from agreements in which the Company is the lessor. Lease income is classified as Carrier Services revenue in the statement of operations.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presents the maturities of future undiscounted lease payments for the periods indicated: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vMerge w:val="continue"/>
          </w:tcPr>
          <w:p>
            <w:pPr>
              <w:spacing w:after="0"/>
              <w:rPr>
                <w:sz w:val="12"/>
                <w:szCs w:val="12"/>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(excluding the three months ended March 31, 2022)</w:t>
            </w:r>
          </w:p>
        </w:tc>
        <w:tc>
          <w:tcPr>
            <w:tcW w:w="960" w:type="dxa"/>
            <w:vAlign w:val="bottom"/>
            <w:gridSpan w:val="2"/>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4,042</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4,807</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4,406</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4,288</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3,916</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10,455</w:t>
            </w: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46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future lease payments</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31,914</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5. USE OF ESTIMATES</w:t>
      </w:r>
    </w:p>
    <w:p>
      <w:pPr>
        <w:spacing w:after="0" w:line="154"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useful lives of the Company’s fixed and finite-lived intangible assets, allocation of purchase price to assets acquired and liabilities assumed in business combinations, fair value of indefinite-lived intangible assets, goodwill, assessing the impairment of assets, revenue, and income taxes. Actual results could differ significantly from those estimates. See Note 1 to the Unaudited Condensed Consolidated Financial Statements included in this Report for a discussion of the impact of COVID-19 on the use of these estimates.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6. ACQUISITIONS AND DISPOSITIONS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 Telecom</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Acquisition of Alaska Communications</w:t>
      </w:r>
    </w:p>
    <w:p>
      <w:pPr>
        <w:spacing w:after="0" w:line="150" w:lineRule="exact"/>
        <w:rPr>
          <w:sz w:val="20"/>
          <w:szCs w:val="20"/>
          <w:color w:val="auto"/>
        </w:rPr>
      </w:pPr>
    </w:p>
    <w:p>
      <w:pPr>
        <w:ind w:left="20" w:right="219" w:firstLine="432"/>
        <w:spacing w:after="0" w:line="256" w:lineRule="auto"/>
        <w:rPr>
          <w:sz w:val="20"/>
          <w:szCs w:val="20"/>
          <w:color w:val="auto"/>
        </w:rPr>
      </w:pPr>
      <w:r>
        <w:rPr>
          <w:rFonts w:ascii="Times New Roman" w:cs="Times New Roman" w:eastAsia="Times New Roman" w:hAnsi="Times New Roman"/>
          <w:sz w:val="12"/>
          <w:szCs w:val="12"/>
          <w:color w:val="auto"/>
        </w:rPr>
        <w:t>On July 22, 2021 (“Closing Date”), the Company completed the acquisition of Alaska Communications pursuant to the terms of the Merger Agreement whereby Alaska Communications became a consolidated subsidiary of the Company. At completion of the Merger, each Alaska Communications common share was converted into the right to receive $3.40 per share in cash representing a total value of $353.3 million of cash and consideration payable, (“Merger</w:t>
      </w:r>
    </w:p>
    <w:p>
      <w:pPr>
        <w:spacing w:after="0" w:line="1" w:lineRule="exact"/>
        <w:rPr>
          <w:sz w:val="20"/>
          <w:szCs w:val="20"/>
          <w:color w:val="auto"/>
        </w:rPr>
      </w:pPr>
    </w:p>
    <w:p>
      <w:pPr>
        <w:ind w:left="20" w:right="339"/>
        <w:spacing w:after="0" w:line="255" w:lineRule="auto"/>
        <w:rPr>
          <w:sz w:val="20"/>
          <w:szCs w:val="20"/>
          <w:color w:val="auto"/>
        </w:rPr>
      </w:pPr>
      <w:r>
        <w:rPr>
          <w:rFonts w:ascii="Times New Roman" w:cs="Times New Roman" w:eastAsia="Times New Roman" w:hAnsi="Times New Roman"/>
          <w:sz w:val="12"/>
          <w:szCs w:val="12"/>
          <w:color w:val="auto"/>
        </w:rPr>
        <w:t>Consideration”). The consideration transferred consists of $339.5 million of cash, net of $11.9 million of cash and restricted cash acquired and $1.9 million of accrued consideration representing amounts payable related to stock compensation payable within one year of the close date. The cash consideration was used to purchase $186.8 million of Alaska Communications equity and repay $164.6 million of existing Alaska Communications debt.</w:t>
      </w:r>
    </w:p>
    <w:p>
      <w:pPr>
        <w:spacing w:after="0" w:line="125" w:lineRule="exact"/>
        <w:rPr>
          <w:sz w:val="20"/>
          <w:szCs w:val="20"/>
          <w:color w:val="auto"/>
        </w:rPr>
      </w:pPr>
    </w:p>
    <w:p>
      <w:pPr>
        <w:ind w:left="20" w:right="99" w:firstLine="432"/>
        <w:spacing w:after="0" w:line="255" w:lineRule="auto"/>
        <w:rPr>
          <w:sz w:val="20"/>
          <w:szCs w:val="20"/>
          <w:color w:val="auto"/>
        </w:rPr>
      </w:pPr>
      <w:r>
        <w:rPr>
          <w:rFonts w:ascii="Times New Roman" w:cs="Times New Roman" w:eastAsia="Times New Roman" w:hAnsi="Times New Roman"/>
          <w:sz w:val="12"/>
          <w:szCs w:val="12"/>
          <w:color w:val="auto"/>
        </w:rPr>
        <w:t>The Company funded the acquisition with cash on hand, debt, and a contribution from the Freedom 3 Investors. The Company borrowed, through multiple financing transactions, a net of $283 million. On the Closing Date, the lenders advanced to Merger Sub (a) the full $210 million aggregate amount of the Alaska Term Loan (as defined below) in a single borrowing and (b) $10 million of the Alaska Revolving Facility (as defined below). The Company incurred $6.6 million of debt issuance and debt discount costs. Also, to fund the Merger Consideration in part, the Company drew a net $63.0 million under its revolving credit facility under the 2019 CoBank Credit Facility (as defined below). Lastly, the Freedom 3 Investors contributed $71.5 million in conjunction with the Merger. The Company has accounted for the Freedom 3 Investment as redeemable noncontrolling interests in its consolidated financial statements. On the Closing Date, the redeemable noncontrolling interests consisted of $22.6 million of redeemable common units, $48.3 million of redeemable preferred units, and $0.6 million of warrants to purchase common units. The common units contain a put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57" w:lineRule="auto"/>
        <w:rPr>
          <w:sz w:val="20"/>
          <w:szCs w:val="20"/>
          <w:color w:val="auto"/>
        </w:rPr>
      </w:pPr>
      <w:r>
        <w:rPr>
          <w:rFonts w:ascii="Times New Roman" w:cs="Times New Roman" w:eastAsia="Times New Roman" w:hAnsi="Times New Roman"/>
          <w:sz w:val="12"/>
          <w:szCs w:val="12"/>
          <w:color w:val="auto"/>
        </w:rPr>
        <w:t>option allowing the holder to sell the common units to a subsidiary of the Company at the then fair market value. The put option begins at the earlier of a future initial public offering of the Alaska Communications operations or July 2028. The redeemable preferred units carry a 9% preferred dividend which compounds quarterly. The preferred units contain a put option allowing the holder to sell the preferred units to a subsidiary of the Company at the unpaid issue price plus unpaid dividends. The put option begins at the earlier of a future initial public offering of the Alaska Communications operations or July 2028. Lastly, the Company issued warrants in the Alaska Communications operations allowing the holders to purchase an additional 3% of the common units at a fixed price.</w:t>
      </w:r>
    </w:p>
    <w:p>
      <w:pPr>
        <w:spacing w:after="0" w:line="125"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fair value of the common units remained at $22.6 million at March 31, 2022, unchanged from the value at July 22, 2021. The value of the preferred units was $51.4 million at March 31, 2022 which consists of the original issue price of $48.3 million and $3.1 million of accrued preferred dividends. The value of the warrants was $0.6 million at March 31, 2022, unchanged from July 22, 2021.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a result of the Alaska Transaction, the Company owns 52% of the common equity of Alaska Communications and controls its operations and management.</w:t>
      </w:r>
    </w:p>
    <w:p>
      <w:pPr>
        <w:spacing w:after="0" w:line="150"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table below represents the allocation of the total consideration transferred to the acquired assets and assumed liabilities based on management’s estimate of their acquisition date fair values (amounts in thousands):</w:t>
      </w:r>
    </w:p>
    <w:p>
      <w:pPr>
        <w:spacing w:after="0" w:line="131"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Transferred</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353,280</w:t>
            </w:r>
          </w:p>
        </w:tc>
      </w:tr>
      <w:tr>
        <w:trPr>
          <w:trHeight w:val="144"/>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w:t>
            </w:r>
          </w:p>
        </w:tc>
      </w:tr>
      <w:tr>
        <w:trPr>
          <w:trHeight w:val="153"/>
        </w:trPr>
        <w:tc>
          <w:tcPr>
            <w:tcW w:w="32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value to allocate</w:t>
            </w:r>
          </w:p>
        </w:tc>
        <w:tc>
          <w:tcPr>
            <w:tcW w:w="4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353,750</w:t>
            </w:r>
          </w:p>
        </w:tc>
      </w:tr>
      <w:tr>
        <w:trPr>
          <w:trHeight w:val="131"/>
        </w:trPr>
        <w:tc>
          <w:tcPr>
            <w:tcW w:w="326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Purchase price allocation:</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10,553</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Short-term investments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30,453</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Inventory, materials and supplies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Prepayments and other current assets</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8,038</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Fixed assets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408,694</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Telecommunication licenses</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Intangible assets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44,333</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60,402</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assets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(39,188)</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taxes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(3,766)</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Advance payments and deposits</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(15,842)</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portion of lease liabilities</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(2,425)</w:t>
            </w:r>
          </w:p>
        </w:tc>
      </w:tr>
      <w:tr>
        <w:trPr>
          <w:trHeight w:val="144"/>
        </w:trPr>
        <w:tc>
          <w:tcPr>
            <w:tcW w:w="3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income taxes</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(17,040)</w:t>
            </w:r>
          </w:p>
        </w:tc>
      </w:tr>
      <w:tr>
        <w:trPr>
          <w:trHeight w:val="144"/>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Lease liabilities, excluding current portion</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(44,234)</w:t>
            </w:r>
          </w:p>
        </w:tc>
      </w:tr>
      <w:tr>
        <w:trPr>
          <w:trHeight w:val="144"/>
        </w:trPr>
        <w:tc>
          <w:tcPr>
            <w:tcW w:w="3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liabilities</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(92,432)</w:t>
            </w:r>
          </w:p>
        </w:tc>
      </w:tr>
      <w:tr>
        <w:trPr>
          <w:trHeight w:val="140"/>
        </w:trPr>
        <w:tc>
          <w:tcPr>
            <w:tcW w:w="326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assets acquired</w:t>
            </w: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353,750</w:t>
            </w:r>
          </w:p>
        </w:tc>
      </w:tr>
    </w:tbl>
    <w:p>
      <w:pPr>
        <w:spacing w:after="0" w:line="133" w:lineRule="exact"/>
        <w:rPr>
          <w:sz w:val="20"/>
          <w:szCs w:val="20"/>
          <w:color w:val="auto"/>
        </w:rPr>
      </w:pPr>
    </w:p>
    <w:p>
      <w:pPr>
        <w:ind w:left="20" w:right="39" w:firstLine="432"/>
        <w:spacing w:after="0" w:line="282" w:lineRule="auto"/>
        <w:rPr>
          <w:sz w:val="20"/>
          <w:szCs w:val="20"/>
          <w:color w:val="auto"/>
        </w:rPr>
      </w:pPr>
      <w:r>
        <w:rPr>
          <w:rFonts w:ascii="Times New Roman" w:cs="Times New Roman" w:eastAsia="Times New Roman" w:hAnsi="Times New Roman"/>
          <w:sz w:val="11"/>
          <w:szCs w:val="11"/>
          <w:color w:val="auto"/>
        </w:rPr>
        <w:t>The acquired fixed assets are comprised of telecommunication equipment located in the Alaska and the Western United States. The fixed assets were valued using the income and cost approaches. Cash flows were discounted between 4% and 14% based on the risk associated with the cash flows to determine fair value under the income approach. The fixed assets have useful lives ranging from 2 to 30 years. The intangible assets consist of $34.9 million of customer relationships and $9.5 million of trade name. The intangibles were valued using an income approach based on data specific to Alaska Communications as well as market participant assumptions where appropriate. The estimated fair value of the customer relationships was determined using the multi-period excess earnings method. The estimated fair value of the trade name was determined using the relief from royalty method. The useful lives of the customer relationships and trade name are 5 and 15 years, respectively. The acquired receivables consist of trade receivables incurred in the ordinary course of business. The Company expects to collect the full amount of the receivables. Other liabilities includes $81.5 million of deferred revenue from long term customer contracts. The Company adopted ASU</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2021-08 in 2021, which requires contract liabilities to be accounted for consistently with how they were recognized and measured in the acquiree’s financial statements. As a result, the acquired deferred revenue was recorded at Alaska Communications’ book value as of the Closing Date.</w:t>
      </w:r>
    </w:p>
    <w:p>
      <w:pPr>
        <w:spacing w:after="0" w:line="111"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The Company’s statement of operations for the three months ended March 31, 2022 includes $58.3 million of revenue and $2.8 million of losses before taxes attributable to the Alaska Transaction, excluding transaction fees. The Company incurred $11.0 million of transaction related charges pertaining to legal, accounting, consulting services, and employee related costs associated with the transaction, of which $0.5 million were incurred during the three months ended March 31, 2022.</w:t>
      </w:r>
    </w:p>
    <w:p>
      <w:pPr>
        <w:spacing w:after="0" w:line="119" w:lineRule="exact"/>
        <w:rPr>
          <w:sz w:val="20"/>
          <w:szCs w:val="20"/>
          <w:color w:val="auto"/>
        </w:rPr>
      </w:pPr>
    </w:p>
    <w:p>
      <w:pPr>
        <w:ind w:left="20" w:right="159" w:firstLine="432"/>
        <w:spacing w:after="0" w:line="256" w:lineRule="auto"/>
        <w:rPr>
          <w:sz w:val="20"/>
          <w:szCs w:val="20"/>
          <w:color w:val="auto"/>
        </w:rPr>
      </w:pPr>
      <w:r>
        <w:rPr>
          <w:rFonts w:ascii="Times New Roman" w:cs="Times New Roman" w:eastAsia="Times New Roman" w:hAnsi="Times New Roman"/>
          <w:sz w:val="12"/>
          <w:szCs w:val="12"/>
          <w:color w:val="auto"/>
        </w:rPr>
        <w:t>The following table reflects unaudited pro forma operating results of the Company for the three months ended March 31, 2021 assuming the transaction occurred on January 1, 2020. The unaudited pro forma amounts adjust Alaska Communications’ results to reflect the depreciation and amortization that would have been recorded assuming the fair value adjustments to fixed assets and intangible assets had been applied from January 1, 2020. Additionally, all transaction costs associated with the Alaska Transaction were recorded on January 1, 2020 in the unaudited pro forma results. Lastly, the unaudited pro forma results were adjusted to reflect changes to the acquired entities’ financial structure related to the transaction. Specifically, the pre-Close debt of $164.6 million, and associated interest, was removed and $283.0 million of transaction debt, and associated interest, was included in the unaudited pro forma results. In addition, the pro forma results included the allocation of income and accrual of preferred dividends to the redeemable noncontrolling interest.</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Borders>
              <w:bottom w:val="single" w:sz="8" w:color="auto"/>
            </w:tcBorders>
            <w:gridSpan w:val="2"/>
          </w:tcPr>
          <w:p>
            <w:pPr>
              <w:jc w:val="right"/>
              <w:ind w:right="140"/>
              <w:spacing w:after="0" w:line="88" w:lineRule="exact"/>
              <w:rPr>
                <w:sz w:val="20"/>
                <w:szCs w:val="20"/>
                <w:color w:val="auto"/>
              </w:rPr>
            </w:pPr>
            <w:r>
              <w:rPr>
                <w:rFonts w:ascii="Times New Roman" w:cs="Times New Roman" w:eastAsia="Times New Roman" w:hAnsi="Times New Roman"/>
                <w:sz w:val="10"/>
                <w:szCs w:val="10"/>
                <w:b w:val="1"/>
                <w:bCs w:val="1"/>
                <w:color w:val="auto"/>
              </w:rPr>
              <w:t>March 30, 2021</w:t>
            </w: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560" w:type="dxa"/>
            <w:vAlign w:val="bottom"/>
          </w:tcPr>
          <w:p>
            <w:pPr>
              <w:spacing w:after="0"/>
              <w:rPr>
                <w:sz w:val="9"/>
                <w:szCs w:val="9"/>
                <w:color w:val="auto"/>
              </w:rPr>
            </w:pPr>
          </w:p>
        </w:tc>
        <w:tc>
          <w:tcPr>
            <w:tcW w:w="920" w:type="dxa"/>
            <w:vAlign w:val="bottom"/>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124,510</w:t>
            </w:r>
          </w:p>
        </w:tc>
        <w:tc>
          <w:tcPr>
            <w:tcW w:w="5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185,178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Net Income attributable to ATN International, Inc. Stockholders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145"/>
              <w:spacing w:after="0"/>
              <w:rPr>
                <w:sz w:val="20"/>
                <w:szCs w:val="20"/>
                <w:color w:val="auto"/>
              </w:rPr>
            </w:pPr>
            <w:r>
              <w:rPr>
                <w:rFonts w:ascii="Times New Roman" w:cs="Times New Roman" w:eastAsia="Times New Roman" w:hAnsi="Times New Roman"/>
                <w:sz w:val="12"/>
                <w:szCs w:val="12"/>
                <w:color w:val="auto"/>
              </w:rPr>
              <w:t>2,706</w:t>
            </w:r>
          </w:p>
        </w:tc>
        <w:tc>
          <w:tcPr>
            <w:tcW w:w="5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Share</w:t>
            </w: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Basic</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0.17</w:t>
            </w:r>
          </w:p>
        </w:tc>
        <w:tc>
          <w:tcPr>
            <w:tcW w:w="5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Diluted</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145"/>
              <w:spacing w:after="0"/>
              <w:rPr>
                <w:sz w:val="20"/>
                <w:szCs w:val="20"/>
                <w:color w:val="auto"/>
              </w:rPr>
            </w:pPr>
            <w:r>
              <w:rPr>
                <w:rFonts w:ascii="Times New Roman" w:cs="Times New Roman" w:eastAsia="Times New Roman" w:hAnsi="Times New Roman"/>
                <w:sz w:val="12"/>
                <w:szCs w:val="12"/>
                <w:color w:val="auto"/>
              </w:rPr>
              <w:t>0.17</w:t>
            </w:r>
          </w:p>
        </w:tc>
        <w:tc>
          <w:tcPr>
            <w:tcW w:w="5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unaudited pro forma adjustments decreased net income attributable to ATN International, Inc. Stockholders by $1.7 million for the three months ended March 31, 2021. The increase was due to an increase from the net income of the Alaska Communications operations excluding transaction costs offset by increased acquisition related depreciation and amortization expenses.</w:t>
      </w:r>
    </w:p>
    <w:p>
      <w:pPr>
        <w:spacing w:after="0" w:line="119"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unaudited pro forma data is presented for illustrative purposes only and is not necessarily indicative of the operating results that would have occurred if the acquisitions had been consummated on these dates or of future operating results of the combined company following this transaction.</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Renewable Energy</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Disposition of International Solar Business</w:t>
      </w:r>
    </w:p>
    <w:p>
      <w:pPr>
        <w:spacing w:after="0" w:line="152" w:lineRule="exact"/>
        <w:rPr>
          <w:sz w:val="20"/>
          <w:szCs w:val="20"/>
          <w:color w:val="auto"/>
        </w:rPr>
      </w:pPr>
    </w:p>
    <w:p>
      <w:pPr>
        <w:ind w:left="20" w:right="159" w:firstLine="410"/>
        <w:spacing w:after="0" w:line="260" w:lineRule="auto"/>
        <w:rPr>
          <w:sz w:val="20"/>
          <w:szCs w:val="20"/>
          <w:color w:val="auto"/>
        </w:rPr>
      </w:pPr>
      <w:r>
        <w:rPr>
          <w:rFonts w:ascii="Times New Roman" w:cs="Times New Roman" w:eastAsia="Times New Roman" w:hAnsi="Times New Roman"/>
          <w:sz w:val="12"/>
          <w:szCs w:val="12"/>
          <w:color w:val="auto"/>
        </w:rPr>
        <w:t>In January 2021, the Company completed the sale of 67% of the outstanding equity in its business that owns and operates distributed generation solar power projects operated under the Vibrant name in India (the “Vibrant Transaction”). The post-sale results of the Company’s ownership interest in Vibrant are recorded through the equity method of accounting within the Corporate and Other operating segment. As such, the Company’s consolidated financial statements do not include revenue and operating expenses from Vibrant, but instead, “other income (expense)”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39"/>
        <w:spacing w:after="0" w:line="279" w:lineRule="auto"/>
        <w:rPr>
          <w:sz w:val="20"/>
          <w:szCs w:val="20"/>
          <w:color w:val="auto"/>
        </w:rPr>
      </w:pPr>
      <w:r>
        <w:rPr>
          <w:rFonts w:ascii="Times New Roman" w:cs="Times New Roman" w:eastAsia="Times New Roman" w:hAnsi="Times New Roman"/>
          <w:sz w:val="12"/>
          <w:szCs w:val="12"/>
          <w:color w:val="auto"/>
        </w:rPr>
        <w:t>within the Corporate and Other operating segment includes the Company’s share of Vibrant’s profits or losses. The Company will continue to present the historical results of its Renewable Energy segment for comparative purposes.</w:t>
      </w:r>
    </w:p>
    <w:p>
      <w:pPr>
        <w:spacing w:after="0" w:line="111" w:lineRule="exact"/>
        <w:rPr>
          <w:sz w:val="20"/>
          <w:szCs w:val="20"/>
          <w:color w:val="auto"/>
        </w:rPr>
      </w:pPr>
    </w:p>
    <w:tbl>
      <w:tblPr>
        <w:tblLayout w:type="fixed"/>
        <w:tblInd w:w="440" w:type="dxa"/>
        <w:tblCellMar>
          <w:top w:w="0" w:type="dxa"/>
          <w:left w:w="0" w:type="dxa"/>
          <w:bottom w:w="0" w:type="dxa"/>
          <w:right w:w="0" w:type="dxa"/>
        </w:tblCellMar>
      </w:tblPr>
      <w:tr>
        <w:trPr>
          <w:trHeight w:val="155"/>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identifies the assets and liabilities transferred (in thousands):</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Received</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 and liabilities disposed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assets disposed</w:t>
            </w: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50,470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less net assets disposed</w:t>
            </w:r>
          </w:p>
        </w:tc>
        <w:tc>
          <w:tcPr>
            <w:tcW w:w="4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3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 losses reclassified from accumulated other</w:t>
            </w: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w:t>
            </w: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820" w:type="dxa"/>
            <w:vAlign w:val="bottom"/>
          </w:tcPr>
          <w:p>
            <w:pPr>
              <w:spacing w:after="0"/>
              <w:rPr>
                <w:sz w:val="13"/>
                <w:szCs w:val="13"/>
                <w:color w:val="auto"/>
              </w:rPr>
            </w:pPr>
          </w:p>
        </w:tc>
        <w:tc>
          <w:tcPr>
            <w:tcW w:w="33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Transaction costs</w:t>
            </w:r>
          </w:p>
        </w:tc>
        <w:tc>
          <w:tcPr>
            <w:tcW w:w="4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(1,283)</w:t>
            </w: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33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on sale including transaction costs</w:t>
            </w: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99" w:firstLine="432"/>
        <w:spacing w:after="0" w:line="256" w:lineRule="auto"/>
        <w:rPr>
          <w:sz w:val="20"/>
          <w:szCs w:val="20"/>
          <w:color w:val="auto"/>
        </w:rPr>
      </w:pPr>
      <w:r>
        <w:rPr>
          <w:rFonts w:ascii="Times New Roman" w:cs="Times New Roman" w:eastAsia="Times New Roman" w:hAnsi="Times New Roman"/>
          <w:sz w:val="12"/>
          <w:szCs w:val="12"/>
          <w:color w:val="auto"/>
        </w:rPr>
        <w:t>The Company reported a loss on sale of $21.5 million during the year ended December 31, 2020 due to the Vibrant Transaction. The Company recorded transaction costs of $1.3 million on the Vibrant Transaction, of which $0.7 million was recorded during the year ended December 31, 2020 and $0.6 million was recorded during the year ended December 31, 2021. The consideration received includes $19.5 million of cash and $3.9 million of receivables related to the amounts held in escrow and earn out consideration. The Company has recorded $11.8 million pursuant to an equity method investment with respect to its remaining 33% ownership interest in Vibrant. The Company is assessing earn out and escrow amounts which will be finalized in 2023. During the year ended December 31, 2021, the Company recorded additional losses of $1.6 million related to the ongoing working capital, escrow, and contingent consideration assessment. The Company has 24 months after the close of the transaction to satisfy the conditions necessary to receive the earn-out consideration.</w:t>
      </w:r>
    </w:p>
    <w:p>
      <w:pPr>
        <w:spacing w:after="0" w:line="125"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Vibrant Transaction does not qualify as discontinued operations because the disposition was not a strategic shift which will have a major effect on the Company’s operations, and as a result, the historical results and financial position of the operations are presented within continuing operations.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7. FAIR VALUE MEASUREMENTS AND INVESTMENTS</w:t>
      </w:r>
    </w:p>
    <w:p>
      <w:pPr>
        <w:spacing w:after="0" w:line="154" w:lineRule="exact"/>
        <w:rPr>
          <w:sz w:val="20"/>
          <w:szCs w:val="20"/>
          <w:color w:val="auto"/>
        </w:rPr>
      </w:pPr>
    </w:p>
    <w:p>
      <w:pPr>
        <w:ind w:left="20" w:right="319" w:firstLine="432"/>
        <w:spacing w:after="0" w:line="327" w:lineRule="auto"/>
        <w:rPr>
          <w:sz w:val="20"/>
          <w:szCs w:val="20"/>
          <w:color w:val="auto"/>
        </w:rPr>
      </w:pPr>
      <w:r>
        <w:rPr>
          <w:rFonts w:ascii="Times New Roman" w:cs="Times New Roman" w:eastAsia="Times New Roman" w:hAnsi="Times New Roman"/>
          <w:sz w:val="11"/>
          <w:szCs w:val="11"/>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20" w:lineRule="exact"/>
        <w:rPr>
          <w:sz w:val="20"/>
          <w:szCs w:val="20"/>
          <w:color w:val="auto"/>
        </w:rPr>
      </w:pPr>
    </w:p>
    <w:p>
      <w:pPr>
        <w:ind w:left="1600" w:right="1419" w:hanging="710"/>
        <w:spacing w:after="0" w:line="260" w:lineRule="auto"/>
        <w:tabs>
          <w:tab w:leader="none" w:pos="1580" w:val="left"/>
        </w:tabs>
        <w:rPr>
          <w:sz w:val="20"/>
          <w:szCs w:val="20"/>
          <w:color w:val="auto"/>
        </w:rPr>
      </w:pPr>
      <w:r>
        <w:rPr>
          <w:rFonts w:ascii="Times New Roman" w:cs="Times New Roman" w:eastAsia="Times New Roman" w:hAnsi="Times New Roman"/>
          <w:sz w:val="12"/>
          <w:szCs w:val="12"/>
          <w:color w:val="auto"/>
        </w:rPr>
        <w:t>Level 1</w:t>
      </w:r>
      <w:r>
        <w:rPr>
          <w:sz w:val="20"/>
          <w:szCs w:val="20"/>
          <w:color w:val="auto"/>
        </w:rPr>
        <w:tab/>
      </w:r>
      <w:r>
        <w:rPr>
          <w:rFonts w:ascii="Times New Roman" w:cs="Times New Roman" w:eastAsia="Times New Roman" w:hAnsi="Times New Roman"/>
          <w:sz w:val="12"/>
          <w:szCs w:val="12"/>
          <w:color w:val="auto"/>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66" w:lineRule="exact"/>
        <w:rPr>
          <w:sz w:val="20"/>
          <w:szCs w:val="20"/>
          <w:color w:val="auto"/>
        </w:rPr>
      </w:pPr>
    </w:p>
    <w:p>
      <w:pPr>
        <w:ind w:left="1600" w:right="1359" w:hanging="710"/>
        <w:spacing w:after="0" w:line="256" w:lineRule="auto"/>
        <w:tabs>
          <w:tab w:leader="none" w:pos="1580" w:val="left"/>
        </w:tabs>
        <w:rPr>
          <w:sz w:val="20"/>
          <w:szCs w:val="20"/>
          <w:color w:val="auto"/>
        </w:rPr>
      </w:pPr>
      <w:r>
        <w:rPr>
          <w:rFonts w:ascii="Times New Roman" w:cs="Times New Roman" w:eastAsia="Times New Roman" w:hAnsi="Times New Roman"/>
          <w:sz w:val="12"/>
          <w:szCs w:val="12"/>
          <w:color w:val="auto"/>
        </w:rPr>
        <w:t>Level 2</w:t>
      </w:r>
      <w:r>
        <w:rPr>
          <w:sz w:val="20"/>
          <w:szCs w:val="20"/>
          <w:color w:val="auto"/>
        </w:rPr>
        <w:tab/>
      </w:r>
      <w:r>
        <w:rPr>
          <w:rFonts w:ascii="Times New Roman" w:cs="Times New Roman" w:eastAsia="Times New Roman" w:hAnsi="Times New Roman"/>
          <w:sz w:val="12"/>
          <w:szCs w:val="12"/>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69" w:lineRule="exact"/>
        <w:rPr>
          <w:sz w:val="20"/>
          <w:szCs w:val="20"/>
          <w:color w:val="auto"/>
        </w:rPr>
      </w:pPr>
    </w:p>
    <w:p>
      <w:pPr>
        <w:ind w:left="1600" w:right="1319" w:hanging="710"/>
        <w:spacing w:after="0" w:line="260" w:lineRule="auto"/>
        <w:tabs>
          <w:tab w:leader="none" w:pos="1580" w:val="left"/>
        </w:tabs>
        <w:rPr>
          <w:sz w:val="20"/>
          <w:szCs w:val="20"/>
          <w:color w:val="auto"/>
        </w:rPr>
      </w:pPr>
      <w:r>
        <w:rPr>
          <w:rFonts w:ascii="Times New Roman" w:cs="Times New Roman" w:eastAsia="Times New Roman" w:hAnsi="Times New Roman"/>
          <w:sz w:val="12"/>
          <w:szCs w:val="12"/>
          <w:color w:val="auto"/>
        </w:rPr>
        <w:t>Level 3</w:t>
      </w:r>
      <w:r>
        <w:rPr>
          <w:sz w:val="20"/>
          <w:szCs w:val="20"/>
          <w:color w:val="auto"/>
        </w:rPr>
        <w:tab/>
      </w:r>
      <w:r>
        <w:rPr>
          <w:rFonts w:ascii="Times New Roman" w:cs="Times New Roman" w:eastAsia="Times New Roman" w:hAnsi="Times New Roman"/>
          <w:sz w:val="12"/>
          <w:szCs w:val="12"/>
          <w:color w:val="auto"/>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Assets and liabilities of the Company measured at fair value on a recurring basis as of March 31, 2022 and December 31, 2021 are summarized as follows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0"/>
                <w:szCs w:val="10"/>
                <w:b w:val="1"/>
                <w:bCs w:val="1"/>
                <w:color w:val="auto"/>
                <w:w w:val="96"/>
              </w:rPr>
              <w:t>March 31, 2022</w:t>
            </w:r>
          </w:p>
        </w:tc>
        <w:tc>
          <w:tcPr>
            <w:tcW w:w="9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8"/>
              </w:rPr>
              <w:t>Quoted Prices in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tcPr>
          <w:p>
            <w:pPr>
              <w:jc w:val="center"/>
              <w:ind w:left="385"/>
              <w:spacing w:after="0"/>
              <w:rPr>
                <w:sz w:val="20"/>
                <w:szCs w:val="20"/>
                <w:color w:val="auto"/>
              </w:rPr>
            </w:pPr>
            <w:r>
              <w:rPr>
                <w:rFonts w:ascii="Times New Roman" w:cs="Times New Roman" w:eastAsia="Times New Roman" w:hAnsi="Times New Roman"/>
                <w:sz w:val="10"/>
                <w:szCs w:val="10"/>
                <w:b w:val="1"/>
                <w:bCs w:val="1"/>
                <w:color w:val="auto"/>
                <w:w w:val="97"/>
              </w:rPr>
              <w:t>Significant Other</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Unobservable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center"/>
              <w:ind w:right="64"/>
              <w:spacing w:after="0" w:line="99" w:lineRule="exact"/>
              <w:rPr>
                <w:sz w:val="20"/>
                <w:szCs w:val="20"/>
                <w:color w:val="auto"/>
              </w:rPr>
            </w:pPr>
            <w:r>
              <w:rPr>
                <w:rFonts w:ascii="Times New Roman" w:cs="Times New Roman" w:eastAsia="Times New Roman" w:hAnsi="Times New Roman"/>
                <w:sz w:val="10"/>
                <w:szCs w:val="10"/>
                <w:b w:val="1"/>
                <w:bCs w:val="1"/>
                <w:color w:val="auto"/>
                <w:w w:val="94"/>
              </w:rPr>
              <w:t>Active Markets</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rPr>
              <w:t>Inputs</w:t>
            </w:r>
          </w:p>
        </w:tc>
        <w:tc>
          <w:tcPr>
            <w:tcW w:w="260" w:type="dxa"/>
            <w:vAlign w:val="bottom"/>
          </w:tcPr>
          <w:p>
            <w:pPr>
              <w:spacing w:after="0"/>
              <w:rPr>
                <w:sz w:val="8"/>
                <w:szCs w:val="8"/>
                <w:color w:val="auto"/>
              </w:rPr>
            </w:pPr>
          </w:p>
        </w:tc>
        <w:tc>
          <w:tcPr>
            <w:tcW w:w="9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60" w:type="dxa"/>
            <w:vAlign w:val="bottom"/>
          </w:tcPr>
          <w:p>
            <w:pPr>
              <w:spacing w:after="0"/>
              <w:rPr>
                <w:sz w:val="10"/>
                <w:szCs w:val="1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38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Money market funds</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3,164</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3,164</w:t>
            </w:r>
          </w:p>
        </w:tc>
        <w:tc>
          <w:tcPr>
            <w:tcW w:w="0" w:type="dxa"/>
            <w:vAlign w:val="bottom"/>
          </w:tcPr>
          <w:p>
            <w:pPr>
              <w:spacing w:after="0"/>
              <w:rPr>
                <w:sz w:val="1"/>
                <w:szCs w:val="1"/>
                <w:color w:val="auto"/>
              </w:rPr>
            </w:pPr>
          </w:p>
        </w:tc>
      </w:tr>
      <w:tr>
        <w:trPr>
          <w:trHeight w:val="144"/>
        </w:trPr>
        <w:tc>
          <w:tcPr>
            <w:tcW w:w="4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 term investments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0" w:type="dxa"/>
            <w:vAlign w:val="bottom"/>
          </w:tcPr>
          <w:p>
            <w:pPr>
              <w:spacing w:after="0"/>
              <w:rPr>
                <w:sz w:val="1"/>
                <w:szCs w:val="1"/>
                <w:color w:val="auto"/>
              </w:rPr>
            </w:pPr>
          </w:p>
        </w:tc>
      </w:tr>
      <w:tr>
        <w:trPr>
          <w:trHeight w:val="144"/>
        </w:trPr>
        <w:tc>
          <w:tcPr>
            <w:tcW w:w="4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(22,640)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(22,640)</w:t>
            </w: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0" w:type="dxa"/>
            <w:vAlign w:val="bottom"/>
          </w:tcPr>
          <w:p>
            <w:pPr>
              <w:spacing w:after="0"/>
              <w:rPr>
                <w:sz w:val="1"/>
                <w:szCs w:val="1"/>
                <w:color w:val="auto"/>
              </w:rPr>
            </w:pPr>
          </w:p>
        </w:tc>
      </w:tr>
      <w:tr>
        <w:trPr>
          <w:trHeight w:val="144"/>
        </w:trPr>
        <w:tc>
          <w:tcPr>
            <w:tcW w:w="4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(279)</w:t>
            </w:r>
          </w:p>
        </w:tc>
        <w:tc>
          <w:tcPr>
            <w:tcW w:w="2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0" w:type="dxa"/>
            <w:vAlign w:val="bottom"/>
          </w:tcPr>
          <w:p>
            <w:pPr>
              <w:spacing w:after="0"/>
              <w:rPr>
                <w:sz w:val="1"/>
                <w:szCs w:val="1"/>
                <w:color w:val="auto"/>
              </w:rPr>
            </w:pPr>
          </w:p>
        </w:tc>
      </w:tr>
      <w:tr>
        <w:trPr>
          <w:trHeight w:val="140"/>
        </w:trPr>
        <w:tc>
          <w:tcPr>
            <w:tcW w:w="43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3,464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(21,175)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(17,990)</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405"/>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9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8"/>
              </w:rPr>
              <w:t>Quoted Prices in</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gridSpan w:val="3"/>
          </w:tcPr>
          <w:p>
            <w:pPr>
              <w:jc w:val="center"/>
              <w:ind w:left="385"/>
              <w:spacing w:after="0" w:line="72" w:lineRule="exact"/>
              <w:rPr>
                <w:sz w:val="20"/>
                <w:szCs w:val="20"/>
                <w:color w:val="auto"/>
              </w:rPr>
            </w:pPr>
            <w:r>
              <w:rPr>
                <w:rFonts w:ascii="Times New Roman" w:cs="Times New Roman" w:eastAsia="Times New Roman" w:hAnsi="Times New Roman"/>
                <w:sz w:val="8"/>
                <w:szCs w:val="8"/>
                <w:b w:val="1"/>
                <w:bCs w:val="1"/>
                <w:color w:val="auto"/>
              </w:rPr>
              <w:t>Significant Other</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Unobservable</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center"/>
              <w:ind w:right="64"/>
              <w:spacing w:after="0" w:line="99" w:lineRule="exact"/>
              <w:rPr>
                <w:sz w:val="20"/>
                <w:szCs w:val="20"/>
                <w:color w:val="auto"/>
              </w:rPr>
            </w:pPr>
            <w:r>
              <w:rPr>
                <w:rFonts w:ascii="Times New Roman" w:cs="Times New Roman" w:eastAsia="Times New Roman" w:hAnsi="Times New Roman"/>
                <w:sz w:val="10"/>
                <w:szCs w:val="10"/>
                <w:b w:val="1"/>
                <w:bCs w:val="1"/>
                <w:color w:val="auto"/>
                <w:w w:val="94"/>
              </w:rPr>
              <w:t>Active Markets</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rPr>
              <w:t>Inputs</w:t>
            </w:r>
          </w:p>
        </w:tc>
        <w:tc>
          <w:tcPr>
            <w:tcW w:w="260" w:type="dxa"/>
            <w:vAlign w:val="bottom"/>
          </w:tcPr>
          <w:p>
            <w:pPr>
              <w:spacing w:after="0"/>
              <w:rPr>
                <w:sz w:val="8"/>
                <w:szCs w:val="8"/>
                <w:color w:val="auto"/>
              </w:rPr>
            </w:pPr>
          </w:p>
        </w:tc>
        <w:tc>
          <w:tcPr>
            <w:tcW w:w="9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60" w:type="dxa"/>
            <w:vAlign w:val="bottom"/>
          </w:tcPr>
          <w:p>
            <w:pPr>
              <w:spacing w:after="0"/>
              <w:rPr>
                <w:sz w:val="10"/>
                <w:szCs w:val="10"/>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38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Money market funds</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3,301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3,301</w:t>
            </w:r>
          </w:p>
        </w:tc>
        <w:tc>
          <w:tcPr>
            <w:tcW w:w="0" w:type="dxa"/>
            <w:vAlign w:val="bottom"/>
          </w:tcPr>
          <w:p>
            <w:pPr>
              <w:spacing w:after="0"/>
              <w:rPr>
                <w:sz w:val="1"/>
                <w:szCs w:val="1"/>
                <w:color w:val="auto"/>
              </w:rPr>
            </w:pPr>
          </w:p>
        </w:tc>
      </w:tr>
      <w:tr>
        <w:trPr>
          <w:trHeight w:val="144"/>
        </w:trPr>
        <w:tc>
          <w:tcPr>
            <w:tcW w:w="4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 term investments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0" w:type="dxa"/>
            <w:vAlign w:val="bottom"/>
          </w:tcPr>
          <w:p>
            <w:pPr>
              <w:spacing w:after="0"/>
              <w:rPr>
                <w:sz w:val="1"/>
                <w:szCs w:val="1"/>
                <w:color w:val="auto"/>
              </w:rPr>
            </w:pPr>
          </w:p>
        </w:tc>
      </w:tr>
      <w:tr>
        <w:trPr>
          <w:trHeight w:val="144"/>
        </w:trPr>
        <w:tc>
          <w:tcPr>
            <w:tcW w:w="4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(22,640)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(22,640)</w:t>
            </w: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0" w:type="dxa"/>
            <w:vAlign w:val="bottom"/>
          </w:tcPr>
          <w:p>
            <w:pPr>
              <w:spacing w:after="0"/>
              <w:rPr>
                <w:sz w:val="1"/>
                <w:szCs w:val="1"/>
                <w:color w:val="auto"/>
              </w:rPr>
            </w:pPr>
          </w:p>
        </w:tc>
      </w:tr>
      <w:tr>
        <w:trPr>
          <w:trHeight w:val="144"/>
        </w:trPr>
        <w:tc>
          <w:tcPr>
            <w:tcW w:w="4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(894)</w:t>
            </w:r>
          </w:p>
        </w:tc>
        <w:tc>
          <w:tcPr>
            <w:tcW w:w="2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0" w:type="dxa"/>
            <w:vAlign w:val="bottom"/>
          </w:tcPr>
          <w:p>
            <w:pPr>
              <w:spacing w:after="0"/>
              <w:rPr>
                <w:sz w:val="1"/>
                <w:szCs w:val="1"/>
                <w:color w:val="auto"/>
              </w:rPr>
            </w:pPr>
          </w:p>
        </w:tc>
      </w:tr>
      <w:tr>
        <w:trPr>
          <w:trHeight w:val="140"/>
        </w:trPr>
        <w:tc>
          <w:tcPr>
            <w:tcW w:w="43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3,601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(21,274)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(18,567)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2022, the fair value of the remaining Level 3 investments increased $0.1 million due to income recognized in the other income line of the Company’s statement of operations.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Certificate of Deposit</w:t>
      </w:r>
    </w:p>
    <w:p>
      <w:pPr>
        <w:spacing w:after="0" w:line="152"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As of March 31, 2022 and December 31, 2021 this asset class consisted of a time deposit at a financial institution denominated in US dollars. The asset class is classified within Level 2 of the fair value hierarchy because the fair value was based on observable market data.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Money Market Funds</w:t>
      </w:r>
    </w:p>
    <w:p>
      <w:pPr>
        <w:spacing w:after="0" w:line="152"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As of March 31, 2022 and December 31, 2021,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Other Investments</w:t>
      </w:r>
    </w:p>
    <w:p>
      <w:pPr>
        <w:spacing w:after="0" w:line="152"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In 2019, the Company made a $14.4 million investment in a renewable energy partnership as a tax equity investor. In 2020, the Company received an investment tax credit of $12.0 million from its investment and will receive future cash distributions from the partnership’s operations. The Company elected the deferral method to account for the credit and elected the fair value option to account for the equity investment. The Company’s investment had a fair value of $2.0 million at March 31, 2022, and $1.9 million at December 31, 2021. The asset is classified within Level 3 of the fair value hierarchy. The Company used the income approach to fair value the investment and the inputs consisted of a discount rate and future cash flows calculated based on the investment attributes.</w:t>
      </w:r>
    </w:p>
    <w:p>
      <w:pPr>
        <w:spacing w:after="0" w:line="125"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Also in 2019, the Company made an investment in an early-stage venture through the acquisition of a convertible debt instrument. The instrument converted into equity during the first quarter of 2021. Upon conversion the Company accounted for the investment under the cost method of accounting as the investment does not have a readily determinable fair value. Prior to conversion, the Company accounted for the investment under the fair value option using Level 3 inputs. The book value of the investment remained unchanged at $16.5 million at March 31, 2022 and December 31, 2021.</w:t>
      </w:r>
    </w:p>
    <w:p>
      <w:pPr>
        <w:spacing w:after="0" w:line="149"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The Company also holds investments in equity securities consisting of noncontrolling investments in privately held companies. These investments, over which the Company does not have the ability to exercise significant influence, are without readily determinable fair values. The investments are measured at cost, less any impairment, adjusted for observable price changes of similar investments of the same issuer. Fair value is not estimated for these investments if there are no identified events or changes in circumstances that may have an effect on the fair value of the investment. The carrying value of the investment was $6.1 million and $1.3 million at March 31, 2022 and December 31, 2021, respectively. This increase of $4.8 million is due to a gain recognized from an observable price change in the security during the three months ended March 31, 2022. These investments are included with other assets on the consolidated balance sheets.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Equity Method Investments</w:t>
      </w:r>
    </w:p>
    <w:p>
      <w:pPr>
        <w:spacing w:after="0" w:line="170"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In the first quarter of 2020, the Company increased its ownership in one investment of a privately held company to approximately 24% of the outstanding voting equity through an additional $2.8 million investment. With this investment the Company obtained the ability to exercise significant influence over the investee and began accounting for the investment under the equity method of accounting including the recording of its share of the investee’s earnings or losses. The carrying value of the investment was $14.8 million at March 31, 2022 and December 31, 2021, respectively. The value remained unchanged from the December 31, 2021 balance due to $0.4 million of the Company’s share of investee losses offset by currency gains of $0.4 million. The investment is included with other assets on the consolidated balance sheets.</w:t>
      </w:r>
    </w:p>
    <w:p>
      <w:pPr>
        <w:spacing w:after="0" w:line="152"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In the first quarter of 2021, the Company began to account for its former India solar operations under the equity method of accounting. Subsequent to the close of the Vibrant Transaction in January 2021, the value of the investment decreased from $13.9 million at December 31, 2021 to $13.4 million at March 31, 2022. The decrease of $0.5 million was due to currency losses of $0.2 million and operating losses of $0.3 million.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Redeemable Common Units and Warrants</w:t>
      </w:r>
    </w:p>
    <w:p>
      <w:pPr>
        <w:spacing w:after="0" w:line="152" w:lineRule="exact"/>
        <w:rPr>
          <w:sz w:val="20"/>
          <w:szCs w:val="20"/>
          <w:color w:val="auto"/>
        </w:rPr>
      </w:pPr>
    </w:p>
    <w:p>
      <w:pPr>
        <w:jc w:val="both"/>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Company issued redeemable common units, and warrants to purchase additional common units, in a subsidiary of the Company in conjunction with its acquisition of Alaska Communications. (Refer to Note 5).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Company calculates the fair value of the instruments using a market approach with Level 3 inputs.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Other Fair Value Disclosures</w:t>
      </w:r>
    </w:p>
    <w:p>
      <w:pPr>
        <w:spacing w:after="0" w:line="152"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carrying amounts of cash and cash equivalents, accounts receivable, and accounts payable and accrued expenses approximate their fair values because of the relatively short-term maturities of these financial instruments. The fair value of the interest rate swap is measured using Level 2 inputs.</w:t>
      </w:r>
    </w:p>
    <w:p>
      <w:pPr>
        <w:spacing w:after="0" w:line="111"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fair value of long-term debt is estimated using Level 2 inputs. At March 31, 2022, the fair value of long-term debt, including the current portion, was $400.8 million and its book value was $394.0 million. At December 31, 2021, the fair value of long-term debt, including the current portion, was $373.7 million and its book value was $366.5 million.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LONG-TERM DEBT</w:t>
      </w:r>
    </w:p>
    <w:p>
      <w:pPr>
        <w:spacing w:after="0" w:line="154"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On April 10, 2019, the Company entered into a credit facility, with CoBank, ACB and a syndicate of other lenders (the “2019 CoBank Credit Facility”). The 2019 CoBank Credit Facility provides for a $200 million revolving credit facility that includes (i) up to $75 million for standby or trade letters of credit and (ii) up to $10 million under a swingline sub-facility. Approximately $18.0 million of performance letters of credit have been issued and remain outstanding and undrawn as of March 31, 2022. The 2019 CoBank Credit Facility matures on April 10, 2024.</w:t>
      </w:r>
    </w:p>
    <w:p>
      <w:pPr>
        <w:spacing w:after="0" w:line="122"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Amounts borrowed under the 2019 CoBank Credit Facility bear interest at a rate equal to, at the Company’s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the Company must also pay a fee ranging from 0.150% to 0.375% of the average daily unused portion of the 2019 CoBank Credit Facility over each calendar quarter.</w:t>
      </w:r>
    </w:p>
    <w:p>
      <w:pPr>
        <w:spacing w:after="0" w:line="125" w:lineRule="exact"/>
        <w:rPr>
          <w:sz w:val="20"/>
          <w:szCs w:val="20"/>
          <w:color w:val="auto"/>
        </w:rPr>
      </w:pPr>
    </w:p>
    <w:p>
      <w:pPr>
        <w:ind w:left="20" w:right="59" w:firstLine="460"/>
        <w:spacing w:after="0" w:line="257" w:lineRule="auto"/>
        <w:rPr>
          <w:sz w:val="20"/>
          <w:szCs w:val="20"/>
          <w:color w:val="auto"/>
        </w:rPr>
      </w:pPr>
      <w:r>
        <w:rPr>
          <w:rFonts w:ascii="Times New Roman" w:cs="Times New Roman" w:eastAsia="Times New Roman" w:hAnsi="Times New Roman"/>
          <w:sz w:val="12"/>
          <w:szCs w:val="12"/>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The Company’s investments in “unrestricted” subsidiaries and certain dividend payments to its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125" w:lineRule="exact"/>
        <w:rPr>
          <w:sz w:val="20"/>
          <w:szCs w:val="20"/>
          <w:color w:val="auto"/>
        </w:rPr>
      </w:pPr>
    </w:p>
    <w:p>
      <w:pPr>
        <w:ind w:left="20" w:right="459" w:firstLine="432"/>
        <w:spacing w:after="0" w:line="265" w:lineRule="auto"/>
        <w:rPr>
          <w:sz w:val="20"/>
          <w:szCs w:val="20"/>
          <w:color w:val="auto"/>
        </w:rPr>
      </w:pPr>
      <w:r>
        <w:rPr>
          <w:rFonts w:ascii="Times New Roman" w:cs="Times New Roman" w:eastAsia="Times New Roman" w:hAnsi="Times New Roman"/>
          <w:sz w:val="12"/>
          <w:szCs w:val="12"/>
          <w:color w:val="auto"/>
        </w:rPr>
        <w:t>The 2019 CoBank Credit Facility also provides for the incurrence by the Company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119" w:lineRule="exact"/>
        <w:rPr>
          <w:sz w:val="20"/>
          <w:szCs w:val="20"/>
          <w:color w:val="auto"/>
        </w:rPr>
      </w:pPr>
    </w:p>
    <w:p>
      <w:pPr>
        <w:ind w:left="20" w:right="499" w:firstLine="432"/>
        <w:spacing w:after="0" w:line="279" w:lineRule="auto"/>
        <w:rPr>
          <w:sz w:val="20"/>
          <w:szCs w:val="20"/>
          <w:color w:val="auto"/>
        </w:rPr>
      </w:pPr>
      <w:r>
        <w:rPr>
          <w:rFonts w:ascii="Times New Roman" w:cs="Times New Roman" w:eastAsia="Times New Roman" w:hAnsi="Times New Roman"/>
          <w:sz w:val="12"/>
          <w:szCs w:val="12"/>
          <w:color w:val="auto"/>
        </w:rPr>
        <w:t>As of March 31, 2022, the Company was in compliance with all of the financial covenants, had $71.5 million outstanding in borrowings and, net of the $18.0 million of outstanding performance letters of credit, had $110.5 million of availability under the 2019 CoBank Credit Facility.</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Credit Facility</w:t>
      </w:r>
    </w:p>
    <w:p>
      <w:pPr>
        <w:spacing w:after="0" w:line="181"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59"/>
        <w:spacing w:after="0" w:line="279" w:lineRule="auto"/>
        <w:rPr>
          <w:sz w:val="20"/>
          <w:szCs w:val="20"/>
          <w:color w:val="auto"/>
        </w:rPr>
      </w:pPr>
      <w:r>
        <w:rPr>
          <w:rFonts w:ascii="Times New Roman" w:cs="Times New Roman" w:eastAsia="Times New Roman" w:hAnsi="Times New Roman"/>
          <w:sz w:val="12"/>
          <w:szCs w:val="12"/>
          <w:color w:val="auto"/>
        </w:rPr>
        <w:t>Loan”). As of March 31, 2022, $210.0 million was outstanding under the Alaska Term Loan and $13.0 million was outstanding under the Alaska Revolving Facility. Both facilities mature on July 22, 2026.</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capitalized $6.6 million of fees associated with the Alaska Credit Facility which are being amortized over the life of the debt and $5.6 million were unamortized at March 31, 2022.</w:t>
      </w:r>
    </w:p>
    <w:p>
      <w:pPr>
        <w:spacing w:after="0" w:line="138" w:lineRule="exact"/>
        <w:rPr>
          <w:sz w:val="20"/>
          <w:szCs w:val="20"/>
          <w:color w:val="auto"/>
        </w:rPr>
      </w:pPr>
    </w:p>
    <w:p>
      <w:pPr>
        <w:ind w:left="20" w:right="639" w:firstLine="432"/>
        <w:spacing w:after="0" w:line="279" w:lineRule="auto"/>
        <w:rPr>
          <w:sz w:val="20"/>
          <w:szCs w:val="20"/>
          <w:color w:val="auto"/>
        </w:rPr>
      </w:pPr>
      <w:r>
        <w:rPr>
          <w:rFonts w:ascii="Times New Roman" w:cs="Times New Roman" w:eastAsia="Times New Roman" w:hAnsi="Times New Roman"/>
          <w:sz w:val="12"/>
          <w:szCs w:val="12"/>
          <w:color w:val="auto"/>
        </w:rPr>
        <w:t>The Alaska Credit Facility also provides for incremental term loans up to an aggregate principal amount of the greater of $70.0 million and Alaska Communications’ trailing twelve month Consolidated EBITDA (as defined in the Alaska Credit Facility).</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key terms and conditions of the Alaska Credit Facility include the following:</w:t>
      </w:r>
    </w:p>
    <w:p>
      <w:pPr>
        <w:spacing w:after="0" w:line="150" w:lineRule="exact"/>
        <w:rPr>
          <w:sz w:val="20"/>
          <w:szCs w:val="20"/>
          <w:color w:val="auto"/>
        </w:rPr>
      </w:pPr>
    </w:p>
    <w:p>
      <w:pPr>
        <w:ind w:left="900" w:right="219" w:hanging="212"/>
        <w:spacing w:after="0" w:line="265" w:lineRule="auto"/>
        <w:tabs>
          <w:tab w:leader="none" w:pos="9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bear an interest rate of LIBOR, or a LIBOR replacement rate as applicable, plus a margin ranging from 3.00% to 4.00% based on Alaska Communications’ Consolidated Total Net Leverage Ratio (as defined in the Credit Agreement) or an alternate base rate may be selected at a margin that is 1% lower than the counterpart LIBOR margin;</w:t>
      </w:r>
    </w:p>
    <w:p>
      <w:pPr>
        <w:spacing w:after="0" w:line="118" w:lineRule="exact"/>
        <w:rPr>
          <w:rFonts w:ascii="Times New Roman" w:cs="Times New Roman" w:eastAsia="Times New Roman" w:hAnsi="Times New Roman"/>
          <w:sz w:val="12"/>
          <w:szCs w:val="12"/>
          <w:color w:val="auto"/>
        </w:rPr>
      </w:pPr>
    </w:p>
    <w:p>
      <w:pPr>
        <w:jc w:val="both"/>
        <w:ind w:left="900" w:right="279" w:hanging="212"/>
        <w:spacing w:after="0" w:line="265" w:lineRule="auto"/>
        <w:tabs>
          <w:tab w:leader="none" w:pos="9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are due quarterly commencing in the fourth quarter of 2023 in quarterly amounts as follows: from the fourth quarter of 2023 through the third quarter of 2024, $1.3 million; and from the fourth quarter of 2024 through the third quarter of 2026, $2.6 million. The remaining unpaid balance is due on the final maturity date;</w:t>
      </w:r>
    </w:p>
    <w:p>
      <w:pPr>
        <w:spacing w:after="0" w:line="118"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is required to maintain financial ratios subsequent to the closing of the Alaska Transaction, as defined in the Alaska Credit Facility, including</w:t>
      </w:r>
    </w:p>
    <w:p>
      <w:pPr>
        <w:spacing w:after="0" w:line="16" w:lineRule="exact"/>
        <w:rPr>
          <w:rFonts w:ascii="Times New Roman" w:cs="Times New Roman" w:eastAsia="Times New Roman" w:hAnsi="Times New Roman"/>
          <w:sz w:val="12"/>
          <w:szCs w:val="12"/>
          <w:color w:val="auto"/>
        </w:rPr>
      </w:pPr>
    </w:p>
    <w:p>
      <w:pPr>
        <w:ind w:left="900" w:right="499"/>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 maximum Consolidated Net Total Leverage Ratio of 4.00 to 1, stepping down to 3.75 to 1 beginning with the second quarter of 2024; and (b) a minimum Consolidated Fixed Charge Coverage Ratio of not less than 1.25 to 1; and</w:t>
      </w:r>
    </w:p>
    <w:p>
      <w:pPr>
        <w:spacing w:after="0" w:line="122" w:lineRule="exact"/>
        <w:rPr>
          <w:rFonts w:ascii="Times New Roman" w:cs="Times New Roman" w:eastAsia="Times New Roman" w:hAnsi="Times New Roman"/>
          <w:sz w:val="12"/>
          <w:szCs w:val="12"/>
          <w:color w:val="auto"/>
        </w:rPr>
      </w:pPr>
    </w:p>
    <w:p>
      <w:pPr>
        <w:ind w:left="900" w:right="319" w:hanging="212"/>
        <w:spacing w:after="0" w:line="279" w:lineRule="auto"/>
        <w:tabs>
          <w:tab w:leader="none" w:pos="9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Alaska Credit Facility is non-recourse to the Company and is secured by substantially all of the personal property and certain material real property owned by Alaska Communications.</w:t>
      </w:r>
    </w:p>
    <w:p>
      <w:pPr>
        <w:spacing w:after="0" w:line="111"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Alaska Communication entered into an amortizing interest rate swap that has been designated as a cash flow hedge that has an interest rate of 1.6735% and expires on June 30, 2022. As of March 31, 2022, the swap had an unamortized notional amount of $119.8 million.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54"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11"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On December 29, 2021, CoBank amended the Receivables Credit Facility and extended the delayed draw period to December 31, 2022.</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on the loans accrues at a fixed annual interest rate to be quoted by CoBank.</w:t>
      </w:r>
    </w:p>
    <w:p>
      <w:pPr>
        <w:spacing w:after="0" w:line="150"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As of March 31, 2022, the Company had $42.5 million outstanding, of which $5.3 million was current, and $29.7 million of availability under the Receivables Credit Facility. The Company capitalized $0.9 million of fees associated with the Receivables Credit Facility which are being amortized over the life of the debt and $0.7 million were unamortized at March 31, 2022.</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54"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 With RTFC’s consent, the Company funded the restoration of Viya’s network, following Hurricanes Irma and Maria in 2017, through an intercompany loan arrangement in the amount of $51.6 million.</w:t>
      </w:r>
    </w:p>
    <w:p>
      <w:pPr>
        <w:spacing w:after="0" w:line="125"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March 31, 2022, $60.0 million of the Viya Debt remained outstanding and $0.4 million of the rate lock fee was unamortized.</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This covenant will be tested on December 31, 2022.</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Debt</w:t>
      </w:r>
    </w:p>
    <w:p>
      <w:pPr>
        <w:spacing w:after="0" w:line="154" w:lineRule="exact"/>
        <w:rPr>
          <w:sz w:val="20"/>
          <w:szCs w:val="20"/>
          <w:color w:val="auto"/>
        </w:rPr>
      </w:pPr>
    </w:p>
    <w:p>
      <w:pPr>
        <w:jc w:val="both"/>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Company has an outstanding loan from HSBC Bank Bermuda Limited (the “One Communications Debt”) which is scheduled to mature on May 22, 2022 and bears interest at the one-month LIBOR plus a margin ranging between 2.5% to 2.75% per annum paid quarterly.</w:t>
      </w:r>
    </w:p>
    <w:p>
      <w:pPr>
        <w:spacing w:after="0" w:line="111" w:lineRule="exact"/>
        <w:rPr>
          <w:sz w:val="20"/>
          <w:szCs w:val="20"/>
          <w:color w:val="auto"/>
        </w:rPr>
      </w:pPr>
    </w:p>
    <w:p>
      <w:pPr>
        <w:jc w:val="both"/>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One Communications Debt contains customary representations, warranties and affirmative and negative covenants (including limitations on additional debt, guaranties, sale of assets and liens) and financial covenants, tested annually as of and for the twelve months ended December 31st, that limit the ratio of tangible net worth to long term debt and total net debt to EBITDA and require a minimum debt service coverage ratio (as defined in the One Communications Debt agreement).</w:t>
      </w:r>
    </w:p>
    <w:p>
      <w:pPr>
        <w:spacing w:after="0" w:line="119"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The Company entered into an amortizing interest rate swap that has been designated as a cash flow hedge, which has an original notional amount of $11.0 million, an interest rate of 1.874%, and expires in May 2022. As of March 31, 2022, the swap had an unamortized notional amount of $3.8 million.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March 31, 2022, $3.8 million of the One Communications Debt was outstanding.</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9. GOVERNMENT SUPPORT AND SPECTRUM PROGRAMS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Connect America Fund Phase II Programs</w:t>
      </w:r>
    </w:p>
    <w:p>
      <w:pPr>
        <w:spacing w:after="0" w:line="15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USF funds are disbursed to telecommunication providers through four programs: the High Cost Program; the Low Income Program (“Lifeline Program”); the Schools and Libraries Program (“E-Rate Program”); and the Rural Health Care Support Program.</w:t>
      </w:r>
    </w:p>
    <w:p>
      <w:pPr>
        <w:spacing w:after="0" w:line="11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Both the USF and CAFII programs are subject to certain operational and reporting compliance requirements. The Company believes it is in compliance with these requirements as of March 31, 2022.</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recorded the amounts below as communication services revenue for the reported periods: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225"/>
              <w:spacing w:after="0" w:line="107" w:lineRule="exact"/>
              <w:rPr>
                <w:sz w:val="20"/>
                <w:szCs w:val="20"/>
                <w:color w:val="auto"/>
              </w:rPr>
            </w:pPr>
            <w:r>
              <w:rPr>
                <w:rFonts w:ascii="Times New Roman" w:cs="Times New Roman" w:eastAsia="Times New Roman" w:hAnsi="Times New Roman"/>
                <w:sz w:val="10"/>
                <w:szCs w:val="10"/>
                <w:b w:val="1"/>
                <w:bCs w:val="1"/>
                <w:color w:val="auto"/>
              </w:rPr>
              <w:t>March 31, 2022</w:t>
            </w: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International Telecom</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288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2,761</w:t>
            </w:r>
          </w:p>
        </w:tc>
        <w:tc>
          <w:tcPr>
            <w:tcW w:w="48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Programs</w:t>
            </w:r>
          </w:p>
        </w:tc>
        <w:tc>
          <w:tcPr>
            <w:tcW w:w="20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020" w:type="dxa"/>
            <w:vAlign w:val="bottom"/>
          </w:tcPr>
          <w:p>
            <w:pPr>
              <w:spacing w:after="0"/>
              <w:rPr>
                <w:sz w:val="12"/>
                <w:szCs w:val="12"/>
                <w:color w:val="auto"/>
              </w:rPr>
            </w:pPr>
          </w:p>
        </w:tc>
        <w:tc>
          <w:tcPr>
            <w:tcW w:w="8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13,432</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2,761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16,193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March 31, 2021</w:t>
            </w: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International Telecom</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288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4,090</w:t>
            </w:r>
          </w:p>
        </w:tc>
        <w:tc>
          <w:tcPr>
            <w:tcW w:w="48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Programs</w:t>
            </w:r>
          </w:p>
        </w:tc>
        <w:tc>
          <w:tcPr>
            <w:tcW w:w="20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020" w:type="dxa"/>
            <w:vAlign w:val="bottom"/>
          </w:tcPr>
          <w:p>
            <w:pPr>
              <w:spacing w:after="0"/>
              <w:rPr>
                <w:sz w:val="12"/>
                <w:szCs w:val="12"/>
                <w:color w:val="auto"/>
              </w:rPr>
            </w:pPr>
          </w:p>
        </w:tc>
        <w:tc>
          <w:tcPr>
            <w:tcW w:w="8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4,342</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4,090</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8,432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will be reduced again to $5.5 million for the annual period through June 2023. Thereafter, Viya will not receive High Cost Program support.</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RDOF (“Rural Digital Opportunities Fund”)</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expects to receive approximately $20.1 million over 10 years to provide broadband and voice coverage to over 10,000 households in the United States (not including Alaska) under the 2020 Rural Digital Opportunity Fund Phase I Auction (“RDOF”). The Company recorded $0.5 million of revenue from the RDOF program in the three months ended March 31, 2022.</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Construction Grants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has also been awarded construction grants to build network connectivity for eligible communities. The funding of these grants, used to reimburse the Company for its construction costs, is distributed upon completion of a project. As of December 31, 2021, the Company had been awarded approximately $27.9 million of such grants. The Company was awarded $0.4 million of additional grants and cancelled $2.1 million of previously awarded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grants in the three months ended March 31, 2022. Of this $28.3 million of awards, the Company has completed its construction obligations on $15.0 million of these projects and $11.2 million of such construction obligations remain with completion deadlines beginning in July 2022. Once these projects are constructed, the Company is obligated to provide service to the participants. The Company expects to meet all requirements associated with these grants.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CARES Act</w:t>
      </w:r>
    </w:p>
    <w:p>
      <w:pPr>
        <w:spacing w:after="0" w:line="154"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As of December 31, 2020, the Company had received $16.3 million of funding under the Coronavirus Aid, Relief, and Economic Security Act (“CARES Act”) to construct network infrastructure within the Company’s US Telecom segment. During the year ended December 31, 2021, the Company received an additional $2.4 million of funding for the same purpose. The construction was completed as of December 31, 2021 and $18.4 million of the funding was recorded as a reduction to property, plant and equipment with a subsequent reduction to depreciation expense. The remaining $0.3 million was recorded as a reduction to operating expense in the year ended December 31, 2021.</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CBRS Auction</w:t>
      </w:r>
    </w:p>
    <w:p>
      <w:pPr>
        <w:spacing w:after="0" w:line="154"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During the third quarter of 2020, the Company participated in the FCC’s Citizens Broadband Radio Service (CBRS) auction for Priority Access Licenses (PALs) in the 3.5 GHz spectrum band. These PALs are licensed on a county-by-county basis and are awarded for a 10-year renewable term. The Company was a winning bidder for PALs located strategically throughout the United States at a total cost of approximately $20.4 million. In connection with the awarded licenses, the Company will have to achieve certain CBRS spectrum build out obligations. The Company currently expects to comply with all applicable requirements related to these licenses.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10. RETIREMENT PLANS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Multi-employer Defined Benefit Plan</w:t>
      </w:r>
    </w:p>
    <w:p>
      <w:pPr>
        <w:spacing w:after="0" w:line="152" w:lineRule="exact"/>
        <w:rPr>
          <w:sz w:val="20"/>
          <w:szCs w:val="20"/>
          <w:color w:val="auto"/>
        </w:rPr>
      </w:pPr>
    </w:p>
    <w:p>
      <w:pPr>
        <w:jc w:val="both"/>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 are not determined for, or allocated separately to, the individual employer. This plan was not in endangered or critical status during the plan year.</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Defined Benefit Plan</w:t>
      </w:r>
    </w:p>
    <w:p>
      <w:pPr>
        <w:spacing w:after="0" w:line="152"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Company has noncontributory defined benefit pension and noncontributory defined medical, dental, vision, and life benefit plans for eligible employees in its International Telecom segment who meet certain eligibility criteria. As part of the Alaska Transaction, the Company acquired a defined benefit pension plan and a post-retirement medical plan covering certain employees. The pension plan had a projected benefit obligation of $15.4 million and plan assets of $12.1 million on July 22, 2021. The post-retirement medical plan is unfunded and had a projected benefit obligation of $0.4 million on July 22, 2021.</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recorded the net periodic benefit cost identified below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March 31, 2022</w:t>
            </w:r>
          </w:p>
        </w:tc>
        <w:tc>
          <w:tcPr>
            <w:tcW w:w="1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0"/>
                <w:szCs w:val="10"/>
                <w:b w:val="1"/>
                <w:bCs w:val="1"/>
                <w:color w:val="auto"/>
              </w:rPr>
              <w:t>March 31, 2021</w:t>
            </w: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8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Pension</w:t>
            </w:r>
          </w:p>
        </w:tc>
        <w:tc>
          <w:tcPr>
            <w:tcW w:w="7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Postretirement</w:t>
            </w: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Pension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Postretirement benefits</w:t>
            </w:r>
          </w:p>
        </w:tc>
        <w:tc>
          <w:tcPr>
            <w:tcW w:w="0" w:type="dxa"/>
            <w:vAlign w:val="bottom"/>
          </w:tcPr>
          <w:p>
            <w:pPr>
              <w:spacing w:after="0"/>
              <w:rPr>
                <w:sz w:val="1"/>
                <w:szCs w:val="1"/>
                <w:color w:val="auto"/>
              </w:rPr>
            </w:pPr>
          </w:p>
        </w:tc>
      </w:tr>
      <w:tr>
        <w:trPr>
          <w:trHeight w:val="115"/>
        </w:trPr>
        <w:tc>
          <w:tcPr>
            <w:tcW w:w="3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5"/>
              </w:rPr>
              <w:t>benefits</w:t>
            </w: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expense</w:t>
            </w: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Service cost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2"/>
                <w:szCs w:val="12"/>
                <w:color w:val="auto"/>
              </w:rPr>
            </w:pPr>
          </w:p>
        </w:tc>
        <w:tc>
          <w:tcPr>
            <w:tcW w:w="760" w:type="dxa"/>
            <w:vAlign w:val="bottom"/>
          </w:tcPr>
          <w:p>
            <w:pPr>
              <w:jc w:val="right"/>
              <w:ind w:right="65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36</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Non-operating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cost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(925)</w:t>
            </w:r>
          </w:p>
        </w:tc>
        <w:tc>
          <w:tcPr>
            <w:tcW w:w="7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(687)</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Actuarial (gain)/ loss</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4"/>
                <w:szCs w:val="14"/>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38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periodic pension expense (benefit)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2"/>
              </w:rPr>
              <w:t>69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was not required to make contributions to its pension plans during the three months ended March 31, 2022 and 2021. However, the Company periodically evaluates whether to make discretionary contributions. The Company funds its postretirement benefit plans as claims are made and did not make contributions to its pension plans during the three months ended March 31, 2022 and 2021.</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Company’s effective tax rate for the three months ended March 31, 2022 and 2021 was 296.7% and 6.5%, respectively.</w:t>
      </w:r>
    </w:p>
    <w:p>
      <w:pPr>
        <w:spacing w:after="0" w:line="150"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The Company recorded an income tax provision of $3.0 million in relation to income before taxes of $1.0 million for the three months ended March 31, 2022. The effective tax rate for the three months ended March 31, 2022 was primarily impacted by the following items: (i) a $0.5 million net increase of unrecognized tax positions recognized discretely, (ii) a $2.1 million net expense recognized discretely to record a valuation allowance on certain deferred tax assets that are not expected to be realizable based on the weight of positive and negative evidence, and (iii) the mix of income generated among the jurisdictions in which the Company operates.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The effective tax rate for the three months ended March 31, 2021 was primarily impacted by the following items: (i) the mix of income generated among the jurisdictions in which the Company operates and (ii) a discrete expense of $0.5 million for interest on unrecognized tax positions.</w:t>
      </w:r>
    </w:p>
    <w:p>
      <w:pPr>
        <w:spacing w:after="0" w:line="111" w:lineRule="exact"/>
        <w:rPr>
          <w:sz w:val="20"/>
          <w:szCs w:val="20"/>
          <w:color w:val="auto"/>
        </w:rPr>
      </w:pPr>
    </w:p>
    <w:p>
      <w:pPr>
        <w:ind w:left="20" w:right="79" w:firstLine="432"/>
        <w:spacing w:after="0" w:line="284" w:lineRule="auto"/>
        <w:rPr>
          <w:sz w:val="20"/>
          <w:szCs w:val="20"/>
          <w:color w:val="auto"/>
        </w:rPr>
      </w:pPr>
      <w:r>
        <w:rPr>
          <w:rFonts w:ascii="Times New Roman" w:cs="Times New Roman" w:eastAsia="Times New Roman" w:hAnsi="Times New Roman"/>
          <w:sz w:val="11"/>
          <w:szCs w:val="11"/>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 of tax law and regulations. Additionally, the recognition and measurement of certain tax benefits include estimates and judgment by management. Accordingly, the Company could record additional provisions or benefits for US federal, state, and foreign tax matters in future periods as new information becomes available.</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12. EARNINGS PER SHARE AND REDEEMABLE NONCONTROLLING INTERESTS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Earnings Per Share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reconciles the numerator and denominator in the computations of basic and diluted earnings per share (in thousands):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20" w:type="dxa"/>
            <w:vAlign w:val="bottom"/>
            <w:tcBorders>
              <w:bottom w:val="single" w:sz="8" w:color="auto"/>
            </w:tcBorders>
          </w:tcPr>
          <w:p>
            <w:pPr>
              <w:spacing w:after="0"/>
              <w:rPr>
                <w:sz w:val="10"/>
                <w:szCs w:val="10"/>
                <w:color w:val="auto"/>
              </w:rPr>
            </w:pPr>
          </w:p>
        </w:tc>
      </w:tr>
      <w:tr>
        <w:trPr>
          <w:trHeight w:val="120"/>
        </w:trPr>
        <w:tc>
          <w:tcPr>
            <w:tcW w:w="60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w w:val="79"/>
              </w:rPr>
              <w:t>2021</w:t>
            </w:r>
          </w:p>
        </w:tc>
      </w:tr>
      <w:tr>
        <w:trPr>
          <w:trHeight w:val="13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7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ATN International, Inc. stockholders</w:t>
            </w:r>
          </w:p>
        </w:tc>
        <w:tc>
          <w:tcPr>
            <w:tcW w:w="72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(948)</w:t>
            </w:r>
          </w:p>
        </w:tc>
        <w:tc>
          <w:tcPr>
            <w:tcW w:w="6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2,706</w:t>
            </w:r>
          </w:p>
        </w:tc>
      </w:tr>
      <w:tr>
        <w:trPr>
          <w:trHeight w:val="14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Preferred dividends</w:t>
            </w:r>
          </w:p>
        </w:tc>
        <w:tc>
          <w:tcPr>
            <w:tcW w:w="7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(1,116)</w:t>
            </w: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loss attributable to ATN International, Inc. common stockholders</w:t>
            </w: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(2,064)</w:t>
            </w:r>
          </w:p>
        </w:tc>
        <w:tc>
          <w:tcPr>
            <w:tcW w:w="3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2,706</w:t>
            </w:r>
          </w:p>
        </w:tc>
      </w:tr>
      <w:tr>
        <w:trPr>
          <w:trHeight w:val="144"/>
        </w:trPr>
        <w:tc>
          <w:tcPr>
            <w:tcW w:w="60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shares outstanding- Basic</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15,708</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15,902</w:t>
            </w: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Effective of dilutive securities:</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 restricted stock units and performance stock units</w:t>
            </w:r>
          </w:p>
        </w:tc>
        <w:tc>
          <w:tcPr>
            <w:tcW w:w="7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0"/>
        </w:trPr>
        <w:tc>
          <w:tcPr>
            <w:tcW w:w="6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Weighted-average shares outstanding- Diluted</w:t>
            </w: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15,708</w:t>
            </w:r>
          </w:p>
        </w:tc>
        <w:tc>
          <w:tcPr>
            <w:tcW w:w="32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15,952</w:t>
            </w:r>
          </w:p>
        </w:tc>
      </w:tr>
    </w:tbl>
    <w:p>
      <w:pPr>
        <w:spacing w:after="0" w:line="133"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For each of the three months ended March 31, 2022 and 2021, the calculations of basic and diluted weighted average shares of common stock outstanding do not include 5,000 shares relating to stock options as the effects of those options were anti-dilutive.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Noncontrolling Interests</w:t>
      </w:r>
    </w:p>
    <w:p>
      <w:pPr>
        <w:spacing w:after="0" w:line="154" w:lineRule="exact"/>
        <w:rPr>
          <w:sz w:val="20"/>
          <w:szCs w:val="20"/>
          <w:color w:val="auto"/>
        </w:rPr>
      </w:pPr>
    </w:p>
    <w:p>
      <w:pPr>
        <w:ind w:left="20" w:right="59" w:firstLine="432"/>
        <w:spacing w:after="0" w:line="254" w:lineRule="auto"/>
        <w:rPr>
          <w:sz w:val="20"/>
          <w:szCs w:val="20"/>
          <w:color w:val="auto"/>
        </w:rPr>
      </w:pPr>
      <w:r>
        <w:rPr>
          <w:rFonts w:ascii="Times New Roman" w:cs="Times New Roman" w:eastAsia="Times New Roman" w:hAnsi="Times New Roman"/>
          <w:sz w:val="12"/>
          <w:szCs w:val="12"/>
          <w:color w:val="auto"/>
        </w:rPr>
        <w:t>In connection with the Alaska Transaction, the Company has accounted for the Freedom 3 Investment as redeemable noncontrolling interests in its consolidated financial statements. The redeemable noncontrolling interests consist of $22.6 million of redeemable common units and $48.3 million of redeemable preferred units. The common units contain a put option allowing the holder to sell the common units to a subsidiary of the Company at the then fair market value. The put option is solely the obligation of Alaska Communications and is nonrecourse to the Company. The put option begins at the earlier of a future initial public offering of the Alaska Communications operations or July 2028. The fair value of the common units remained at $22.6 million at March 31, 2022, unchanged from the value at July 22, 2021. The redeemable preferred equity carries a 9% preferred dividend which compounds quarterly. The preferred units contain a put option allowing the holder to sell the preferred units to a subsidiary of the Company at the unpaid issue price plus unpaid dividends. The put option is solely the obligation of the Alaska Communications and is nonrecourse to the Company. The put option begins at the earlier of a future initial public offering of the Alaska Communications operations or July 2028. The unpaid preferred dividend was $3.1 million at March 31, 2022.</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2022, the Company allocated losses of $1.1 million to the redeemable common units representing their proportionate share of operating losses. Additionally, the fair value of the redeemable common units increased by $1.1 million during the three months ended March 31, 2022.</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provides a roll forward of the activity related to the Company’s redeemable noncontrolling interests for the three months ended March 31, 2022:</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80" w:type="dxa"/>
            <w:vAlign w:val="bottom"/>
          </w:tcPr>
          <w:p>
            <w:pPr>
              <w:spacing w:after="0"/>
              <w:rPr>
                <w:sz w:val="12"/>
                <w:szCs w:val="12"/>
                <w:color w:val="auto"/>
              </w:rPr>
            </w:pPr>
          </w:p>
        </w:tc>
        <w:tc>
          <w:tcPr>
            <w:tcW w:w="88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100" w:type="dxa"/>
            <w:vAlign w:val="bottom"/>
          </w:tcPr>
          <w:p>
            <w:pPr>
              <w:spacing w:after="0"/>
              <w:rPr>
                <w:sz w:val="12"/>
                <w:szCs w:val="12"/>
                <w:color w:val="auto"/>
              </w:rPr>
            </w:pPr>
          </w:p>
        </w:tc>
        <w:tc>
          <w:tcPr>
            <w:tcW w:w="200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8"/>
              </w:rPr>
              <w:t>Total Redeemable</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Preferred Units</w:t>
            </w:r>
          </w:p>
        </w:tc>
        <w:tc>
          <w:tcPr>
            <w:tcW w:w="80" w:type="dxa"/>
            <w:vAlign w:val="bottom"/>
          </w:tcPr>
          <w:p>
            <w:pPr>
              <w:spacing w:after="0"/>
              <w:rPr>
                <w:sz w:val="6"/>
                <w:szCs w:val="6"/>
                <w:color w:val="auto"/>
              </w:rPr>
            </w:pPr>
          </w:p>
        </w:tc>
        <w:tc>
          <w:tcPr>
            <w:tcW w:w="8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9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2021</w:t>
            </w:r>
          </w:p>
        </w:tc>
        <w:tc>
          <w:tcPr>
            <w:tcW w:w="1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50,296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22,640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72,936</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Accrued preferred dividend</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Allocated net loss</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24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March 31, 2022</w:t>
            </w:r>
          </w:p>
        </w:tc>
        <w:tc>
          <w:tcPr>
            <w:tcW w:w="14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51,412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22,640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74,052</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SEGMENT REPORTING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Company has the following three reportable and operating segments: i) International Telecom, ii) US Telecom, and iii) Renewable Energy.</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tables provide information for each operating segment (in thousands):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Renewable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5"/>
        </w:trPr>
        <w:tc>
          <w:tcPr>
            <w:tcW w:w="2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Energy</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26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144"/>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w:t>
            </w:r>
          </w:p>
        </w:tc>
      </w:tr>
      <w:tr>
        <w:trPr>
          <w:trHeight w:val="144"/>
        </w:trPr>
        <w:tc>
          <w:tcPr>
            <w:tcW w:w="2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21,426</w:t>
            </w:r>
          </w:p>
        </w:tc>
      </w:tr>
      <w:tr>
        <w:trPr>
          <w:trHeight w:val="133"/>
        </w:trPr>
        <w:tc>
          <w:tcPr>
            <w:tcW w:w="264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23,586</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25,416</w:t>
            </w:r>
          </w:p>
        </w:tc>
      </w:tr>
      <w:tr>
        <w:trPr>
          <w:trHeight w:val="133"/>
        </w:trPr>
        <w:tc>
          <w:tcPr>
            <w:tcW w:w="26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17,254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44,399</w:t>
            </w:r>
          </w:p>
        </w:tc>
      </w:tr>
      <w:tr>
        <w:trPr>
          <w:trHeight w:val="144"/>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41,093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60,061</w:t>
            </w:r>
          </w:p>
        </w:tc>
      </w:tr>
      <w:tr>
        <w:trPr>
          <w:trHeight w:val="133"/>
        </w:trPr>
        <w:tc>
          <w:tcPr>
            <w:tcW w:w="264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4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58,347</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46,113</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104,460</w:t>
            </w:r>
          </w:p>
        </w:tc>
      </w:tr>
      <w:tr>
        <w:trPr>
          <w:trHeight w:val="133"/>
        </w:trPr>
        <w:tc>
          <w:tcPr>
            <w:tcW w:w="264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3,402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32,989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36,391</w:t>
            </w:r>
          </w:p>
        </w:tc>
      </w:tr>
      <w:tr>
        <w:trPr>
          <w:trHeight w:val="144"/>
        </w:trPr>
        <w:tc>
          <w:tcPr>
            <w:tcW w:w="2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r>
      <w:tr>
        <w:trPr>
          <w:trHeight w:val="133"/>
        </w:trPr>
        <w:tc>
          <w:tcPr>
            <w:tcW w:w="264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85,611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166,543</w:t>
            </w:r>
          </w:p>
        </w:tc>
      </w:tr>
      <w:tr>
        <w:trPr>
          <w:trHeight w:val="133"/>
        </w:trPr>
        <w:tc>
          <w:tcPr>
            <w:tcW w:w="26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1,987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1,987</w:t>
            </w:r>
          </w:p>
        </w:tc>
      </w:tr>
      <w:tr>
        <w:trPr>
          <w:trHeight w:val="133"/>
        </w:trPr>
        <w:tc>
          <w:tcPr>
            <w:tcW w:w="2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2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3,489</w:t>
            </w:r>
          </w:p>
        </w:tc>
      </w:tr>
      <w:tr>
        <w:trPr>
          <w:trHeight w:val="133"/>
        </w:trPr>
        <w:tc>
          <w:tcPr>
            <w:tcW w:w="264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1,176</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3,489</w:t>
            </w:r>
          </w:p>
        </w:tc>
      </w:tr>
      <w:tr>
        <w:trPr>
          <w:trHeight w:val="140"/>
        </w:trPr>
        <w:tc>
          <w:tcPr>
            <w:tcW w:w="26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86,787</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85,232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172,019</w:t>
            </w:r>
          </w:p>
        </w:tc>
      </w:tr>
      <w:tr>
        <w:trPr>
          <w:trHeight w:val="14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33,292</w:t>
            </w:r>
          </w:p>
        </w:tc>
      </w:tr>
      <w:tr>
        <w:trPr>
          <w:trHeight w:val="144"/>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w:t>
            </w:r>
          </w:p>
        </w:tc>
      </w:tr>
      <w:tr>
        <w:trPr>
          <w:trHeight w:val="14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w:t>
            </w:r>
          </w:p>
        </w:tc>
      </w:tr>
      <w:tr>
        <w:trPr>
          <w:trHeight w:val="155"/>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(7,037)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709"/>
        </w:trPr>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7"/>
        </w:trPr>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Renewable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5"/>
        </w:trPr>
        <w:tc>
          <w:tcPr>
            <w:tcW w:w="2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Energy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26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144"/>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w:t>
            </w:r>
          </w:p>
        </w:tc>
      </w:tr>
      <w:tr>
        <w:trPr>
          <w:trHeight w:val="144"/>
        </w:trPr>
        <w:tc>
          <w:tcPr>
            <w:tcW w:w="2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22,908</w:t>
            </w:r>
          </w:p>
        </w:tc>
      </w:tr>
      <w:tr>
        <w:trPr>
          <w:trHeight w:val="133"/>
        </w:trPr>
        <w:tc>
          <w:tcPr>
            <w:tcW w:w="264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21,821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24,681</w:t>
            </w:r>
          </w:p>
        </w:tc>
      </w:tr>
      <w:tr>
        <w:trPr>
          <w:trHeight w:val="133"/>
        </w:trPr>
        <w:tc>
          <w:tcPr>
            <w:tcW w:w="26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16,634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19,330</w:t>
            </w:r>
          </w:p>
        </w:tc>
      </w:tr>
      <w:tr>
        <w:trPr>
          <w:trHeight w:val="144"/>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42,114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45,788</w:t>
            </w:r>
          </w:p>
        </w:tc>
      </w:tr>
      <w:tr>
        <w:trPr>
          <w:trHeight w:val="133"/>
        </w:trPr>
        <w:tc>
          <w:tcPr>
            <w:tcW w:w="264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4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58,748</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6,370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65,118</w:t>
            </w:r>
          </w:p>
        </w:tc>
      </w:tr>
      <w:tr>
        <w:trPr>
          <w:trHeight w:val="133"/>
        </w:trPr>
        <w:tc>
          <w:tcPr>
            <w:tcW w:w="264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1,883</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18,736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20,619</w:t>
            </w:r>
          </w:p>
        </w:tc>
      </w:tr>
      <w:tr>
        <w:trPr>
          <w:trHeight w:val="144"/>
        </w:trPr>
        <w:tc>
          <w:tcPr>
            <w:tcW w:w="2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r>
      <w:tr>
        <w:trPr>
          <w:trHeight w:val="133"/>
        </w:trPr>
        <w:tc>
          <w:tcPr>
            <w:tcW w:w="264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82,670</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27,966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110,636</w:t>
            </w:r>
          </w:p>
        </w:tc>
      </w:tr>
      <w:tr>
        <w:trPr>
          <w:trHeight w:val="133"/>
        </w:trPr>
        <w:tc>
          <w:tcPr>
            <w:tcW w:w="26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12,306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12,306</w:t>
            </w:r>
          </w:p>
        </w:tc>
      </w:tr>
      <w:tr>
        <w:trPr>
          <w:trHeight w:val="133"/>
        </w:trPr>
        <w:tc>
          <w:tcPr>
            <w:tcW w:w="2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2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Renewable Energy</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r>
      <w:tr>
        <w:trPr>
          <w:trHeight w:val="144"/>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r>
      <w:tr>
        <w:trPr>
          <w:trHeight w:val="133"/>
        </w:trPr>
        <w:tc>
          <w:tcPr>
            <w:tcW w:w="264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4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1,568</w:t>
            </w:r>
          </w:p>
        </w:tc>
      </w:tr>
      <w:tr>
        <w:trPr>
          <w:trHeight w:val="153"/>
        </w:trPr>
        <w:tc>
          <w:tcPr>
            <w:tcW w:w="26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4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83,820</w:t>
            </w: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40,272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124,510</w:t>
            </w:r>
          </w:p>
        </w:tc>
      </w:tr>
      <w:tr>
        <w:trPr>
          <w:trHeight w:val="131"/>
        </w:trPr>
        <w:tc>
          <w:tcPr>
            <w:tcW w:w="26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Depreciation</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13,429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5,193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1,301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20,111</w:t>
            </w:r>
          </w:p>
        </w:tc>
      </w:tr>
      <w:tr>
        <w:trPr>
          <w:trHeight w:val="14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r>
      <w:tr>
        <w:trPr>
          <w:trHeight w:val="144"/>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w:t>
            </w:r>
          </w:p>
        </w:tc>
      </w:tr>
      <w:tr>
        <w:trPr>
          <w:trHeight w:val="14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3,349</w:t>
            </w:r>
          </w:p>
        </w:tc>
      </w:tr>
    </w:tbl>
    <w:p>
      <w:pPr>
        <w:spacing w:after="0" w:line="133" w:lineRule="exact"/>
        <w:rPr>
          <w:sz w:val="20"/>
          <w:szCs w:val="20"/>
          <w:color w:val="auto"/>
        </w:rPr>
      </w:pPr>
    </w:p>
    <w:p>
      <w:pPr>
        <w:ind w:left="4440" w:right="4179" w:hanging="4184"/>
        <w:spacing w:after="0" w:line="780" w:lineRule="auto"/>
        <w:tabs>
          <w:tab w:leader="none" w:pos="4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569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Selected balance sheet data for each of the Company’s segments as of March 31, 2022 and December 31, 2021 consists of the following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0"/>
                <w:szCs w:val="10"/>
                <w:b w:val="1"/>
                <w:bCs w:val="1"/>
                <w:color w:val="auto"/>
              </w:rPr>
              <w:t>US</w:t>
            </w:r>
          </w:p>
        </w:tc>
        <w:tc>
          <w:tcPr>
            <w:tcW w:w="220" w:type="dxa"/>
            <w:vAlign w:val="bottom"/>
          </w:tcPr>
          <w:p>
            <w:pPr>
              <w:spacing w:after="0"/>
              <w:rPr>
                <w:sz w:val="10"/>
                <w:szCs w:val="10"/>
                <w:color w:val="auto"/>
              </w:rPr>
            </w:pPr>
          </w:p>
        </w:tc>
        <w:tc>
          <w:tcPr>
            <w:tcW w:w="90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Renewable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March 31, 2022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31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20" w:type="dxa"/>
            <w:vAlign w:val="bottom"/>
          </w:tcPr>
          <w:p>
            <w:pPr>
              <w:spacing w:after="0"/>
              <w:rPr>
                <w:sz w:val="10"/>
                <w:szCs w:val="10"/>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Energy</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33"/>
        </w:trPr>
        <w:tc>
          <w:tcPr>
            <w:tcW w:w="2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Cash, cash equivalents, and short term investments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40,101</w:t>
            </w: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29,285</w:t>
            </w:r>
          </w:p>
        </w:tc>
        <w:tc>
          <w:tcPr>
            <w:tcW w:w="62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5,957</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76,048</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105,551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108,779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3,653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220,841</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448,064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476,491</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9,320</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933,875</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623,497</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868,338</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17,053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81,819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1,590,707</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80,857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87,434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184,726</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debt</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63,342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259,159</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71,500</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394,001</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Cash, cash equivalents, and short term investments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43,128</w:t>
            </w:r>
          </w:p>
        </w:tc>
        <w:tc>
          <w:tcPr>
            <w:tcW w:w="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28,486</w:t>
            </w:r>
          </w:p>
        </w:tc>
        <w:tc>
          <w:tcPr>
            <w:tcW w:w="62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79,901</w:t>
            </w:r>
          </w:p>
        </w:tc>
        <w:tc>
          <w:tcPr>
            <w:tcW w:w="0" w:type="dxa"/>
            <w:vAlign w:val="bottom"/>
          </w:tcPr>
          <w:p>
            <w:pPr>
              <w:spacing w:after="0"/>
              <w:rPr>
                <w:sz w:val="1"/>
                <w:szCs w:val="1"/>
                <w:color w:val="auto"/>
              </w:rPr>
            </w:pPr>
          </w:p>
        </w:tc>
      </w:tr>
      <w:tr>
        <w:trPr>
          <w:trHeight w:val="144"/>
        </w:trPr>
        <w:tc>
          <w:tcPr>
            <w:tcW w:w="2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108,677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111,741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3,585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232,617</w:t>
            </w: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452,856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480,250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943,209</w:t>
            </w:r>
          </w:p>
        </w:tc>
        <w:tc>
          <w:tcPr>
            <w:tcW w:w="0" w:type="dxa"/>
            <w:vAlign w:val="bottom"/>
          </w:tcPr>
          <w:p>
            <w:pPr>
              <w:spacing w:after="0"/>
              <w:rPr>
                <w:sz w:val="1"/>
                <w:szCs w:val="1"/>
                <w:color w:val="auto"/>
              </w:rPr>
            </w:pPr>
          </w:p>
        </w:tc>
      </w:tr>
      <w:tr>
        <w:trPr>
          <w:trHeight w:val="144"/>
        </w:trPr>
        <w:tc>
          <w:tcPr>
            <w:tcW w:w="2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630,515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877,041</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17,481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83,567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1,608,604</w:t>
            </w:r>
          </w:p>
        </w:tc>
        <w:tc>
          <w:tcPr>
            <w:tcW w:w="0" w:type="dxa"/>
            <w:vAlign w:val="bottom"/>
          </w:tcPr>
          <w:p>
            <w:pPr>
              <w:spacing w:after="0"/>
              <w:rPr>
                <w:sz w:val="1"/>
                <w:szCs w:val="1"/>
                <w:color w:val="auto"/>
              </w:rPr>
            </w:pPr>
          </w:p>
        </w:tc>
      </w:tr>
      <w:tr>
        <w:trPr>
          <w:trHeight w:val="144"/>
        </w:trPr>
        <w:tc>
          <w:tcPr>
            <w:tcW w:w="2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91,090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108,950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220,944</w:t>
            </w: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debt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64,243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240,802</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61,499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366,544</w:t>
            </w:r>
          </w:p>
        </w:tc>
        <w:tc>
          <w:tcPr>
            <w:tcW w:w="0" w:type="dxa"/>
            <w:vAlign w:val="bottom"/>
          </w:tcPr>
          <w:p>
            <w:pPr>
              <w:spacing w:after="0"/>
              <w:rPr>
                <w:sz w:val="1"/>
                <w:szCs w:val="1"/>
                <w:color w:val="auto"/>
              </w:rPr>
            </w:pPr>
          </w:p>
        </w:tc>
      </w:tr>
      <w:tr>
        <w:trPr>
          <w:trHeight w:val="266"/>
        </w:trPr>
        <w:tc>
          <w:tcPr>
            <w:tcW w:w="2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1"/>
              </w:rPr>
              <w:t>Capital Expenditures</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8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jc w:val="center"/>
              <w:ind w:left="2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gridSpan w:val="2"/>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restart"/>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282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left="38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2022</w:t>
            </w:r>
          </w:p>
        </w:tc>
        <w:tc>
          <w:tcPr>
            <w:tcW w:w="300" w:type="dxa"/>
            <w:vAlign w:val="bottom"/>
            <w:gridSpan w:val="2"/>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0"/>
              </w:rPr>
              <w:t>15,170</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19,095</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21"/>
              <w:spacing w:after="0" w:line="133" w:lineRule="exact"/>
              <w:rPr>
                <w:sz w:val="20"/>
                <w:szCs w:val="20"/>
                <w:color w:val="auto"/>
              </w:rPr>
            </w:pPr>
            <w:r>
              <w:rPr>
                <w:rFonts w:ascii="Times New Roman" w:cs="Times New Roman" w:eastAsia="Times New Roman" w:hAnsi="Times New Roman"/>
                <w:sz w:val="12"/>
                <w:szCs w:val="12"/>
                <w:color w:val="auto"/>
              </w:rPr>
              <w:t>203</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34,468</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0"/>
              </w:rPr>
              <w:t>10,506</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14,939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21"/>
              <w:spacing w:after="0"/>
              <w:rPr>
                <w:sz w:val="20"/>
                <w:szCs w:val="20"/>
                <w:color w:val="auto"/>
              </w:rPr>
            </w:pPr>
            <w:r>
              <w:rPr>
                <w:rFonts w:ascii="Times New Roman" w:cs="Times New Roman" w:eastAsia="Times New Roman" w:hAnsi="Times New Roman"/>
                <w:sz w:val="12"/>
                <w:szCs w:val="12"/>
                <w:color w:val="auto"/>
              </w:rPr>
              <w:t>235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25,680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80" w:hanging="224"/>
        <w:spacing w:after="0"/>
        <w:tabs>
          <w:tab w:leader="none" w:pos="48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items refer to corporate overhead costs and consolidating adjustments</w:t>
      </w:r>
    </w:p>
    <w:p>
      <w:pPr>
        <w:spacing w:after="0" w:line="317"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Regulatory and Litigation Matters</w:t>
      </w:r>
    </w:p>
    <w:p>
      <w:pPr>
        <w:spacing w:after="0" w:line="181" w:lineRule="exact"/>
        <w:rPr>
          <w:sz w:val="20"/>
          <w:szCs w:val="20"/>
          <w:color w:val="auto"/>
        </w:rPr>
      </w:pPr>
    </w:p>
    <w:p>
      <w:pPr>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The Company and its subsidiaries are subject to certain regulatory and legal proceedings and other claims arising in the ordinary course of business, some of which involve claims for damages and taxes that are substantial in amount. The Company believes that, except for the items discussed below, for which the Company is currently unable to predict the final outcome, the disposition of proceedings currently pending will not have a material adverse effect on the Company’s financial position or results of operations.</w:t>
      </w:r>
    </w:p>
    <w:p>
      <w:pPr>
        <w:spacing w:after="0" w:line="146"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In 1990, the Company’s Guyana subsidiary, GTT, was awarded a license to provide domestic and international voice and data services in Guyana on an exclusive basis until December 2030. Since 2001, the Government of Guyana has stated its intention to introduce additional competition into Guyana’s telecommunications sector. In connection therewith, the Company and GTT met on several occasions with officials of the Government of Guyana to discuss potential modifications of GTT’s exclusivity and other rights under the existing agreement and license. On October 5, 2020, the Prime Minister of Guyana formally implemented telecommunications legislation previously passed by the Guyana Parliament in 2016 that introduces material changes to many features of Guyana’s existing telecommunications regulatory regime with the intention of creating a more competitive market. At that time, the Company was issued a new license to provide domestic and international voice as well as data services and mobile services in Guyana. Two of the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279"/>
        <w:spacing w:after="0" w:line="265" w:lineRule="auto"/>
        <w:rPr>
          <w:sz w:val="20"/>
          <w:szCs w:val="20"/>
          <w:color w:val="auto"/>
        </w:rPr>
      </w:pPr>
      <w:r>
        <w:rPr>
          <w:rFonts w:ascii="Times New Roman" w:cs="Times New Roman" w:eastAsia="Times New Roman" w:hAnsi="Times New Roman"/>
          <w:sz w:val="12"/>
          <w:szCs w:val="12"/>
          <w:color w:val="auto"/>
        </w:rPr>
        <w:t>Company’s competitors were issued service licenses as well. While the Company has requested details of its competitors’ licenses, such information has not been made public by the Guyana Telecommunications Agency, and the Company is not yet able to ascertain whether the licenses issued to its competitors permit any competitors to provide services that have been subject to GTT’s exclusive rights contained in its 1990 license.</w:t>
      </w:r>
    </w:p>
    <w:p>
      <w:pPr>
        <w:spacing w:after="0" w:line="146"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On October 23, 2020, the Government of Guyana also brought into effect new telecommunications regulations called for by the telecommunications legislation. The regulations include new requirements for the market as a whole, which impose costly additional regulatory fees and impact the Company’s operations, administrative reporting and services. There can be no assurance that these regulations will be effectively implemented, or that they will be administered in a fair and transparent manner.</w:t>
      </w:r>
    </w:p>
    <w:p>
      <w:pPr>
        <w:spacing w:after="0" w:line="146" w:lineRule="exact"/>
        <w:rPr>
          <w:sz w:val="20"/>
          <w:szCs w:val="20"/>
          <w:color w:val="auto"/>
        </w:rPr>
      </w:pPr>
    </w:p>
    <w:p>
      <w:pPr>
        <w:ind w:left="20" w:right="299" w:firstLine="432"/>
        <w:spacing w:after="0" w:line="327" w:lineRule="auto"/>
        <w:rPr>
          <w:sz w:val="20"/>
          <w:szCs w:val="20"/>
          <w:color w:val="auto"/>
        </w:rPr>
      </w:pPr>
      <w:r>
        <w:rPr>
          <w:rFonts w:ascii="Times New Roman" w:cs="Times New Roman" w:eastAsia="Times New Roman" w:hAnsi="Times New Roman"/>
          <w:sz w:val="11"/>
          <w:szCs w:val="11"/>
          <w:color w:val="auto"/>
        </w:rPr>
        <w:t>Historically, GTT has been subject to other long-standing litigation proceedings and disputes in Guyana that have not yet been resolved. The Company believes that none of these additional proceedings would, in the event of an adverse outcome, have a material impact on the Company’s consolidated financial position, results of operations or liquidity.</w:t>
      </w:r>
    </w:p>
    <w:p>
      <w:pPr>
        <w:spacing w:after="0" w:line="105" w:lineRule="exact"/>
        <w:rPr>
          <w:sz w:val="20"/>
          <w:szCs w:val="20"/>
          <w:color w:val="auto"/>
        </w:rPr>
      </w:pPr>
    </w:p>
    <w:p>
      <w:pPr>
        <w:ind w:left="20" w:right="59" w:firstLine="432"/>
        <w:spacing w:after="0" w:line="253" w:lineRule="auto"/>
        <w:rPr>
          <w:sz w:val="20"/>
          <w:szCs w:val="20"/>
          <w:color w:val="auto"/>
        </w:rPr>
      </w:pPr>
      <w:r>
        <w:rPr>
          <w:rFonts w:ascii="Times New Roman" w:cs="Times New Roman" w:eastAsia="Times New Roman" w:hAnsi="Times New Roman"/>
          <w:sz w:val="12"/>
          <w:szCs w:val="12"/>
          <w:color w:val="auto"/>
        </w:rPr>
        <w:t>In a letter dated September 8, 2006, the National Frequency Management Unit (“NFMU”) agreed that total spectrum fees in Guyana should not increase for the years 2006 and 2007. However, that letter implied that spectrum fees in 2008 and onward may be increased beyond the amount GTT agreed to with the Government of Guyana. GTT has objected to the NFMU’s proposed action and reiterated its position that an increase in fees prior to development of an acceptable methodology would violate the Government’s prior agreement. In 2011, GTT paid the NFMU $2.6 million representing payments in full for 2008, 2009 and 2010. However, by letter dated November 23, 2011, the NFMU stated that it did not concur with GTT’s inference that the amount was payment in full for the specified years as it was NFMU’s continued opinion that the final calculation for spectrum fees was not agreed upon and was still an outstanding issue. By further letter dated November 24, 2011, the NFMU further rejected a proposal that was previously submitted jointly by GTT and another communications provider that outlined a recommended methodology for the calculation of these fees. The NFMU stated that it would prepare its own recommendation for consideration by the Minister of Telecommunications, who would decide the matter. GTT has paid undisputed spectrum fees according to the methodology used for its 2011 payments and has reserved amounts payable according to this methodology. There have been limited further discussions on this subject and GTT has not been given the opportunity to review recommendations made by the NFMU to the Minister on spectrum fee methodology, if any.</w:t>
      </w:r>
    </w:p>
    <w:p>
      <w:pPr>
        <w:spacing w:after="0" w:line="156"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On May 8, 2009, a GTT competitor, Digicel, filed a lawsuit in Guyana challenging the legality of GTT’s exclusive license rights under Guyana’s constitution and GTT intervened in the suit in order to oppose Digicel’s claims. The case remains pending. The Company believes that any legal challenge to GTT’s exclusive license rights granted in 1990 is without merit and the Company continues to defend vigorously against such legal challenge.</w:t>
      </w:r>
    </w:p>
    <w:p>
      <w:pPr>
        <w:spacing w:after="0" w:line="14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Prior to the declaration of COVID-19 related travel and business restrictions in Guyana, the consolidated cases were scheduled to proceed to trial in 2020. GTT expects to resume the litigation following the lifting of COVID-19 related restrictions and intends to prosecute these matters vigorously; however, the Company cannot accurately predict at this time when the consolidated suit will go to trial.</w:t>
      </w:r>
    </w:p>
    <w:p>
      <w:pPr>
        <w:spacing w:after="0" w:line="125"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GTT is also involved in several legal claims regarding its tax filings with the Guyana Revenue Authority dating back to 1991 regarding the deductibility of intercompany advisory fees as well as other tax assessments. The Company maintains that any liability GTT might be found to have with respect to the disputed tax assessments, totaling $44.1 million, would be offset in part by the amounts necessary to ensure that GTT’s return on investment was no less than 15% per annum for the relevant periods.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On May 20, 2021, the Company was served with a notice of application for enforcement of a foreign judgment with respect to a matter brought by the Trinidad &amp; Tobago Electric Commission (“TTEC”) in the High Court of Justice in the Republic of Trinidad and Tobago in August 2013 against the Company and other defendants, alleging breach of contract due to the Company’s failure to pay TTEC in connection with amounts alleged to be owed as reimbursement for cable repair costs. In May 2015, the Company failed to appear in the matter and a default judgment was entered against the Company in the amount of approximately $2.8 million. In May 2021, TTEC took steps to enforce the judgment by commencing proceedings against GTT in Guyana, however, in May of 2022, the High Court of Guyana denied TTEC’s petition. GTT intends to continue to defend its position against the legitimacy of the claim.</w:t>
      </w:r>
    </w:p>
    <w:p>
      <w:pPr>
        <w:spacing w:after="0" w:line="152"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w:t>
      </w:r>
    </w:p>
    <w:p>
      <w:pPr>
        <w:spacing w:after="0" w:line="12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will continue to work constructively with the FCC’s Enforcement Bureau to provide it the information it is seeking. At this time, the Company cannot predict the outcome of the FCC Enforcement Bureau’s inquiry or the impact it may have on its business, financial condition, results of operations or liquidity.</w:t>
      </w:r>
    </w:p>
    <w:p>
      <w:pPr>
        <w:spacing w:after="0" w:line="12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With respect to all of the foregoing matters, the Company believes that some adverse outcome is probable and has accordingly accrued $13.3 million as of March 31, 2022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left="40" w:right="179" w:firstLine="317"/>
        <w:spacing w:after="0" w:line="265" w:lineRule="auto"/>
        <w:rPr>
          <w:sz w:val="20"/>
          <w:szCs w:val="20"/>
          <w:color w:val="auto"/>
        </w:rPr>
      </w:pPr>
      <w:r>
        <w:rPr>
          <w:rFonts w:ascii="Times New Roman" w:cs="Times New Roman" w:eastAsia="Times New Roman" w:hAnsi="Times New Roman"/>
          <w:sz w:val="12"/>
          <w:szCs w:val="12"/>
          <w:color w:val="auto"/>
        </w:rPr>
        <w:t>We provide critical infrastructure-based communications and related information technology solutions to remote and historically underserved markets in the United States, Bermuda, and the Caribbean. We seek to invest in our existing and new markets for long term growth led by our Glass and Steel and “fiber first” strategies that enables us to bring new or enhanced communications services to markets often overlooked by larger telecommunications providers.</w:t>
      </w:r>
    </w:p>
    <w:p>
      <w:pPr>
        <w:spacing w:after="0" w:line="119" w:lineRule="exact"/>
        <w:rPr>
          <w:sz w:val="20"/>
          <w:szCs w:val="20"/>
          <w:color w:val="auto"/>
        </w:rPr>
      </w:pPr>
    </w:p>
    <w:p>
      <w:pPr>
        <w:jc w:val="both"/>
        <w:ind w:left="40" w:right="179" w:firstLine="317"/>
        <w:spacing w:after="0" w:line="254" w:lineRule="auto"/>
        <w:rPr>
          <w:sz w:val="20"/>
          <w:szCs w:val="20"/>
          <w:color w:val="auto"/>
        </w:rPr>
      </w:pPr>
      <w:r>
        <w:rPr>
          <w:rFonts w:ascii="Times New Roman" w:cs="Times New Roman" w:eastAsia="Times New Roman" w:hAnsi="Times New Roman"/>
          <w:sz w:val="12"/>
          <w:szCs w:val="12"/>
          <w:color w:val="auto"/>
        </w:rPr>
        <w:t>At the holding company level, we oversee the allocation of capital within and among our subsidiaries, affiliates, new investments, and stockholders. We also have developed significant operational expertise and resources that we use to augment the capabilities of our individual operating subsidiaries in our local markets. Over the past 10 years, we have built a platform of resources and expertise to support our operating subsidiaries and to improve their quality of service with greater economies of scale and expertise than would typically be available at the operating subsidiary level. We also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“fiber first”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126" w:lineRule="exact"/>
        <w:rPr>
          <w:sz w:val="20"/>
          <w:szCs w:val="20"/>
          <w:color w:val="auto"/>
        </w:rPr>
      </w:pPr>
    </w:p>
    <w:p>
      <w:pPr>
        <w:ind w:left="40" w:right="339" w:firstLine="317"/>
        <w:spacing w:after="0" w:line="279" w:lineRule="auto"/>
        <w:rPr>
          <w:sz w:val="20"/>
          <w:szCs w:val="20"/>
          <w:color w:val="auto"/>
        </w:rPr>
      </w:pPr>
      <w:r>
        <w:rPr>
          <w:rFonts w:ascii="Times New Roman" w:cs="Times New Roman" w:eastAsia="Times New Roman" w:hAnsi="Times New Roman"/>
          <w:sz w:val="12"/>
          <w:szCs w:val="12"/>
          <w:color w:val="auto"/>
        </w:rPr>
        <w:t>For further information about our financial segments and geographical information about our operating revenues and assets, see Notes 1 and 13 to the Consolidated Financial Statements included in this Report.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March 31, 2022, we offer the following types of services to our customers:</w:t>
      </w:r>
    </w:p>
    <w:p>
      <w:pPr>
        <w:spacing w:after="0" w:line="146" w:lineRule="exact"/>
        <w:rPr>
          <w:sz w:val="20"/>
          <w:szCs w:val="20"/>
          <w:color w:val="auto"/>
        </w:rPr>
      </w:pPr>
    </w:p>
    <w:p>
      <w:pPr>
        <w:ind w:left="800" w:right="99" w:hanging="211"/>
        <w:spacing w:after="0" w:line="286" w:lineRule="auto"/>
        <w:tabs>
          <w:tab w:leader="none" w:pos="8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Mobility Telecommunications Services</w:t>
      </w:r>
      <w:r>
        <w:rPr>
          <w:rFonts w:ascii="Times New Roman" w:cs="Times New Roman" w:eastAsia="Times New Roman" w:hAnsi="Times New Roman"/>
          <w:sz w:val="12"/>
          <w:szCs w:val="12"/>
          <w:color w:val="auto"/>
        </w:rPr>
        <w:t>. We offer mobile communications services and equipment (“Mobility”) over our wireless networks to both our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subscribers. In certain markets, mobility services also includes private network services to business customers and municipalities.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We provide fixed data and voice telecommunications services (“Fixed”) to both our business and consumer subscribers in all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markets. These services include consumer broadband and high 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We deliver services (“Carrier Services”) such as wholesale roaming, the leasing of critical network infrastructure such as tower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transport facilities, site maintenance and international long-distance services to other telecommunications providers.</w:t>
      </w:r>
    </w:p>
    <w:p>
      <w:pPr>
        <w:spacing w:after="0" w:line="103" w:lineRule="exact"/>
        <w:rPr>
          <w:rFonts w:ascii="Times New Roman" w:cs="Times New Roman" w:eastAsia="Times New Roman" w:hAnsi="Times New Roman"/>
          <w:sz w:val="12"/>
          <w:szCs w:val="12"/>
          <w:color w:val="auto"/>
        </w:rPr>
      </w:pPr>
    </w:p>
    <w:p>
      <w:pPr>
        <w:ind w:left="800" w:right="359" w:hanging="211"/>
        <w:spacing w:after="0" w:line="286" w:lineRule="auto"/>
        <w:tabs>
          <w:tab w:leader="none" w:pos="8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We provide information technology services (“Managed Services”) such as network, application, infrastructure and hosting services to both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 and consumer customers to complement our Fixed Services in our existing markets.</w:t>
      </w:r>
    </w:p>
    <w:p>
      <w:pPr>
        <w:spacing w:after="0" w:line="107"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Through March 31, 2022, we have identified three operating segments to manage and review our operations and to facilitate investor presentations of our results. These three operating segments are as follows:</w:t>
      </w:r>
    </w:p>
    <w:p>
      <w:pPr>
        <w:spacing w:after="0" w:line="107" w:lineRule="exact"/>
        <w:rPr>
          <w:sz w:val="20"/>
          <w:szCs w:val="20"/>
          <w:color w:val="auto"/>
        </w:rPr>
      </w:pPr>
    </w:p>
    <w:p>
      <w:pPr>
        <w:ind w:left="820" w:right="179" w:hanging="222"/>
        <w:spacing w:after="0" w:line="286" w:lineRule="auto"/>
        <w:tabs>
          <w:tab w:leader="none" w:pos="8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In our international markets, we offer Fixed Services, Mobility Services, Carrier Services and Managed Services to customers in Bermuda,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Cayman Islands, Guyana and the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2"/>
          <w:szCs w:val="12"/>
          <w:color w:val="auto"/>
        </w:rPr>
        <w:t>US Virgin Islands.</w:t>
      </w:r>
    </w:p>
    <w:p>
      <w:pPr>
        <w:spacing w:after="0" w:line="146" w:lineRule="exact"/>
        <w:rPr>
          <w:sz w:val="20"/>
          <w:szCs w:val="20"/>
          <w:color w:val="auto"/>
        </w:rPr>
      </w:pPr>
    </w:p>
    <w:p>
      <w:pPr>
        <w:ind w:left="820" w:right="379" w:hanging="222"/>
        <w:spacing w:after="0" w:line="286" w:lineRule="auto"/>
        <w:tabs>
          <w:tab w:leader="none" w:pos="8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US Telecom. </w:t>
      </w:r>
      <w:r>
        <w:rPr>
          <w:rFonts w:ascii="Times New Roman" w:cs="Times New Roman" w:eastAsia="Times New Roman" w:hAnsi="Times New Roman"/>
          <w:sz w:val="12"/>
          <w:szCs w:val="12"/>
          <w:color w:val="auto"/>
        </w:rPr>
        <w:t>In the United States, we offer Fixed Services, Carrier Services, and Managed Services to business and consumer customers in Alaska and the western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United States. In the western United States, we also provide Mobility Services and private network services to enterprise and consumer customers.</w:t>
      </w:r>
    </w:p>
    <w:p>
      <w:pPr>
        <w:spacing w:after="0" w:line="103" w:lineRule="exact"/>
        <w:rPr>
          <w:rFonts w:ascii="Times New Roman" w:cs="Times New Roman" w:eastAsia="Times New Roman" w:hAnsi="Times New Roman"/>
          <w:sz w:val="12"/>
          <w:szCs w:val="12"/>
          <w:color w:val="auto"/>
        </w:rPr>
      </w:pPr>
    </w:p>
    <w:p>
      <w:pPr>
        <w:ind w:left="820" w:right="339" w:hanging="222"/>
        <w:spacing w:after="0" w:line="286" w:lineRule="auto"/>
        <w:tabs>
          <w:tab w:leader="none" w:pos="8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Renewable Energy. </w:t>
      </w:r>
      <w:r>
        <w:rPr>
          <w:rFonts w:ascii="Times New Roman" w:cs="Times New Roman" w:eastAsia="Times New Roman" w:hAnsi="Times New Roman"/>
          <w:sz w:val="12"/>
          <w:szCs w:val="12"/>
          <w:color w:val="auto"/>
        </w:rPr>
        <w:t>In India, we provided distributed generation solar power to commercial and industrial customers through January 27, 2021. See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Disposition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 xml:space="preserve">International Solar Business </w:t>
      </w:r>
      <w:r>
        <w:rPr>
          <w:rFonts w:ascii="Times New Roman" w:cs="Times New Roman" w:eastAsia="Times New Roman" w:hAnsi="Times New Roman"/>
          <w:sz w:val="12"/>
          <w:szCs w:val="12"/>
          <w:color w:val="auto"/>
        </w:rPr>
        <w:t>for further details.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chart summarizes the operating activities of our principal subsidiaries, the segments in which we report our revenue and the markets we served as of March 31,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2022:</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0"/>
                <w:szCs w:val="10"/>
                <w:b w:val="1"/>
                <w:bCs w:val="1"/>
                <w:color w:val="auto"/>
              </w:rPr>
              <w:t>Segment</w:t>
            </w: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Services</w:t>
            </w:r>
          </w:p>
        </w:tc>
        <w:tc>
          <w:tcPr>
            <w:tcW w:w="80" w:type="dxa"/>
            <w:vAlign w:val="bottom"/>
            <w:tcBorders>
              <w:bottom w:val="single" w:sz="8" w:color="CCEEFF"/>
            </w:tcBorders>
          </w:tcPr>
          <w:p>
            <w:pPr>
              <w:spacing w:after="0"/>
              <w:rPr>
                <w:sz w:val="10"/>
                <w:szCs w:val="10"/>
                <w:color w:val="auto"/>
              </w:rPr>
            </w:pPr>
          </w:p>
        </w:tc>
        <w:tc>
          <w:tcPr>
            <w:tcW w:w="28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Markets</w:t>
            </w:r>
          </w:p>
        </w:tc>
        <w:tc>
          <w:tcPr>
            <w:tcW w:w="80" w:type="dxa"/>
            <w:vAlign w:val="bottom"/>
            <w:tcBorders>
              <w:bottom w:val="single" w:sz="8" w:color="CCEEFF"/>
            </w:tcBorders>
          </w:tcPr>
          <w:p>
            <w:pPr>
              <w:spacing w:after="0"/>
              <w:rPr>
                <w:sz w:val="10"/>
                <w:szCs w:val="10"/>
                <w:color w:val="auto"/>
              </w:rPr>
            </w:pPr>
          </w:p>
        </w:tc>
        <w:tc>
          <w:tcPr>
            <w:tcW w:w="36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0"/>
                <w:szCs w:val="10"/>
                <w:b w:val="1"/>
                <w:bCs w:val="1"/>
                <w:color w:val="auto"/>
              </w:rPr>
              <w:t>Tradenames</w:t>
            </w:r>
          </w:p>
        </w:tc>
      </w:tr>
      <w:tr>
        <w:trPr>
          <w:trHeight w:val="133"/>
        </w:trPr>
        <w:tc>
          <w:tcPr>
            <w:tcW w:w="1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International Telecom</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Mobility Services</w:t>
            </w:r>
          </w:p>
        </w:tc>
        <w:tc>
          <w:tcPr>
            <w:tcW w:w="8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 Islands</w:t>
            </w:r>
          </w:p>
        </w:tc>
        <w:tc>
          <w:tcPr>
            <w:tcW w:w="80" w:type="dxa"/>
            <w:vAlign w:val="bottom"/>
            <w:shd w:val="clear" w:color="auto" w:fill="CCEEFF"/>
          </w:tcPr>
          <w:p>
            <w:pPr>
              <w:spacing w:after="0"/>
              <w:rPr>
                <w:sz w:val="11"/>
                <w:szCs w:val="11"/>
                <w:color w:val="auto"/>
              </w:rPr>
            </w:pPr>
          </w:p>
        </w:tc>
        <w:tc>
          <w:tcPr>
            <w:tcW w:w="3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GTT+, Viya</w:t>
            </w:r>
          </w:p>
        </w:tc>
      </w:tr>
      <w:tr>
        <w:trPr>
          <w:trHeight w:val="144"/>
        </w:trPr>
        <w:tc>
          <w:tcPr>
            <w:tcW w:w="12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Fixed Services</w:t>
            </w:r>
          </w:p>
        </w:tc>
        <w:tc>
          <w:tcPr>
            <w:tcW w:w="29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Bermuda, Cayman Islands, Guyana, US Virgin Islands</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One, Logic, GTT, Viya</w:t>
            </w:r>
          </w:p>
        </w:tc>
      </w:tr>
      <w:tr>
        <w:trPr>
          <w:trHeight w:val="144"/>
        </w:trPr>
        <w:tc>
          <w:tcPr>
            <w:tcW w:w="1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Carrier Services</w:t>
            </w:r>
          </w:p>
        </w:tc>
        <w:tc>
          <w:tcPr>
            <w:tcW w:w="2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Bermuda, Guyana, US Virgin Islands</w:t>
            </w:r>
          </w:p>
        </w:tc>
        <w:tc>
          <w:tcPr>
            <w:tcW w:w="3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One, GTT+, Viya</w:t>
            </w:r>
          </w:p>
        </w:tc>
      </w:tr>
      <w:tr>
        <w:trPr>
          <w:trHeight w:val="144"/>
        </w:trPr>
        <w:tc>
          <w:tcPr>
            <w:tcW w:w="12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Managed Services</w:t>
            </w:r>
          </w:p>
        </w:tc>
        <w:tc>
          <w:tcPr>
            <w:tcW w:w="29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Bermuda, Cayman Islands, US Virgin Islands, Guyana</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Fireminds, One, Logic, GTT, Viya</w:t>
            </w:r>
          </w:p>
        </w:tc>
      </w:tr>
      <w:tr>
        <w:trPr>
          <w:trHeight w:val="133"/>
        </w:trPr>
        <w:tc>
          <w:tcPr>
            <w:tcW w:w="1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US Telecom</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Mobility Services</w:t>
            </w:r>
          </w:p>
        </w:tc>
        <w:tc>
          <w:tcPr>
            <w:tcW w:w="8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 (rural markets)</w:t>
            </w:r>
          </w:p>
        </w:tc>
        <w:tc>
          <w:tcPr>
            <w:tcW w:w="80" w:type="dxa"/>
            <w:vAlign w:val="bottom"/>
            <w:tcBorders>
              <w:top w:val="single" w:sz="8" w:color="CCEEFF"/>
            </w:tcBorders>
            <w:shd w:val="clear" w:color="auto" w:fill="CCEEFF"/>
          </w:tcPr>
          <w:p>
            <w:pPr>
              <w:spacing w:after="0"/>
              <w:rPr>
                <w:sz w:val="11"/>
                <w:szCs w:val="11"/>
                <w:color w:val="auto"/>
              </w:rPr>
            </w:pPr>
          </w:p>
        </w:tc>
        <w:tc>
          <w:tcPr>
            <w:tcW w:w="36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Choice, Choice NTUA Wireless, Geoverse</w:t>
            </w:r>
          </w:p>
        </w:tc>
      </w:tr>
      <w:tr>
        <w:trPr>
          <w:trHeight w:val="144"/>
        </w:trPr>
        <w:tc>
          <w:tcPr>
            <w:tcW w:w="12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Fixed Services</w:t>
            </w:r>
          </w:p>
        </w:tc>
        <w:tc>
          <w:tcPr>
            <w:tcW w:w="29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United States</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Alaska Communications, Commnet, Choice, Choice NTUA Wireless</w:t>
            </w:r>
          </w:p>
        </w:tc>
      </w:tr>
      <w:tr>
        <w:trPr>
          <w:trHeight w:val="144"/>
        </w:trPr>
        <w:tc>
          <w:tcPr>
            <w:tcW w:w="1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Carrier Services</w:t>
            </w:r>
          </w:p>
        </w:tc>
        <w:tc>
          <w:tcPr>
            <w:tcW w:w="2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United States</w:t>
            </w:r>
          </w:p>
        </w:tc>
        <w:tc>
          <w:tcPr>
            <w:tcW w:w="3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Alaska Communications, Commnet, Essextel</w:t>
            </w:r>
          </w:p>
        </w:tc>
      </w:tr>
      <w:tr>
        <w:trPr>
          <w:trHeight w:val="144"/>
        </w:trPr>
        <w:tc>
          <w:tcPr>
            <w:tcW w:w="12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Managed Services</w:t>
            </w:r>
          </w:p>
        </w:tc>
        <w:tc>
          <w:tcPr>
            <w:tcW w:w="29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United States</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Alaska Communications, Choice</w:t>
            </w:r>
          </w:p>
        </w:tc>
      </w:tr>
      <w:tr>
        <w:trPr>
          <w:trHeight w:val="133"/>
        </w:trPr>
        <w:tc>
          <w:tcPr>
            <w:tcW w:w="12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Renewable Energy (1)</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Solar</w:t>
            </w:r>
          </w:p>
        </w:tc>
        <w:tc>
          <w:tcPr>
            <w:tcW w:w="8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India</w:t>
            </w:r>
          </w:p>
        </w:tc>
        <w:tc>
          <w:tcPr>
            <w:tcW w:w="80" w:type="dxa"/>
            <w:vAlign w:val="bottom"/>
            <w:tcBorders>
              <w:top w:val="single" w:sz="8" w:color="CCEEFF"/>
            </w:tcBorders>
            <w:shd w:val="clear" w:color="auto" w:fill="CCEEFF"/>
          </w:tcPr>
          <w:p>
            <w:pPr>
              <w:spacing w:after="0"/>
              <w:rPr>
                <w:sz w:val="11"/>
                <w:szCs w:val="11"/>
                <w:color w:val="auto"/>
              </w:rPr>
            </w:pPr>
          </w:p>
        </w:tc>
        <w:tc>
          <w:tcPr>
            <w:tcW w:w="36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Vibrant Energy</w:t>
            </w:r>
          </w:p>
        </w:tc>
      </w:tr>
    </w:tbl>
    <w:p>
      <w:pPr>
        <w:spacing w:after="0" w:line="131" w:lineRule="exact"/>
        <w:rPr>
          <w:sz w:val="20"/>
          <w:szCs w:val="20"/>
          <w:color w:val="auto"/>
        </w:rPr>
      </w:pPr>
    </w:p>
    <w:p>
      <w:pPr>
        <w:ind w:left="680" w:hanging="208"/>
        <w:spacing w:after="0"/>
        <w:tabs>
          <w:tab w:leader="none" w:pos="6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Disposition of International Solar Business</w:t>
      </w:r>
      <w:r>
        <w:rPr>
          <w:rFonts w:ascii="Times New Roman" w:cs="Times New Roman" w:eastAsia="Times New Roman" w:hAnsi="Times New Roman"/>
          <w:sz w:val="12"/>
          <w:szCs w:val="12"/>
          <w:color w:val="auto"/>
        </w:rPr>
        <w:t xml:space="preserve"> for further details.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Acquisition of Alaska Communications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July 22, 2021, we completed the acquisition of Alaska Communications Systems Group, Inc. (“Alaska Communications”), a publicly listed company, for approximately $339.5 million in cash, net of cash acquired, (the “Alaska Transaction”). Alaska Communications provides broadband telecommunication and managed information technology services to customers in the state of Alaska and beyond using its statewide and interstate telecommunications network.</w:t>
      </w:r>
    </w:p>
    <w:p>
      <w:pPr>
        <w:spacing w:after="0" w:line="119" w:lineRule="exact"/>
        <w:rPr>
          <w:sz w:val="20"/>
          <w:szCs w:val="20"/>
          <w:color w:val="auto"/>
        </w:rPr>
      </w:pPr>
    </w:p>
    <w:p>
      <w:pPr>
        <w:jc w:val="both"/>
        <w:ind w:left="20" w:right="39" w:firstLine="410"/>
        <w:spacing w:after="0" w:line="256" w:lineRule="auto"/>
        <w:rPr>
          <w:sz w:val="20"/>
          <w:szCs w:val="20"/>
          <w:color w:val="auto"/>
        </w:rPr>
      </w:pPr>
      <w:r>
        <w:rPr>
          <w:rFonts w:ascii="Times New Roman" w:cs="Times New Roman" w:eastAsia="Times New Roman" w:hAnsi="Times New Roman"/>
          <w:sz w:val="12"/>
          <w:szCs w:val="12"/>
          <w:color w:val="auto"/>
        </w:rPr>
        <w:t>In conjunction with the Alaska Transaction, we entered into an agreement with affiliates and investment funds managed by Freedom 3 Capital, LLC as well as other institutional investors (collectively the “Freedom 3 Investors”). The Freedom 3 Investors contributed $71.5 million in conjunction with the Alaska Transaction (the “Freedom 3 Investment”). The Freedom 3 Investment consists of common and preferred equity instruments in our subsidiary of which holds the ownership of Alaska Communications. We accounted for the Freedom 3 Investment as a redeemable noncontrolling interest in our consolidated financial statements and we also entered into a financing transaction drawing $220 million on a new credit facility to complete the Alaska Transaction. As a result of the Alaska Transaction, we own approximately 52% of the common equity of Alaska Communications and control its operations and management. Beginning on July 22, 2021, the results of Alaska Communications are included in our US Telecom segment.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Liquidity and Capital Resources</w:t>
      </w:r>
      <w:r>
        <w:rPr>
          <w:rFonts w:ascii="Times New Roman" w:cs="Times New Roman" w:eastAsia="Times New Roman" w:hAnsi="Times New Roman"/>
          <w:sz w:val="12"/>
          <w:szCs w:val="12"/>
          <w:color w:val="auto"/>
        </w:rPr>
        <w:t xml:space="preserve"> for a discussion regarding the credit agreement used to help finance the Alaska Transaction.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COVID-19</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are continuing to monitor and assess the effects of the ongoing COVID-19 pandemic on our commercial operations, the safety of our employees and their families, our sales force and customers.</w:t>
      </w:r>
    </w:p>
    <w:p>
      <w:pPr>
        <w:spacing w:after="0" w:line="11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preparation of the condensed consolidated financial statements requires us to make estimates, judgments and assumptions, which are evaluated on an ongoing basis, that may affect the reported amounts of assets, liabilities, equity, revenues and expenses and related disclosure of contingent assets and liabilities. We assessed certain accounting matters and estimates that generally require consideration of forecasted financial information in context with the information and estimates reasonably available to us and the unknown future impacts of COVID-19 as of March 31, 2022 and through the date of this report. The accounting matters assessed included, but were not limited to, the allowance for credit losses, the carrying value of goodwill and other long-lived assets, financial assets, valuation allowances for tax assets and revenue recognition.</w:t>
      </w:r>
    </w:p>
    <w:p>
      <w:pPr>
        <w:spacing w:after="0" w:line="125" w:lineRule="exact"/>
        <w:rPr>
          <w:sz w:val="20"/>
          <w:szCs w:val="20"/>
          <w:color w:val="auto"/>
        </w:rPr>
      </w:pPr>
    </w:p>
    <w:p>
      <w:pPr>
        <w:jc w:val="both"/>
        <w:ind w:left="20" w:right="39" w:firstLine="462"/>
        <w:spacing w:after="0" w:line="257" w:lineRule="auto"/>
        <w:rPr>
          <w:sz w:val="20"/>
          <w:szCs w:val="20"/>
          <w:color w:val="auto"/>
        </w:rPr>
      </w:pPr>
      <w:r>
        <w:rPr>
          <w:rFonts w:ascii="Times New Roman" w:cs="Times New Roman" w:eastAsia="Times New Roman" w:hAnsi="Times New Roman"/>
          <w:sz w:val="12"/>
          <w:szCs w:val="12"/>
          <w:color w:val="auto"/>
        </w:rPr>
        <w:t>Our assessment of the impact of COVID-19 on our operations did not indicate that there was a material adverse impact to our consolidated financial statements as of and for the three months ended March 31, 2022. However, future assessments of the impacts of COVID-19, as well as other factors, including the possible reinstatement of certain COVID-19 travel-related and stay-at-home restrictions, could result in material adverse impacts to our consolidated financial statements in future reporting periods. For example, we may experience difficulty in procuring network or retail equipment, such as handsets for subscribers, as a result of COVID-19 restrictions. Apart from possible government issued travel restrictions, we currently cannot assess how COVID-19 may influence subscribers’ procurement behavior for services or how that behavior will impact revenues in the foreseeable future.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Disposition of International Solar Business</w:t>
      </w:r>
    </w:p>
    <w:p>
      <w:pPr>
        <w:spacing w:after="0" w:line="154" w:lineRule="exact"/>
        <w:rPr>
          <w:sz w:val="20"/>
          <w:szCs w:val="20"/>
          <w:color w:val="auto"/>
        </w:rPr>
      </w:pPr>
    </w:p>
    <w:p>
      <w:pPr>
        <w:jc w:val="both"/>
        <w:ind w:left="20" w:right="39" w:firstLine="410"/>
        <w:spacing w:after="0" w:line="260" w:lineRule="auto"/>
        <w:rPr>
          <w:sz w:val="20"/>
          <w:szCs w:val="20"/>
          <w:color w:val="auto"/>
        </w:rPr>
      </w:pPr>
      <w:r>
        <w:rPr>
          <w:rFonts w:ascii="Times New Roman" w:cs="Times New Roman" w:eastAsia="Times New Roman" w:hAnsi="Times New Roman"/>
          <w:sz w:val="12"/>
          <w:szCs w:val="12"/>
          <w:color w:val="auto"/>
        </w:rPr>
        <w:t>In January 2021, we completed the sale of 67% of the outstanding equity in our business that owns and operates distributed generation solar power projects operated under the Vibrant name in India (the “Vibrant Transaction”). The post-sale results of our ownership interest in Vibrant, representing 33% of Vibrant’s profits and losses, will be recorded through the equity method of accounting within the Corporate and Other operating segment. We will continue to present the historical results of our Renewable Energy segment for comparative purposes.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operations of Vibrant did not qualify as discontinued operations because the disposition did not represent a strategic shift that had a major effect on our operations and financial results.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Agreement</w:t>
      </w:r>
    </w:p>
    <w:p>
      <w:pPr>
        <w:spacing w:after="0" w:line="15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In July 2019, we entered into a Network Build and Maintenance Agreement with AT&amp;T Mobility, LLC (“AT&amp;T”) that we amended in August 2020 and May 2021 (the “FirstNet Agreement”). In connection with the FirstNet Agreement, we are building a portion of AT&amp;T’s network for the First Responder Network Authority (“FirstNet”) in or near our current operating area in the Western United States. Pursuant to the FirstNet Agreement and subject to certain limitations contained therein, all cell sites must be completed and accepted within a specified period of time. Since inception of the project through March 31, 2022, we have recorded $48.8 million in construction revenue, including $2.0 million during 2022, and expect to record an additional $31.0 million to $36.0 million in 2022 as sites are completed. In 2022, we also expect to record additional costs of construction revenue, as sites are completed, that will approximate that revenue. Revenues from construction are expected to have minimal impact on operating income. The network build portion of the FirstNet Agreement has continued during the COVID-19 pandemic, but the overall timing of the build schedule has been delayed.</w:t>
      </w:r>
    </w:p>
    <w:p>
      <w:pPr>
        <w:spacing w:after="0" w:line="12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Following acceptance of a cell site, AT&amp;T will own the cell site and we will assign to AT&amp;T any third-party tower lease applicable to such cell site. If the cell site is located on a communications tower we own, AT&amp;T will pay us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pursuant to a separate lease agreement for an initial term of 8 years. In addition to building the network, we will provide ongoing equipment and site maintenance and high-capacity transport to and from these cell sites for an initial term ending in 2029.</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Connect America Fund Phase II Programs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12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11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Both the USF and CAFII programs are subject to certain operational and reporting compliance requirements. We believe we are in compliance with these requirements as of March 31, 2022.</w:t>
      </w:r>
    </w:p>
    <w:p>
      <w:pPr>
        <w:spacing w:after="0" w:line="11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will be reduced again to $5.5 million for the annual period through June 2023. Thereafter, Viya will not receive High Cost Program support.</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RDOF (“Rural Digital Opportunities Fund”)</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expect to receive approximately $20.1 million over 10 years to provide broadband and voice coverage to over 10,000 households in the United States (not including Alaska) under the 2020 Rural Digital Opportunity Fund Phase I Auction (“RDOF”). We recorded $0.5 million of revenue from the RDOF program in the three months ended March 31,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Grants</w:t>
      </w:r>
    </w:p>
    <w:p>
      <w:pPr>
        <w:spacing w:after="0" w:line="154"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We have also been awarded construction grants to build network connectivity for eligible communities. The funding of these grants, used to reimburse us for our construction costs, is distributed upon completion of a project. As of December 31, 2021, we had been awarded approximately $27.9 million of such grants. We were awarded $0.4 million of additional grants and cancelled $2.1 million of previously awarded grants during the three months ended March 31, 2022. Of this $28.3 million of awards, we have completed our construction obligations on $15.0 million of these projects and $11.2 million of such construction obligations remain with completion deadlines beginning in July 2022. Once these projects are constructed, we are obligated to provide service to the participants. We expect to meet all requirements associated with these grants.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CBRS Auction</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During the third quarter of 2020, we participated in the FCC’s Citizens Broadband Radio Service (CBRS) auction for Priority Access Licenses (PALs) in the 3.5 GHz spectrum band. These PALs are licensed on a county-by-county basis and are awarded for a 10-year renewable term. We were a winning bidder for PALs located strategically throughout the United States at a total cost of approximately $20.4 million. In connection with the awarded licenses, we will have to achieve certain CBRS spectrum build out obligations. We currently expect to comply with all applicable requirements related to these licenses.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Presentation of Revenue</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Effective July 1, 2021, we began to categorize Mobility revenue and Fixed revenue as either “consumer” or “business” based upon the characteristics of our subscribers. Effective October 1, 2021, the Company’s statement of operations separately reflects Construction Revenue. All periods presented have been adjusted to conform to these presentation updates.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Presentation of Operating Expenses</w:t>
      </w:r>
    </w:p>
    <w:p>
      <w:pPr>
        <w:spacing w:after="0" w:line="154"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Effective January 1, 2021, we changed our presentation of operating expenses in the Condensed Consolidated Statements of Operations by combining the previously disclosed Termination and Access Fees with Engineering and Operations as the newly represented Cost of communications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our results with industry standards. Cost of construction services continues to be broken out separately and all depreciation and amortization continues to be shown separately.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Selected Segment Financial Information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selected segment information for the three months ended March 31, 2022 and 2021 (in thousands):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Renewable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Energy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4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Mobility - Business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Mobility - Consumer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19,970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23,586</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17,254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44,399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 Consumer</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41,093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60,061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4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58,347</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46,113</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104,460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3,402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32,989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36,391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85,611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166,543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1,987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Managed Services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1,176</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40"/>
        </w:trPr>
        <w:tc>
          <w:tcPr>
            <w:tcW w:w="26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86,787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85,232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172,019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(7,037)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43</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Renewable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Corporate and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Energy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Mobility - Business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Mobility - Consumer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22,908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21,821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2,860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24,681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16,634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19,330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 Consumer</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42,114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4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58,748</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6,370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65,118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1,883</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18,736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82,670</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27,966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110,636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12,306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12,306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Renewable Energy</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Managed Services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bottom w:val="single" w:sz="8" w:color="CCEEFF"/>
            </w:tcBorders>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4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1,568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4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83,820</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40,272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124,510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3,349</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comparison of our segment results for the three months ended March 31, 2022, and 2021 is as follows:</w:t>
      </w:r>
    </w:p>
    <w:p>
      <w:pPr>
        <w:spacing w:after="0" w:line="103" w:lineRule="exact"/>
        <w:rPr>
          <w:sz w:val="20"/>
          <w:szCs w:val="20"/>
          <w:color w:val="auto"/>
        </w:rPr>
      </w:pPr>
    </w:p>
    <w:p>
      <w:pPr>
        <w:ind w:left="20" w:right="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Revenues within our International Telecom segment increased $3.0 million, or 3.6%, to $86.8 million from $83.8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March 31, 2022 and 2021, respectively, as a result of an increase in Fixed and Mobility subscribers within our international markets. In addition, our US Virgin Islands and Bermuda markets recognized an increase in Carrier Services revenue as a result of increased tourism as certain COVID-19 related travel and stay-at-home restrictions were lifted. These increases, however, were partially offset by a $1.3 million reduction in federal support revenues in the US Virgin Islands.</w:t>
      </w:r>
    </w:p>
    <w:p>
      <w:pPr>
        <w:spacing w:after="0" w:line="122"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Operating expenses within our International Telecom segment increased by $4.3 million, or 6.1%, to $75.0 million from $70.7 million for the three months ended March 31, 2022 and 2021, respectively. The increase was primarily the result of an increase in direct costs, primarily roaming expenses due to increased tourism in the US Virgin Islands and Bermuda and equipment expenses due to increased handset sales, and certain costs being incurred during the three months ended March 31, 2022 that were not incurred during the three months ended March 31, 2021 as a result of the impact of COVID-19 restrictions.</w:t>
      </w:r>
    </w:p>
    <w:p>
      <w:pPr>
        <w:spacing w:after="0" w:line="122"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As a result, our International Telecom segment’s operating income decreased $1.3 million, or 9.9%, to $11.8 million from $13.1 million for the three months ended March 31, 2022 and 2021, respectively.</w:t>
      </w:r>
    </w:p>
    <w:p>
      <w:pPr>
        <w:spacing w:after="0" w:line="109" w:lineRule="exact"/>
        <w:rPr>
          <w:sz w:val="20"/>
          <w:szCs w:val="20"/>
          <w:color w:val="auto"/>
        </w:rPr>
      </w:pPr>
    </w:p>
    <w:p>
      <w:pPr>
        <w:ind w:left="20" w:right="1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Revenue within our US Telecom segment increased by $44.9 million, or 111.4%, to $85.2 million from $40.3 million for the three months ended March 31, 2022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2021, respectively, primarily as a result of $58.3 million associated with the Alaska Transaction partially offset by a $10.3 million reduction in construction revenue related to the FirstNet Transaction as well as a reduction in roaming revenue due to the restructuring of certain carrier contracts in our western United States operations.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39" w:firstLine="432"/>
        <w:spacing w:after="0" w:line="291" w:lineRule="auto"/>
        <w:rPr>
          <w:sz w:val="20"/>
          <w:szCs w:val="20"/>
          <w:color w:val="auto"/>
        </w:rPr>
      </w:pPr>
      <w:r>
        <w:rPr>
          <w:rFonts w:ascii="Times New Roman" w:cs="Times New Roman" w:eastAsia="Times New Roman" w:hAnsi="Times New Roman"/>
          <w:sz w:val="11"/>
          <w:szCs w:val="11"/>
          <w:color w:val="auto"/>
        </w:rPr>
        <w:t>Operating expenses within our US Telecom segment increased $49.0 million, or 120.1%, to $89.8 million from $40.8 million for the three months ended March 31, 2022 and 2021, respectively, as a result of $58.4 million being incurred in relation to the Alaska Transaction and increases in other expenses being incurred in connection with both the FirstNet Transaction and the CARES Act-funded build-out of rural broadband operations, partially offset be a decrease in FirstNet construction costs of $10.6 million, In addition, certain costs were incurred during the three months ended March 31, 2022 that were not incurred during the three months ended December 31, 2020 as a result of the impact of COVID-19 restrictions.</w:t>
      </w:r>
    </w:p>
    <w:p>
      <w:pPr>
        <w:spacing w:after="0" w:line="10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As a result of the above, our US Telecom segment’s operating income decreased by $4.1 million to a loss of $4.6 million from a loss of $0.5 million for the three months ended March 31, 2022 and 2021, respectively.</w:t>
      </w:r>
    </w:p>
    <w:p>
      <w:pPr>
        <w:spacing w:after="0" w:line="109" w:lineRule="exact"/>
        <w:rPr>
          <w:sz w:val="20"/>
          <w:szCs w:val="20"/>
          <w:color w:val="auto"/>
        </w:rPr>
      </w:pPr>
    </w:p>
    <w:p>
      <w:pPr>
        <w:jc w:val="both"/>
        <w:ind w:left="20" w:right="1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Renewable Energy. </w:t>
      </w:r>
      <w:r>
        <w:rPr>
          <w:rFonts w:ascii="Times New Roman" w:cs="Times New Roman" w:eastAsia="Times New Roman" w:hAnsi="Times New Roman"/>
          <w:sz w:val="12"/>
          <w:szCs w:val="12"/>
          <w:color w:val="auto"/>
        </w:rPr>
        <w:t>Until the completion of the Vibrant Transaction on January 27, 2021, we distributed generation solar power to commercial and industrial customers under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Vibrant name in India. Accordingly, we did not generate revenue or incur operating expenses within our Renewable Energy segment subsequent to that date. For the three months ended March 31, 2021, we generated revenue, incurred operating expenses and reported an operating loss of $0.4 million, $1.1 million and $0.7 million, respectively.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a year over year discussion and analysis of our results of operations for the three months ended March 31, 2022 and 2021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w:t>
            </w: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Communication services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166,543</w:t>
            </w:r>
          </w:p>
        </w:tc>
        <w:tc>
          <w:tcPr>
            <w:tcW w:w="1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110,636</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55,907</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(10,319)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1,921</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122.5</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172,019</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124,510</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47,509</w:t>
            </w:r>
          </w:p>
        </w:tc>
        <w:tc>
          <w:tcPr>
            <w:tcW w:w="1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38.2</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excluding depreciation and amortization unless otherwise indicated</w:t>
            </w: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communications services and other</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73,011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23,504</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construction revenue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(10,573)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56,343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18,650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Transaction-related charges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33,292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13,181</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disposition of long-lived assets</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3,420</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3,303</w:t>
            </w:r>
          </w:p>
        </w:tc>
        <w:tc>
          <w:tcPr>
            <w:tcW w:w="1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171,911</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121,161</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50,750</w:t>
            </w:r>
          </w:p>
        </w:tc>
        <w:tc>
          <w:tcPr>
            <w:tcW w:w="1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41.9</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Income from operations</w:t>
            </w: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3,349</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(3,241)</w:t>
            </w:r>
          </w:p>
        </w:tc>
        <w:tc>
          <w:tcPr>
            <w:tcW w:w="1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(96.8)</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(3,363)</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(1,147)</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(2,216)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income (expense)</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4,199</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2,375</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1,824</w:t>
            </w:r>
          </w:p>
        </w:tc>
        <w:tc>
          <w:tcPr>
            <w:tcW w:w="1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Other income (expense), net</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887</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1,222</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(335)</w:t>
            </w:r>
          </w:p>
        </w:tc>
        <w:tc>
          <w:tcPr>
            <w:tcW w:w="1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(27.4)</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995</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4,571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(3,576)</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(78.2)</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Income tax provision</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2,657</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4,276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(6,233)</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(145.8)</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 net of tax:</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2,579</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1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w:t>
            </w:r>
          </w:p>
        </w:tc>
        <w:tc>
          <w:tcPr>
            <w:tcW w:w="1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w:t>
            </w:r>
          </w:p>
        </w:tc>
        <w:tc>
          <w:tcPr>
            <w:tcW w:w="180" w:type="dxa"/>
            <w:vAlign w:val="bottom"/>
            <w:vMerge w:val="restart"/>
            <w:shd w:val="clear" w:color="auto" w:fill="CCEEFF"/>
          </w:tcPr>
          <w:p>
            <w:pPr>
              <w:spacing w:after="0"/>
              <w:rPr>
                <w:sz w:val="9"/>
                <w:szCs w:val="9"/>
                <w:color w:val="auto"/>
              </w:rPr>
            </w:pPr>
          </w:p>
        </w:tc>
        <w:tc>
          <w:tcPr>
            <w:tcW w:w="20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w:t>
            </w:r>
          </w:p>
        </w:tc>
        <w:tc>
          <w:tcPr>
            <w:tcW w:w="1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(3,654)</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(135.0)</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8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Communications Services Revenue</w:t>
      </w:r>
    </w:p>
    <w:p>
      <w:pPr>
        <w:spacing w:after="0" w:line="150" w:lineRule="exact"/>
        <w:rPr>
          <w:sz w:val="20"/>
          <w:szCs w:val="20"/>
          <w:color w:val="auto"/>
        </w:rPr>
      </w:pPr>
    </w:p>
    <w:p>
      <w:pPr>
        <w:ind w:left="20" w:right="5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Mobility Revenue. </w:t>
      </w:r>
      <w:r>
        <w:rPr>
          <w:rFonts w:ascii="Times New Roman" w:cs="Times New Roman" w:eastAsia="Times New Roman" w:hAnsi="Times New Roman"/>
          <w:sz w:val="12"/>
          <w:szCs w:val="12"/>
          <w:color w:val="auto"/>
        </w:rPr>
        <w:t>Our Mobility revenue consists of retail revenue generated within both our International Telecom and US Telecom segments by providing retail mobile voice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data services over our wireless networks as well as through the sale and repair services of related equipment, such as handsets and other accessories, to our retail subscribers. Mobility revenue increased by $0.7 million, or 2.8%, to $25.4 million for the three months ended March 31, 2022 from $24.7 million for the three months ended March 31, 2021. Of this increase, $2.2 million related to an increase in revenue from business customers while revenue from consumers declined by $1.5 million. The increase in Mobility revenue, within our segments, consisted of the following:</w:t>
      </w:r>
    </w:p>
    <w:p>
      <w:pPr>
        <w:spacing w:after="0" w:line="121" w:lineRule="exact"/>
        <w:rPr>
          <w:sz w:val="20"/>
          <w:szCs w:val="20"/>
          <w:color w:val="auto"/>
        </w:rPr>
      </w:pPr>
    </w:p>
    <w:p>
      <w:pPr>
        <w:ind w:left="480" w:right="99" w:hanging="224"/>
        <w:spacing w:after="0" w:line="257" w:lineRule="auto"/>
        <w:tabs>
          <w:tab w:leader="none" w:pos="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Mobility revenue increased by $1.8 million, or 8.3%, to $23.6 million for the three months ended March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from $21.8 million for the three months ended March 31, 2021. Mobility revenue increased in each of our markets as total revenue from business customers increased by $2.4 million which was partially offset by a decline of $0.6 million in revenue from consumers. The increases were the result of improved retail and marketing strategies which lead to an increase in subscribers and equipment sales in certain markets. In addition, the three months ended March 31, 2022 include the results of our handset repair business which we acquired in May 2021. Furthermore, the three months ended March 31, 2021 was negatively affected by the impact that COVID-19 related travel and stay-at-home restrictions had during those three months.</w:t>
      </w:r>
    </w:p>
    <w:p>
      <w:pPr>
        <w:spacing w:after="0" w:line="121" w:lineRule="exact"/>
        <w:rPr>
          <w:rFonts w:ascii="Times New Roman" w:cs="Times New Roman" w:eastAsia="Times New Roman" w:hAnsi="Times New Roman"/>
          <w:sz w:val="12"/>
          <w:szCs w:val="12"/>
          <w:color w:val="auto"/>
        </w:rPr>
      </w:pPr>
    </w:p>
    <w:p>
      <w:pPr>
        <w:ind w:left="480" w:right="179" w:hanging="224"/>
        <w:spacing w:after="0" w:line="266" w:lineRule="auto"/>
        <w:tabs>
          <w:tab w:leader="none" w:pos="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Mobility revenue within our US Telecom segment decreased by $1.1 million, or 37.9%, to $1.8 million from $2.9 million for the three months ended March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and 2021, respectively. Of this decrease, $0.8 million related to a decrease in revenue from consumers within our retail operations due to a decrease in subscribers while the remaining decrease was the result of a decrease in revenue from our private networks business.</w:t>
      </w:r>
    </w:p>
    <w:p>
      <w:pPr>
        <w:spacing w:after="0" w:line="119"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We expect that Mobility revenue within both our US Telecom and International Telecom segments may increase as a result of an increase in subscribers if certain COVID-19 travel related restrictions continue to be lifted. However, such growth in both segments may be partially offset due to increased competition, and if COVID-19 related travel restrictions are reinstated so as to result in significant business interruptions and retail store closures.</w:t>
      </w:r>
    </w:p>
    <w:p>
      <w:pPr>
        <w:spacing w:after="0" w:line="119"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Apart from possible government issued travel restrictions, we currently cannot assess how the impact of COVID-19 may influence our subscribers’ procurement behavior for our services or how that behavior will affect our Mobility revenues in the foreseeable future.</w:t>
      </w:r>
    </w:p>
    <w:p>
      <w:pPr>
        <w:spacing w:after="0" w:line="107"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Fixed Revenue. </w:t>
      </w:r>
      <w:r>
        <w:rPr>
          <w:rFonts w:ascii="Times New Roman" w:cs="Times New Roman" w:eastAsia="Times New Roman" w:hAnsi="Times New Roman"/>
          <w:sz w:val="12"/>
          <w:szCs w:val="12"/>
          <w:color w:val="auto"/>
        </w:rPr>
        <w:t>Fixed revenue is primarily generated by broadband, voice, and video service revenues provided to retail and business customers over our wireline networks.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Fixed revenue within our US Telecom segment also includes revenue from the Connect America Fund Phase II program awards in the western United States and Alaska, as well as revenue from the Alaska Universal Service Fund. Within our International Telecom segment, Fixed revenue also includes funding under the FCC’s High Cost Program in the US Virgin Islands. Fixed revenue increased by $39.4 million, or 60.5%, to $104.5 million from $65.1 million for the three months ended March 31, 2022 and 2021, respectively. Of this increase, $25.1 million relates to revenue from business customers while the remaining increase of $14.3 million pertains to consumers. The increase in Fixed revenue, within our segments, consisted of the following:</w:t>
      </w:r>
    </w:p>
    <w:p>
      <w:pPr>
        <w:spacing w:after="0" w:line="123" w:lineRule="exact"/>
        <w:rPr>
          <w:sz w:val="20"/>
          <w:szCs w:val="20"/>
          <w:color w:val="auto"/>
        </w:rPr>
      </w:pPr>
    </w:p>
    <w:p>
      <w:pPr>
        <w:ind w:left="480" w:right="59" w:hanging="224"/>
        <w:spacing w:after="0" w:line="261" w:lineRule="auto"/>
        <w:tabs>
          <w:tab w:leader="none" w:pos="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Fixed revenue decreased by $0.4 million, or 0.7%, to $58.3 million from $58.7 million for the three months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ended March 31, 2022 and 2021, respectively, primarily as a result of a $1.3 million reduction in revenue from the FCC’s High Cost Program, a decrease in revenue from certain enterprise customers, and a decrease in revenue from video services as a result of a decline in those subscribers. Partially offsetting these decreases was an increase in revenue from fixed broadband fiber subscribers and services to further enable and support remote working in our markets.</w:t>
      </w:r>
    </w:p>
    <w:p>
      <w:pPr>
        <w:spacing w:after="0" w:line="119" w:lineRule="exact"/>
        <w:rPr>
          <w:rFonts w:ascii="Times New Roman" w:cs="Times New Roman" w:eastAsia="Times New Roman" w:hAnsi="Times New Roman"/>
          <w:sz w:val="12"/>
          <w:szCs w:val="12"/>
          <w:color w:val="auto"/>
        </w:rPr>
      </w:pPr>
    </w:p>
    <w:p>
      <w:pPr>
        <w:ind w:left="480" w:right="299" w:hanging="224"/>
        <w:spacing w:after="0" w:line="283" w:lineRule="auto"/>
        <w:tabs>
          <w:tab w:leader="none" w:pos="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Fixed revenue within our US Telecom segment increased by $39.7 million, to $46.1 million from $6.4 million for the three months ended March 31, 2022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2021, respectively. This increase was related to the Alaska Transaction, which generated $39.4 million of Fixed revenue during the three months ended March 31,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right="199"/>
        <w:spacing w:after="0" w:line="279" w:lineRule="auto"/>
        <w:rPr>
          <w:sz w:val="20"/>
          <w:szCs w:val="20"/>
          <w:color w:val="auto"/>
        </w:rPr>
      </w:pPr>
      <w:r>
        <w:rPr>
          <w:rFonts w:ascii="Times New Roman" w:cs="Times New Roman" w:eastAsia="Times New Roman" w:hAnsi="Times New Roman"/>
          <w:sz w:val="12"/>
          <w:szCs w:val="12"/>
          <w:color w:val="auto"/>
        </w:rPr>
        <w:t>2022, and a $0.3 million increase, within the western United States, related to an increase in usage for both business and consumer subscribers to support remote working and better connectivity during the COVID-19 pandemic.</w:t>
      </w:r>
    </w:p>
    <w:p>
      <w:pPr>
        <w:spacing w:after="0" w:line="11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Fixed revenue within our International Telecom segment may further decrease as a result of the loss of USF funding in the US Virgin Islands, a decrease in demand for our video services due to subscribers using alternative methods to receive video content, and if COVID-19 travel related restrictions are reinstated in some of our international markets. Such decreases, however, may be partially offset as a result of an increase in broadband subscribers as workers continue to shift to remote working, subscribers adopting higher bandwidth offerings at higher price points and in connection with certain new contracts with oil and gas providers in Guyana.</w:t>
      </w:r>
    </w:p>
    <w:p>
      <w:pPr>
        <w:spacing w:after="0" w:line="122"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Within our US Telecom segment, Fixed Revenue is expected to increase as both our Alaska operations and our western United States operations further deploy broadband access to both consumers and businesses.</w:t>
      </w:r>
    </w:p>
    <w:p>
      <w:pPr>
        <w:spacing w:after="0" w:line="111"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Apart from possible government issued travel restrictions, we currently cannot assess how the impact of any COVID-19 restrictions may influence our subscribers’ procurement behavior for our services or how that behavior will affect our Fixed revenue in the foreseeable future.</w:t>
      </w:r>
    </w:p>
    <w:p>
      <w:pPr>
        <w:spacing w:after="0" w:line="107" w:lineRule="exact"/>
        <w:rPr>
          <w:sz w:val="20"/>
          <w:szCs w:val="20"/>
          <w:color w:val="auto"/>
        </w:rPr>
      </w:pPr>
    </w:p>
    <w:p>
      <w:pPr>
        <w:ind w:left="20" w:right="9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Carrier Services Revenue. </w:t>
      </w:r>
      <w:r>
        <w:rPr>
          <w:rFonts w:ascii="Times New Roman" w:cs="Times New Roman" w:eastAsia="Times New Roman" w:hAnsi="Times New Roman"/>
          <w:sz w:val="12"/>
          <w:szCs w:val="12"/>
          <w:color w:val="auto"/>
        </w:rPr>
        <w:t>Carrier Services revenue is generated by both our International Telecom and US Telecom segments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our International Telecom segment,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 Carrier Services revenue increased by $15.8 million, or 76.7%, to $36.4 million from $20.6 million for the three months ended March 31, 2022 and 2021, respectively. The increase, within our segments, consisted of the following:</w:t>
      </w:r>
    </w:p>
    <w:p>
      <w:pPr>
        <w:spacing w:after="0" w:line="121" w:lineRule="exact"/>
        <w:rPr>
          <w:sz w:val="20"/>
          <w:szCs w:val="20"/>
          <w:color w:val="auto"/>
        </w:rPr>
      </w:pPr>
    </w:p>
    <w:p>
      <w:pPr>
        <w:ind w:left="480" w:right="99" w:hanging="224"/>
        <w:spacing w:after="0" w:line="266"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Carrier Services revenue increased by $1.5 million, or 78.9%, to $3.4 million from $1.9 million for the three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March 31, 2022 and 2021, respectively, as a result of an increase in tourism, primarily within the US Virgin Islands and Bermuda, that resulted in increased roaming revenues.</w:t>
      </w:r>
    </w:p>
    <w:p>
      <w:pPr>
        <w:spacing w:after="0" w:line="117" w:lineRule="exact"/>
        <w:rPr>
          <w:rFonts w:ascii="Times New Roman" w:cs="Times New Roman" w:eastAsia="Times New Roman" w:hAnsi="Times New Roman"/>
          <w:sz w:val="12"/>
          <w:szCs w:val="12"/>
          <w:color w:val="auto"/>
        </w:rPr>
      </w:pPr>
    </w:p>
    <w:p>
      <w:pPr>
        <w:ind w:left="480" w:right="39" w:hanging="224"/>
        <w:spacing w:after="0" w:line="266"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Carrier Services revenue within our US Telecom segment increased by $14.3 million, or 76.5%, to $33.0 million from $18.7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March 31, 2022 and 2021, respectively, primarily as a result of the Alaska Transaction, which generated $16.6 million of Carrier Services revenue during 2022 partially offset by the revenue reductions as a result of the restructure of certain carrier contracts in our western United Stated operations.</w:t>
      </w:r>
    </w:p>
    <w:p>
      <w:pPr>
        <w:spacing w:after="0" w:line="119" w:lineRule="exact"/>
        <w:rPr>
          <w:sz w:val="20"/>
          <w:szCs w:val="20"/>
          <w:color w:val="auto"/>
        </w:rPr>
      </w:pPr>
    </w:p>
    <w:p>
      <w:pPr>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Within our International Telecom segment, Carrier Services revenue may continue to increase if tourism continues to move toward a return to pre-pandemic levels. Apart from possible government issued travel restrictions, we currently cannot assess how the impact of COVID-19 may influence our subscribers’ procurement behavior for our services or how that behavior will affect our revenues in the foreseeable future. Also, within our International Telecom segment, we expect that Carrier Services revenue from our international long-distance business in Guyana may decrease as consumers seek to use alternative technology services to place long-distance calls. In addition, such revenue may decline as the result of the implementation, by the Government of Guyana, of passed legislation which terminates our right to be the exclusive provider of domestic Fixed and international long-distance service in Guyana. While the loss of our exclusive rights may cause an immediate reduction in our Carrier Services revenue, the complete impact of the new legislation to our operations will not be fully known until the Government of Guyana makes the terms and conditions of licenses issued to two of our competitors available to us. Over the longer term, such declines in Carrier Services revenue may be offset by increased Fixed revenue from broadband services to consumers and enterprises in Guyana, increased Mobility revenue from an increase in regulated local calling rates in Guyana or possible economic growth within that country.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Within our US Telecom segment, Carrier Services revenue may decrease from the impact of continued reduced contractual wholesale roaming rates and imposed revenue caps with our Carrier customers. We believe that maintaining roaming favorable to our carrier customers allows us to preserve revenue for a longer period of time while creating the potential for long-lived shared infrastructure solutions for carriers in areas they may consider to be non-strategic.</w:t>
      </w:r>
    </w:p>
    <w:p>
      <w:pPr>
        <w:spacing w:after="0" w:line="119"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The most significant competitive factor we face within our US Telecom segment is the extent to which our carrier customers in our wholesale carrier services business choose to roam on our networks and lease our tower space and transport services or elect to build or acquire their own infrastructure in a market, reducing or eliminating their need for our services in those markets. We also face competition from other providers of such shared infrastructure solutions. In the past, we have entered into buildout projects with existing carrier customers to help these customers accelerate the buildout of a given area in exchange for the carrier’s agreement to lease us spectrum in that area and enter into a contract with specific pricing and terms. Historically, these arrangements have differed from our FirstNet Transaction and have typically included a purchase right in favor of the carrier to purchase that portion of the network for a predetermined price, depending on when the right to purchase is exercised.</w:t>
      </w:r>
    </w:p>
    <w:p>
      <w:pPr>
        <w:spacing w:after="0" w:line="121" w:lineRule="exact"/>
        <w:rPr>
          <w:sz w:val="20"/>
          <w:szCs w:val="20"/>
          <w:color w:val="auto"/>
        </w:rPr>
      </w:pPr>
    </w:p>
    <w:p>
      <w:pPr>
        <w:ind w:left="20" w:right="29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Other Communications Services Revenue. </w:t>
      </w:r>
      <w:r>
        <w:rPr>
          <w:rFonts w:ascii="Times New Roman" w:cs="Times New Roman" w:eastAsia="Times New Roman" w:hAnsi="Times New Roman"/>
          <w:sz w:val="12"/>
          <w:szCs w:val="12"/>
          <w:color w:val="auto"/>
        </w:rPr>
        <w:t>Other Communications Services revenue includes miscellaneous services that the operations within our International Telecom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segment provide to retail subscribers. Other Communications Services revenue increased to $0.3 million from $0.2 million for the three months ended March 31, 2022 and 2021, respectively.</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Revenue</w:t>
      </w:r>
    </w:p>
    <w:p>
      <w:pPr>
        <w:spacing w:after="0" w:line="154"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Construction revenue represents revenue generated within our US Telecom segment for the construction of network cell sites related to the FirstNet Agreement. During the three months ended March 31, 2022 and 2021, Construction revenue decreased to $2.0 million from $12.3 million, respectively, as a result of a decrease in the number of sites completed during 2022 as compared to 2021. As of March 31, 2022, 60% of the cell sites related to the FirstNet Agreement were completed and we expect another 30% of the total build to be completed during 2022 with the remainder to be completed in early 2023.</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Revenue</w:t>
      </w:r>
    </w:p>
    <w:p>
      <w:pPr>
        <w:spacing w:after="0" w:line="150" w:lineRule="exact"/>
        <w:rPr>
          <w:sz w:val="20"/>
          <w:szCs w:val="20"/>
          <w:color w:val="auto"/>
        </w:rPr>
      </w:pPr>
    </w:p>
    <w:p>
      <w:pPr>
        <w:ind w:left="20" w:right="5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Renewable Energy Revenue. </w:t>
      </w:r>
      <w:r>
        <w:rPr>
          <w:rFonts w:ascii="Times New Roman" w:cs="Times New Roman" w:eastAsia="Times New Roman" w:hAnsi="Times New Roman"/>
          <w:sz w:val="12"/>
          <w:szCs w:val="12"/>
          <w:color w:val="auto"/>
        </w:rPr>
        <w:t>Our Renewable Energy segment generated $0.4 million of renewable energy revenue during the three months ended March 31, 2021. We did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generate any renewable energy revenue during the three months ended March 31, 2022 as a result of the Vibrant Transaction.</w:t>
      </w:r>
    </w:p>
    <w:p>
      <w:pPr>
        <w:spacing w:after="0" w:line="103" w:lineRule="exact"/>
        <w:rPr>
          <w:sz w:val="20"/>
          <w:szCs w:val="20"/>
          <w:color w:val="auto"/>
        </w:rPr>
      </w:pPr>
    </w:p>
    <w:p>
      <w:pPr>
        <w:ind w:left="20" w:right="7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Managed Services Revenue. </w:t>
      </w:r>
      <w:r>
        <w:rPr>
          <w:rFonts w:ascii="Times New Roman" w:cs="Times New Roman" w:eastAsia="Times New Roman" w:hAnsi="Times New Roman"/>
          <w:sz w:val="12"/>
          <w:szCs w:val="12"/>
          <w:color w:val="auto"/>
        </w:rPr>
        <w:t>Managed Services revenue is generated within both our International and US Telecom segments and includes network, application, infrastructure,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hosting services.</w:t>
      </w:r>
    </w:p>
    <w:p>
      <w:pPr>
        <w:spacing w:after="0" w:line="107"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Managed Services revenue increased by $2.3 million to $3.5 million from $1.2 million for the three months ended March 31, 2022 and 2021, respectively, as a result of the Alaska Transaction. Our Managed Services revenue in our International Telecom segment remained consistent at approximately $1.2 million for each of the three months ended March 31, 2022 and 2021.</w:t>
      </w:r>
    </w:p>
    <w:p>
      <w:pPr>
        <w:spacing w:after="0" w:line="119" w:lineRule="exact"/>
        <w:rPr>
          <w:sz w:val="20"/>
          <w:szCs w:val="20"/>
          <w:color w:val="auto"/>
        </w:rPr>
      </w:pPr>
    </w:p>
    <w:p>
      <w:pPr>
        <w:ind w:left="20" w:right="399" w:firstLine="432"/>
        <w:spacing w:after="0" w:line="279" w:lineRule="auto"/>
        <w:rPr>
          <w:sz w:val="20"/>
          <w:szCs w:val="20"/>
          <w:color w:val="auto"/>
        </w:rPr>
      </w:pPr>
      <w:r>
        <w:rPr>
          <w:rFonts w:ascii="Times New Roman" w:cs="Times New Roman" w:eastAsia="Times New Roman" w:hAnsi="Times New Roman"/>
          <w:sz w:val="12"/>
          <w:szCs w:val="12"/>
          <w:color w:val="auto"/>
        </w:rPr>
        <w:t>We expect that Managed Services revenue may increase in our both our US and International Telecom segments as a result of our continued effort to sell certain Managed Services solutions to both our consumer and business customers in all of our markets.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50" w:lineRule="exact"/>
        <w:rPr>
          <w:sz w:val="20"/>
          <w:szCs w:val="20"/>
          <w:color w:val="auto"/>
        </w:rPr>
      </w:pPr>
    </w:p>
    <w:p>
      <w:pPr>
        <w:ind w:left="20" w:right="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Cost of communication services and other. </w:t>
      </w:r>
      <w:r>
        <w:rPr>
          <w:rFonts w:ascii="Times New Roman" w:cs="Times New Roman" w:eastAsia="Times New Roman" w:hAnsi="Times New Roman"/>
          <w:sz w:val="12"/>
          <w:szCs w:val="12"/>
          <w:color w:val="auto"/>
        </w:rPr>
        <w:t>Cost of communication services and other are charges that we incur for voice and data transport circuits (in particular, the circuits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between our Mobility sites and our switches), internet capacity, video programming costs, access fees we pay to terminate our calls, telecommunication spectrum fees and direct costs associated within our managed services businesses. Cost of communication services and other also includes expenses associated with developing, operating, upgrading and supporting our telecommunications networks,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59"/>
        <w:spacing w:after="0" w:line="279" w:lineRule="auto"/>
        <w:rPr>
          <w:sz w:val="20"/>
          <w:szCs w:val="20"/>
          <w:color w:val="auto"/>
        </w:rPr>
      </w:pPr>
      <w:r>
        <w:rPr>
          <w:rFonts w:ascii="Times New Roman" w:cs="Times New Roman" w:eastAsia="Times New Roman" w:hAnsi="Times New Roman"/>
          <w:sz w:val="12"/>
          <w:szCs w:val="12"/>
          <w:color w:val="auto"/>
        </w:rPr>
        <w:t>including the salaries and benefits paid to employees directly involved in the development and operation of those businesses, as well as bad debt reserves and the cost of handsets and customer resale equipment incurred by our retail businesses.</w:t>
      </w:r>
    </w:p>
    <w:p>
      <w:pPr>
        <w:spacing w:after="0" w:line="111" w:lineRule="exact"/>
        <w:rPr>
          <w:sz w:val="20"/>
          <w:szCs w:val="20"/>
          <w:color w:val="auto"/>
        </w:rPr>
      </w:pPr>
    </w:p>
    <w:p>
      <w:pPr>
        <w:ind w:left="20" w:right="359" w:firstLine="432"/>
        <w:spacing w:after="0" w:line="279" w:lineRule="auto"/>
        <w:rPr>
          <w:sz w:val="20"/>
          <w:szCs w:val="20"/>
          <w:color w:val="auto"/>
        </w:rPr>
      </w:pPr>
      <w:r>
        <w:rPr>
          <w:rFonts w:ascii="Times New Roman" w:cs="Times New Roman" w:eastAsia="Times New Roman" w:hAnsi="Times New Roman"/>
          <w:sz w:val="12"/>
          <w:szCs w:val="12"/>
          <w:color w:val="auto"/>
        </w:rPr>
        <w:t>Cost of communication services and other increased by $23.5 million, or 47.5%, to $73.0 million from $49.5 million for the three months ended March 31, 2022 and 2021, respectively. The net increase in cost of communication services and other, within our segments, consisted of the following:</w:t>
      </w:r>
    </w:p>
    <w:p>
      <w:pPr>
        <w:spacing w:after="0" w:line="64" w:lineRule="exact"/>
        <w:rPr>
          <w:sz w:val="20"/>
          <w:szCs w:val="20"/>
          <w:color w:val="auto"/>
        </w:rPr>
      </w:pPr>
    </w:p>
    <w:p>
      <w:pPr>
        <w:ind w:left="480" w:right="59" w:hanging="224"/>
        <w:spacing w:after="0" w:line="223" w:lineRule="auto"/>
        <w:tabs>
          <w:tab w:leader="none" w:pos="4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cost of communication services and other decreased by $0.3 million, or 0.9%, to $34.1 million from $34.4</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the three months ended March 31, 2022 and 2021, respectively. This decrease was the result of reduced network maintenance and facility costs partially offset by an increase in roaming expense, due to an increase in related roaming revenues from higher levels of travel and tourism in the US Virgin Islands and Bermuda, as well as an increase in equipment expense as a result of improved retail and marketing strategies which lead to an increase in handset sales.</w:t>
      </w:r>
    </w:p>
    <w:p>
      <w:pPr>
        <w:spacing w:after="0" w:line="87" w:lineRule="exact"/>
        <w:rPr>
          <w:rFonts w:ascii="Times New Roman" w:cs="Times New Roman" w:eastAsia="Times New Roman" w:hAnsi="Times New Roman"/>
          <w:sz w:val="19"/>
          <w:szCs w:val="19"/>
          <w:color w:val="auto"/>
          <w:vertAlign w:val="superscript"/>
        </w:rPr>
      </w:pPr>
    </w:p>
    <w:p>
      <w:pPr>
        <w:ind w:left="480" w:right="179" w:hanging="224"/>
        <w:spacing w:after="0" w:line="261" w:lineRule="auto"/>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Cost of communication services and other within our US Telecom segment increased by $24.3 million, or 160.9%, to $39.4 million from $15.1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March 31, 2022 and 2021, respectively, as a result of the Alaska Transaction which incurred $23.8 million of these costs during 2022 and a $1.5 million increase in data transport costs in connection with the fully constructed cell sites as part of the FirstNet Transaction. These increases were partially offset by decreases in both our private network business and wholesale long-distance voice services businesses.</w:t>
      </w:r>
    </w:p>
    <w:p>
      <w:pPr>
        <w:spacing w:after="0" w:line="122" w:lineRule="exact"/>
        <w:rPr>
          <w:sz w:val="20"/>
          <w:szCs w:val="20"/>
          <w:color w:val="auto"/>
        </w:rPr>
      </w:pPr>
    </w:p>
    <w:p>
      <w:pPr>
        <w:ind w:left="20" w:right="79" w:firstLine="432"/>
        <w:spacing w:after="0" w:line="291" w:lineRule="auto"/>
        <w:rPr>
          <w:sz w:val="20"/>
          <w:szCs w:val="20"/>
          <w:color w:val="auto"/>
        </w:rPr>
      </w:pPr>
      <w:r>
        <w:rPr>
          <w:rFonts w:ascii="Times New Roman" w:cs="Times New Roman" w:eastAsia="Times New Roman" w:hAnsi="Times New Roman"/>
          <w:sz w:val="11"/>
          <w:szCs w:val="11"/>
          <w:color w:val="auto"/>
        </w:rPr>
        <w:t>We expect that cost of communication services and other may increase within both our International and US Telecom segments due to an expected increase in roaming and other termination costs if COVID-19 related travel restrictions continue to be lifted. Within the US Telecom segment, we expect an increase in the expenses associated with our recent funding award under the CARES Act and anticipated expenses in connection with our performance under the construction phase of our FirstNet Transaction which is expected to be completed during early 2023. In addition, we expect cost of services may increase as a result of continued inflationary pressure, issues facing the global supply chain, and geopolitical uncertainty.</w:t>
      </w:r>
    </w:p>
    <w:p>
      <w:pPr>
        <w:spacing w:after="0" w:line="103" w:lineRule="exact"/>
        <w:rPr>
          <w:sz w:val="20"/>
          <w:szCs w:val="20"/>
          <w:color w:val="auto"/>
        </w:rPr>
      </w:pPr>
    </w:p>
    <w:p>
      <w:pPr>
        <w:ind w:left="20" w:right="7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Cost of construction revenue. </w:t>
      </w:r>
      <w:r>
        <w:rPr>
          <w:rFonts w:ascii="Times New Roman" w:cs="Times New Roman" w:eastAsia="Times New Roman" w:hAnsi="Times New Roman"/>
          <w:sz w:val="12"/>
          <w:szCs w:val="12"/>
          <w:color w:val="auto"/>
        </w:rPr>
        <w:t>Cost of construction revenue includes the expenses incurred in connection with the construction of and the delivery to AT&amp;T of cell sites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our FirstNet Agreement. During the three months ended March 31, 2022 and March 31, 2021, cost of construction revenue decreased to $2.0 million from $12.6 million as a result of a decrease in the number of sites completed during 2022 as compared to 2021. As of March 31, 2022, 60% of the cell sites related to the FirstNet Agreement were completed and we expect another 30% of the total build to be completed during 2022 with the remainder to be completed in early 2023.</w:t>
      </w:r>
    </w:p>
    <w:p>
      <w:pPr>
        <w:spacing w:after="0" w:line="117" w:lineRule="exact"/>
        <w:rPr>
          <w:sz w:val="20"/>
          <w:szCs w:val="20"/>
          <w:color w:val="auto"/>
        </w:rPr>
      </w:pPr>
    </w:p>
    <w:p>
      <w:pPr>
        <w:ind w:left="20" w:right="7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include salaries and benefits we pay to sales personnel, customer service expenses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21"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increased by $18.6 million, or 49.3%, to $56.3 million from $37.7 million for the three months ended March 31, 2022 and 2021, respectively. The net increase in selling, general and administrative expenses, within our segments, consisted of the following:</w:t>
      </w:r>
    </w:p>
    <w:p>
      <w:pPr>
        <w:spacing w:after="0" w:line="64" w:lineRule="exact"/>
        <w:rPr>
          <w:sz w:val="20"/>
          <w:szCs w:val="20"/>
          <w:color w:val="auto"/>
        </w:rPr>
      </w:pPr>
    </w:p>
    <w:p>
      <w:pPr>
        <w:ind w:left="480" w:right="59" w:hanging="224"/>
        <w:spacing w:after="0" w:line="261" w:lineRule="auto"/>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our selling, general and administrative expenses increased by $3.0 million, or 13.3%, to $25.5 million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$22.5 million for the three months ended March 31, 2022 and 2021, respectively. This increase was incurred within certain international markets primarily as a result of an increase in brand positioning costs as well as expenses incurred during the three months ended March 31, 2022 that were reduced during the three months ended March 31, 2021 as a result of the impact of COVID-19.</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 w:right="179" w:hanging="224"/>
        <w:spacing w:after="0" w:line="266" w:lineRule="auto"/>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Selling, general and administrative expenses increased within our US Telecom segment by $16.3 million to $24.2 million from $7.9 million, for the three months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ended March 31, 2022 and 2021, respectively, primarily as a result of the Alaska Transaction, which generated $17.8 million of these costs during 2021 partially offset by a decrease in spending within our private network business.</w:t>
      </w:r>
    </w:p>
    <w:p>
      <w:pPr>
        <w:spacing w:after="0" w:line="117" w:lineRule="exact"/>
        <w:rPr>
          <w:rFonts w:ascii="Times New Roman" w:cs="Times New Roman" w:eastAsia="Times New Roman" w:hAnsi="Times New Roman"/>
          <w:sz w:val="12"/>
          <w:szCs w:val="12"/>
          <w:color w:val="auto"/>
        </w:rPr>
      </w:pPr>
    </w:p>
    <w:p>
      <w:pPr>
        <w:ind w:left="480" w:right="79" w:hanging="224"/>
        <w:spacing w:after="0" w:line="283" w:lineRule="auto"/>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Renewable Energy. </w:t>
      </w:r>
      <w:r>
        <w:rPr>
          <w:rFonts w:ascii="Times New Roman" w:cs="Times New Roman" w:eastAsia="Times New Roman" w:hAnsi="Times New Roman"/>
          <w:sz w:val="12"/>
          <w:szCs w:val="12"/>
          <w:color w:val="auto"/>
        </w:rPr>
        <w:t>During the three months ended March 31, 2021, our Renewable Energy segment incurred $0.4 million of selling, general and administrative expenses.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segment did not incur any selling, general and administrative expenses during the three months ended March 31, 2022 as a result of the Vibrant Transaction</w:t>
      </w:r>
    </w:p>
    <w:p>
      <w:pPr>
        <w:spacing w:after="0" w:line="106" w:lineRule="exact"/>
        <w:rPr>
          <w:rFonts w:ascii="Times New Roman" w:cs="Times New Roman" w:eastAsia="Times New Roman" w:hAnsi="Times New Roman"/>
          <w:sz w:val="12"/>
          <w:szCs w:val="12"/>
          <w:color w:val="auto"/>
        </w:rPr>
      </w:pPr>
    </w:p>
    <w:p>
      <w:pPr>
        <w:ind w:left="480" w:right="99" w:hanging="224"/>
        <w:spacing w:after="0" w:line="266" w:lineRule="auto"/>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Corporate Overhead. </w:t>
      </w:r>
      <w:r>
        <w:rPr>
          <w:rFonts w:ascii="Times New Roman" w:cs="Times New Roman" w:eastAsia="Times New Roman" w:hAnsi="Times New Roman"/>
          <w:sz w:val="12"/>
          <w:szCs w:val="12"/>
          <w:color w:val="auto"/>
        </w:rPr>
        <w:t>Selling, general and administrative expenses within our corporate overhead decreased by $0.3 million, or 4.3%, to $6.6 million from $6.9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March 31, 2022 and 2021, respectively, primarily related to reduced professional service expenses and integration costs associated with the completion of the Alaska Transaction that were incurred during 2021.</w:t>
      </w:r>
    </w:p>
    <w:p>
      <w:pPr>
        <w:spacing w:after="0" w:line="119"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Within both our International and US Telecom segments, we expect that selling, general and administrative expenses may increase if COVID-19 related travel restrictions continue to be lifted. We also expect an increase in 2022 in these costs as a result of expected costs associated with our recent funding award under the CARES Act and the impact of our performance during the construction phase of the FirstNet Transaction which is expected to be completed during early 2023. Our Corporate Overhead segment may also experience an increase in these expenses to support our expanding operations. In addition, we expect our selling, general, and administrative expenses may increase as a result of continued inflationary pressure, issues facing the global supply chain and geopolitical uncertainty.</w:t>
      </w:r>
    </w:p>
    <w:p>
      <w:pPr>
        <w:spacing w:after="0" w:line="121" w:lineRule="exact"/>
        <w:rPr>
          <w:sz w:val="20"/>
          <w:szCs w:val="20"/>
          <w:color w:val="auto"/>
        </w:rPr>
      </w:pPr>
    </w:p>
    <w:p>
      <w:pPr>
        <w:jc w:val="both"/>
        <w:ind w:left="20" w:right="1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Transaction-related charges. </w:t>
      </w:r>
      <w:r>
        <w:rPr>
          <w:rFonts w:ascii="Times New Roman" w:cs="Times New Roman" w:eastAsia="Times New Roman" w:hAnsi="Times New Roman"/>
          <w:sz w:val="12"/>
          <w:szCs w:val="12"/>
          <w:color w:val="auto"/>
        </w:rPr>
        <w:t>Transaction-related charges include the external costs, such as legal, tax, accounting and consulting fees directly associated with acquisition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disposition-related activities, which are expensed as incurred. Transaction-related charges do not include internal costs, such as employee salary and travel-related expenses, incurred in connection with acquisitions or dispositions or any integration-related costs.</w:t>
      </w:r>
    </w:p>
    <w:p>
      <w:pPr>
        <w:spacing w:after="0" w:line="118"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We incurred $0.6 million and $0.7 million of transaction-related charges during the three months ended March 31, 2022 and 2021, respectively. Transaction-related charges incurred during both 2022 and 2021 were primarily related to the Alaska Transaction.</w:t>
      </w:r>
    </w:p>
    <w:p>
      <w:pPr>
        <w:spacing w:after="0" w:line="107" w:lineRule="exact"/>
        <w:rPr>
          <w:sz w:val="20"/>
          <w:szCs w:val="20"/>
          <w:color w:val="auto"/>
        </w:rPr>
      </w:pPr>
    </w:p>
    <w:p>
      <w:pPr>
        <w:ind w:left="20" w:right="479" w:firstLine="46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represent the depreciation and amortization charges we record on our property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equipment.</w:t>
      </w:r>
    </w:p>
    <w:p>
      <w:pPr>
        <w:spacing w:after="0" w:line="107" w:lineRule="exact"/>
        <w:rPr>
          <w:sz w:val="20"/>
          <w:szCs w:val="20"/>
          <w:color w:val="auto"/>
        </w:rPr>
      </w:pPr>
    </w:p>
    <w:p>
      <w:pPr>
        <w:ind w:left="20" w:right="459"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expenses increased by $13.2 million, or 65.7%, to $33.3 million from $20.1 million for the three months ended March 31, 2022 and 2021, respectively. The net increase in depreciation and amortization expenses, within our segments, consisted primarily of the following:</w:t>
      </w:r>
    </w:p>
    <w:p>
      <w:pPr>
        <w:spacing w:after="0" w:line="109" w:lineRule="exact"/>
        <w:rPr>
          <w:sz w:val="20"/>
          <w:szCs w:val="20"/>
          <w:color w:val="auto"/>
        </w:rPr>
      </w:pPr>
    </w:p>
    <w:p>
      <w:pPr>
        <w:ind w:left="480" w:right="379" w:hanging="224"/>
        <w:spacing w:after="0" w:line="330" w:lineRule="auto"/>
        <w:tabs>
          <w:tab w:leader="none" w:pos="4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International Telecom</w:t>
      </w:r>
      <w:r>
        <w:rPr>
          <w:rFonts w:ascii="Times New Roman" w:cs="Times New Roman" w:eastAsia="Times New Roman" w:hAnsi="Times New Roman"/>
          <w:sz w:val="11"/>
          <w:szCs w:val="11"/>
          <w:color w:val="auto"/>
        </w:rPr>
        <w:t>. Depreciation and amortization expenses increased within our International Telecom segment by $0.5 million, or 3.7%, to $13.9 million from $13.4</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million, for the three months ended March 31, 2022 and 2021, respectively. This increase was a result of recent upgrades and expansions to this segment’s network.</w:t>
      </w:r>
    </w:p>
    <w:p>
      <w:pPr>
        <w:spacing w:after="0" w:line="84" w:lineRule="exact"/>
        <w:rPr>
          <w:rFonts w:ascii="Times New Roman" w:cs="Times New Roman" w:eastAsia="Times New Roman" w:hAnsi="Times New Roman"/>
          <w:sz w:val="11"/>
          <w:szCs w:val="11"/>
          <w:color w:val="auto"/>
        </w:rPr>
      </w:pPr>
    </w:p>
    <w:p>
      <w:pPr>
        <w:ind w:left="480" w:right="79" w:hanging="224"/>
        <w:spacing w:after="0" w:line="283" w:lineRule="auto"/>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Depreciation and amortization expenses increased within our US Telecom segment by $13.2 million to $18.4 million from $5.2 million, for the three months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March 31, 2022 and 2021, respectively, primarily as a result of the Alaska Transaction.</w:t>
      </w:r>
    </w:p>
    <w:p>
      <w:pPr>
        <w:spacing w:after="0" w:line="106" w:lineRule="exact"/>
        <w:rPr>
          <w:rFonts w:ascii="Times New Roman" w:cs="Times New Roman" w:eastAsia="Times New Roman" w:hAnsi="Times New Roman"/>
          <w:sz w:val="12"/>
          <w:szCs w:val="12"/>
          <w:color w:val="auto"/>
        </w:rPr>
      </w:pPr>
    </w:p>
    <w:p>
      <w:pPr>
        <w:ind w:left="480" w:right="359" w:hanging="224"/>
        <w:spacing w:after="0" w:line="283" w:lineRule="auto"/>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Renewable Energy</w:t>
      </w:r>
      <w:r>
        <w:rPr>
          <w:rFonts w:ascii="Times New Roman" w:cs="Times New Roman" w:eastAsia="Times New Roman" w:hAnsi="Times New Roman"/>
          <w:sz w:val="12"/>
          <w:szCs w:val="12"/>
          <w:color w:val="auto"/>
        </w:rPr>
        <w:t>. Our Renewable Energy segment incurred $0.2 million of depreciation and amortization expenses during the three months ended March 31, 2021.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segment did not incur depreciation and amortization expenses during the three months ended March 31, 2022 as a result of the Vibrant Transaction.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 w:right="259" w:hanging="224"/>
        <w:spacing w:after="0" w:line="283"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Corporate Overhead</w:t>
      </w:r>
      <w:r>
        <w:rPr>
          <w:rFonts w:ascii="Times New Roman" w:cs="Times New Roman" w:eastAsia="Times New Roman" w:hAnsi="Times New Roman"/>
          <w:sz w:val="12"/>
          <w:szCs w:val="12"/>
          <w:color w:val="auto"/>
        </w:rPr>
        <w:t>. Depreciation and amortization expenses decreased within our corporate overhead by $0.3 million, or 23.1%, to $1.0 million from $1.3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March 31, 2022 and 2021, respectively, primarily as a result of certain assets becoming fully depreciated in recent periods.</w:t>
      </w:r>
    </w:p>
    <w:p>
      <w:pPr>
        <w:spacing w:after="0" w:line="108"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expect depreciation and amortization expense to increase within all of our segments as we acquire tangible assets to expand or upgrade our telecommunications networks.</w:t>
      </w:r>
    </w:p>
    <w:p>
      <w:pPr>
        <w:spacing w:after="0" w:line="146"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include the amortization of customer relationships and trade names related to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completed acquisitions.</w:t>
      </w:r>
    </w:p>
    <w:p>
      <w:pPr>
        <w:spacing w:after="0" w:line="107"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Amortization of intangibles from acquisitions increased by $2.9 million to $3.3 million from $0.4 million for the three months ended March 31, 2022 and 2021, respectively, as a result of the Alaska Transaction.</w:t>
      </w:r>
    </w:p>
    <w:p>
      <w:pPr>
        <w:spacing w:after="0" w:line="107" w:lineRule="exact"/>
        <w:rPr>
          <w:sz w:val="20"/>
          <w:szCs w:val="20"/>
          <w:color w:val="auto"/>
        </w:rPr>
      </w:pPr>
    </w:p>
    <w:p>
      <w:pPr>
        <w:ind w:left="20" w:right="3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Loss on disposition of long-lived assets</w:t>
      </w:r>
      <w:r>
        <w:rPr>
          <w:rFonts w:ascii="Times New Roman" w:cs="Times New Roman" w:eastAsia="Times New Roman" w:hAnsi="Times New Roman"/>
          <w:sz w:val="12"/>
          <w:szCs w:val="12"/>
          <w:color w:val="auto"/>
        </w:rPr>
        <w:t>. During the three months ended March 31, 2022, we recorded a loss on the disposition of long-lived assets of $3.4 million.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$2.4 million was incurred in our US Telecom segment relating to the disposal of certain assets while $1.0 million was incurred in our International Telecom segment as a result of the modification of agreements for the use of other certain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During the three months ended March 31, 2021, we recorded a loss on the disposition of long-lived assets of $0.1 million, primarily related to the Vibrant Transaction.</w:t>
      </w:r>
    </w:p>
    <w:p>
      <w:pPr>
        <w:spacing w:after="0" w:line="146" w:lineRule="exact"/>
        <w:rPr>
          <w:sz w:val="20"/>
          <w:szCs w:val="20"/>
          <w:color w:val="auto"/>
        </w:rPr>
      </w:pPr>
    </w:p>
    <w:p>
      <w:pPr>
        <w:ind w:left="20" w:right="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2"/>
          <w:szCs w:val="12"/>
          <w:color w:val="auto"/>
        </w:rPr>
        <w:t>Interest income represents interest earned on our cash, cash equivalents, restricted cash and short-term investment balances and were nominal amounts during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both the three months ended March 31, 2022 and 2021.</w:t>
      </w:r>
    </w:p>
    <w:p>
      <w:pPr>
        <w:spacing w:after="0" w:line="103" w:lineRule="exact"/>
        <w:rPr>
          <w:sz w:val="20"/>
          <w:szCs w:val="20"/>
          <w:color w:val="auto"/>
        </w:rPr>
      </w:pPr>
    </w:p>
    <w:p>
      <w:pPr>
        <w:jc w:val="both"/>
        <w:ind w:left="20" w:right="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2"/>
          <w:szCs w:val="12"/>
          <w:color w:val="auto"/>
        </w:rPr>
        <w:t>We incur interest expense on the 2019 CoBank Credit Facility, the Alaska Credit Facility, the Viya Debt, the One Communications Debt and the Receivables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Credit Facility (each as defined below). Interest expense also includes commitment fees, letter of credit fees and the amortization of debt issuance costs.</w:t>
      </w:r>
    </w:p>
    <w:p>
      <w:pPr>
        <w:spacing w:after="0" w:line="10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Interest expense increased to $3.4 million from $1.1 million for the three months ended March 31, 2022 and 2021, respectively, as additional interest expense was incurred as a result of an increase in interest rates and for new borrowings under the 2019 CoBank Credit Facility, the Alaska Credit Facility and the Receivables Credit Facility.</w:t>
      </w:r>
    </w:p>
    <w:p>
      <w:pPr>
        <w:spacing w:after="0" w:line="11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expect that interest expense will increase in future periods as a result of an expected increase in both interest rates and borrowings under the 2019 CoBank Credit Facility and the Receivables Credit Facility.</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Other income (expenses).  </w:t>
      </w:r>
      <w:r>
        <w:rPr>
          <w:rFonts w:ascii="Times New Roman" w:cs="Times New Roman" w:eastAsia="Times New Roman" w:hAnsi="Times New Roman"/>
          <w:sz w:val="12"/>
          <w:szCs w:val="12"/>
          <w:color w:val="auto"/>
        </w:rPr>
        <w:t>Other income (expenses) represents miscellaneous non-operational income earned and expenses incurred.</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the three months ended March 31, 2022, other income (expenses) was $4.8 million of income primarily related to gains from our non-controlling investments.</w:t>
      </w:r>
    </w:p>
    <w:p>
      <w:pPr>
        <w:spacing w:after="0" w:line="150"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2021, other income (expense) was income of $2.4 million which was primarily related to gains from our non-controlling investments partially offset by a net loss on foreign currency transactions.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Our effective tax rate for the three months ended March 31, 2022 and 2021 was 296.7% and 6.5%, respectively.</w:t>
      </w:r>
    </w:p>
    <w:p>
      <w:pPr>
        <w:spacing w:after="0" w:line="154" w:lineRule="exact"/>
        <w:rPr>
          <w:sz w:val="20"/>
          <w:szCs w:val="20"/>
          <w:color w:val="auto"/>
        </w:rPr>
      </w:pPr>
    </w:p>
    <w:p>
      <w:pPr>
        <w:jc w:val="both"/>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We recorded an income tax provision of $3.0 million in relation to income before taxes of $1.0 million for the three months ended March 31, 2022. The effective tax rate for the three months ended March 31, 2022 was primarily impacted by the following items: (i) a $0.5 million net increase of unrecognized tax positions recognized discretely, (ii) a $2.1 million net expense recognized discretely to record a valuation allowance on certain deferred tax assets that are not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expected to be realizable based on the weight of positive and negative evidence, and (iii) the mix of income generated among the jurisdictions in which we operate.</w:t>
      </w:r>
    </w:p>
    <w:p>
      <w:pPr>
        <w:spacing w:after="0" w:line="150"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The effective tax rate for the three months ended March 31, 2021 was primarily impacted by the following items: (i) the mix of income generated among the jurisdictions in which we operate and (ii) a discrete expense of $0.5 million for interest on unrecognized tax positions.</w:t>
      </w:r>
    </w:p>
    <w:p>
      <w:pPr>
        <w:spacing w:after="0" w:line="111"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121" w:lineRule="exact"/>
        <w:rPr>
          <w:sz w:val="20"/>
          <w:szCs w:val="20"/>
          <w:color w:val="auto"/>
        </w:rPr>
      </w:pPr>
    </w:p>
    <w:p>
      <w:pPr>
        <w:jc w:val="both"/>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Net income attributable to noncontrolling interests, net of tax. </w:t>
      </w:r>
      <w:r>
        <w:rPr>
          <w:rFonts w:ascii="Times New Roman" w:cs="Times New Roman" w:eastAsia="Times New Roman" w:hAnsi="Times New Roman"/>
          <w:sz w:val="12"/>
          <w:szCs w:val="12"/>
          <w:color w:val="auto"/>
        </w:rPr>
        <w:t>Net income attributable to noncontrolling interests, net of tax reflected an allocation of $1.0 million of losses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$1.6 million of income generated by our less than wholly owned subsidiaries for the three months ended March 31, 2022 and 2021, respectively. Changes in net income attributable to noncontrolling interests, net of tax, within our segments, consisted of the following:</w:t>
      </w:r>
    </w:p>
    <w:p>
      <w:pPr>
        <w:spacing w:after="0" w:line="116" w:lineRule="exact"/>
        <w:rPr>
          <w:sz w:val="20"/>
          <w:szCs w:val="20"/>
          <w:color w:val="auto"/>
        </w:rPr>
      </w:pPr>
    </w:p>
    <w:p>
      <w:pPr>
        <w:ind w:left="480" w:right="259" w:hanging="224"/>
        <w:spacing w:after="0" w:line="266"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Net income attributable to noncontrolling interests, net of tax decreased by $0.2 million, or 11.8%, to an allocation of $1.5 million of income from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allocation of $1.7 million of income for the three months ended March 31, 2022 and 2021, respectively, primarily as a result of an increase in our ownership in profitable subsidiaries.</w:t>
      </w:r>
    </w:p>
    <w:p>
      <w:pPr>
        <w:spacing w:after="0" w:line="117" w:lineRule="exact"/>
        <w:rPr>
          <w:rFonts w:ascii="Times New Roman" w:cs="Times New Roman" w:eastAsia="Times New Roman" w:hAnsi="Times New Roman"/>
          <w:sz w:val="12"/>
          <w:szCs w:val="12"/>
          <w:color w:val="auto"/>
        </w:rPr>
      </w:pPr>
    </w:p>
    <w:p>
      <w:pPr>
        <w:ind w:left="480" w:right="99" w:hanging="224"/>
        <w:spacing w:after="0" w:line="266"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Net income attributable to noncontrolling interests, net of tax decreased by $3.2 million to an allocation of losses of $2.5 million from an allocation of income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$0.7 million for the three months ended March 31, 2022 and 2021, respectively, as a result of the Alaska Transaction and reduced profitability in certain less than wholly owned subsidiaries within our US Mobility operations.</w:t>
      </w:r>
    </w:p>
    <w:p>
      <w:pPr>
        <w:spacing w:after="0" w:line="115" w:lineRule="exact"/>
        <w:rPr>
          <w:sz w:val="20"/>
          <w:szCs w:val="20"/>
          <w:color w:val="auto"/>
        </w:rPr>
      </w:pPr>
    </w:p>
    <w:p>
      <w:pPr>
        <w:ind w:left="20" w:right="1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Net income (loss) attributable to ATN International, Inc. stockholders. </w:t>
      </w:r>
      <w:r>
        <w:rPr>
          <w:rFonts w:ascii="Times New Roman" w:cs="Times New Roman" w:eastAsia="Times New Roman" w:hAnsi="Times New Roman"/>
          <w:sz w:val="12"/>
          <w:szCs w:val="12"/>
          <w:color w:val="auto"/>
        </w:rPr>
        <w:t>Net income (loss) attributable to ATN International, Inc. stockholders was a loss of $0.9 million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three months ended March 31, 2022 as compared to income of $2.7 million for the three months ended March 31, 2021.</w:t>
      </w:r>
    </w:p>
    <w:p>
      <w:pPr>
        <w:spacing w:after="0" w:line="10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On a per diluted share basis, net income (loss) was a loss of $0.13 per diluted share for the three months ended March 31, 2022 (which includes the impact of accrued preferred dividends of $1.1 million) as compared to income of $0.17 per diluted share for the three months ended March 31,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Regulatory and Tax Issues</w:t>
      </w:r>
    </w:p>
    <w:p>
      <w:pPr>
        <w:spacing w:after="0" w:line="154"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We are involved in a number of regulatory and tax proceedings. A material and adverse outcome in one or more of these proceedings could have a material adverse impact on our financial condition and future operations. For a discussion of ongoing proceedings, see Note 14 to the Consolidated Financial Statements in this Report.</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Tax Reform</w:t>
      </w:r>
    </w:p>
    <w:p>
      <w:pPr>
        <w:spacing w:after="0" w:line="154" w:lineRule="exact"/>
        <w:rPr>
          <w:sz w:val="20"/>
          <w:szCs w:val="20"/>
          <w:color w:val="auto"/>
        </w:rPr>
      </w:pPr>
    </w:p>
    <w:p>
      <w:pPr>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The Tax Cuts and Jobs Act of 2017 (the “Tax Act”), which was signed into law on December 22, 2017, has resulted in significant changes to the US corporate income tax system and the US Virgin Islands mirror code which replaces “United States” with “US Virgin Islands” throughout the Internal Revenue Code. The Tax Act transitions international taxation from a worldwide system to a modified territorial system and includes two base erosion prevention measures on non-US earnings, which has the effect of subjecting certain earnings of our foreign subsidiaries to US taxation as global intangible low taxed income (“GILTI”), eliminates the deduction of certain payments made to related foreign corporations, and imposes a minimum tax if greater than regular tax under the base-erosion and anti-abuse tax (“BEAT”). These changes became effective beginning in 2018 but did not have an impact on us in the initial or following years. Based on our forecasted income for 2022, we are not currently projecting a GILTI inclusion. We do not expect we will be subject to BEAT and therefore have not included any tax impacts of BEAT in our consolidated financial statements for the quarter ended March 31, 2022.</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72" w:lineRule="exact"/>
        <w:rPr>
          <w:sz w:val="20"/>
          <w:szCs w:val="20"/>
          <w:color w:val="auto"/>
        </w:rPr>
      </w:pPr>
    </w:p>
    <w:p>
      <w:pPr>
        <w:ind w:left="20" w:right="1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Total liquidity. </w:t>
      </w:r>
      <w:r>
        <w:rPr>
          <w:rFonts w:ascii="Times New Roman" w:cs="Times New Roman" w:eastAsia="Times New Roman" w:hAnsi="Times New Roman"/>
          <w:sz w:val="12"/>
          <w:szCs w:val="12"/>
          <w:color w:val="auto"/>
        </w:rPr>
        <w:t>As of March 31, 2022, we had approximately $77.1 million in cash, cash equivalents, restricted cash and short-term investments. Of this amount, $32.3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was held by our foreign subsidiaries and is indefinitely invested outside the United States. In addition, we had approximately $394.0 million of debt, net of unamortized deferred financing costs, as of March 31, 2022. How and when we deploy our balance sheet capacity will figure prominently in our longer-term growth prospects and stockholder returns.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Uses of Cash</w:t>
      </w:r>
    </w:p>
    <w:p>
      <w:pPr>
        <w:spacing w:after="0" w:line="152" w:lineRule="exact"/>
        <w:rPr>
          <w:sz w:val="20"/>
          <w:szCs w:val="20"/>
          <w:color w:val="auto"/>
        </w:rPr>
      </w:pPr>
    </w:p>
    <w:p>
      <w:pPr>
        <w:ind w:left="20" w:right="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Acquisitions and investments. </w:t>
      </w:r>
      <w:r>
        <w:rPr>
          <w:rFonts w:ascii="Times New Roman" w:cs="Times New Roman" w:eastAsia="Times New Roman" w:hAnsi="Times New Roman"/>
          <w:sz w:val="12"/>
          <w:szCs w:val="12"/>
          <w:color w:val="auto"/>
        </w:rPr>
        <w:t>We have historically funded our acquisitions with a combination of cash-on-hand, borrowings under our credit facilities as well as equity investor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seller financings.</w:t>
      </w:r>
    </w:p>
    <w:p>
      <w:pPr>
        <w:spacing w:after="0" w:line="62" w:lineRule="exact"/>
        <w:rPr>
          <w:sz w:val="20"/>
          <w:szCs w:val="20"/>
          <w:color w:val="auto"/>
        </w:rPr>
      </w:pPr>
    </w:p>
    <w:p>
      <w:pPr>
        <w:ind w:left="20" w:right="4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Alaska Transaction. </w:t>
      </w:r>
      <w:r>
        <w:rPr>
          <w:rFonts w:ascii="Times New Roman" w:cs="Times New Roman" w:eastAsia="Times New Roman" w:hAnsi="Times New Roman"/>
          <w:sz w:val="12"/>
          <w:szCs w:val="12"/>
          <w:color w:val="auto"/>
        </w:rPr>
        <w:t>On July 22, 2021, Alaska Communications entered into a new debt financing in connection with the Alaska Transaction. See</w:t>
      </w:r>
      <w:r>
        <w:rPr>
          <w:rFonts w:ascii="Times New Roman" w:cs="Times New Roman" w:eastAsia="Times New Roman" w:hAnsi="Times New Roman"/>
          <w:sz w:val="12"/>
          <w:szCs w:val="12"/>
          <w:i w:val="1"/>
          <w:iCs w:val="1"/>
          <w:color w:val="auto"/>
        </w:rPr>
        <w:t xml:space="preserve"> Acquisition of Alaska Communications System Group, Inc.</w:t>
      </w:r>
    </w:p>
    <w:p>
      <w:pPr>
        <w:spacing w:after="0" w:line="55" w:lineRule="exact"/>
        <w:rPr>
          <w:sz w:val="20"/>
          <w:szCs w:val="20"/>
          <w:color w:val="auto"/>
        </w:rPr>
      </w:pPr>
    </w:p>
    <w:p>
      <w:pPr>
        <w:jc w:val="both"/>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We continue to explore opportunities to expand our telecommunications business or acquire new businesses and telecommunications licenses in the United States, the Caribbean and elsewhere. Such acquisitions may require external financing. While there can be no assurance as to whether, when or on what terms we will be able to acquire any such businesses or licenses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75" w:lineRule="exact"/>
        <w:rPr>
          <w:sz w:val="20"/>
          <w:szCs w:val="20"/>
          <w:color w:val="auto"/>
        </w:rPr>
      </w:pPr>
    </w:p>
    <w:p>
      <w:pPr>
        <w:ind w:left="20" w:right="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Cash used in investing activities. </w:t>
      </w:r>
      <w:r>
        <w:rPr>
          <w:rFonts w:ascii="Times New Roman" w:cs="Times New Roman" w:eastAsia="Times New Roman" w:hAnsi="Times New Roman"/>
          <w:sz w:val="12"/>
          <w:szCs w:val="12"/>
          <w:color w:val="auto"/>
        </w:rPr>
        <w:t>Cash used in investing activities was $34.5 million and $7.9 million for the three months ended March 31, 2022 and 2021, respectively.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three months ended March 31, 2022, the entire $34.5 million of cash used in investing activities related to capital expenditures. For the three months ended March 31, 2021, we used $25.7 million and $4.2 million for capital expenditures and strategic investments, respectively. Partially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9"/>
        <w:spacing w:after="0" w:line="279" w:lineRule="auto"/>
        <w:rPr>
          <w:sz w:val="20"/>
          <w:szCs w:val="20"/>
          <w:color w:val="auto"/>
        </w:rPr>
      </w:pPr>
      <w:r>
        <w:rPr>
          <w:rFonts w:ascii="Times New Roman" w:cs="Times New Roman" w:eastAsia="Times New Roman" w:hAnsi="Times New Roman"/>
          <w:sz w:val="12"/>
          <w:szCs w:val="12"/>
          <w:color w:val="auto"/>
        </w:rPr>
        <w:t>offsetting the 2021 expenditures were cash receipts of $18.6 million and $3.3 million for the receipt of the proceeds from the Vibrant Transaction and from government grants, respectively.</w:t>
      </w:r>
    </w:p>
    <w:p>
      <w:pPr>
        <w:spacing w:after="0" w:line="109" w:lineRule="exact"/>
        <w:rPr>
          <w:sz w:val="20"/>
          <w:szCs w:val="20"/>
          <w:color w:val="auto"/>
        </w:rPr>
      </w:pPr>
    </w:p>
    <w:p>
      <w:pPr>
        <w:ind w:left="20" w:right="79" w:firstLine="46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Cash provided by (used in) financing activities. </w:t>
      </w:r>
      <w:r>
        <w:rPr>
          <w:rFonts w:ascii="Times New Roman" w:cs="Times New Roman" w:eastAsia="Times New Roman" w:hAnsi="Times New Roman"/>
          <w:sz w:val="12"/>
          <w:szCs w:val="12"/>
          <w:color w:val="auto"/>
        </w:rPr>
        <w:t>Net cash provided by financing activities relating to the Alaska Transaction and FirstNet Agreement was an aggregate of $18.0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and $10.8 million during the three months ended March 31, 2022 and 2021, respectively. During the three months ended March 31, 2022, we received $11.0 million in net borrowings (net of $13.0 million of repayments of those borrowings) under the Alaska Credit Facility and, relating to the construction phase of the FirstNet Agreement, we borrowed a net $7.0 million (net of $1.0 million of repayments of those borrowings). During the three months ended March 31, 2021 we borrowed $10.8 million under the FirstNet Receivables Credit Facility.</w:t>
      </w:r>
    </w:p>
    <w:p>
      <w:pPr>
        <w:spacing w:after="0" w:line="124"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Excluding the impact of the Alaska Transaction and FirstNet Agreement, we were provided with $1.2 million of cash and used $20.9 million of cash relating to financing activities for the three months ended March 31, 2022 and 2021, respectively. This $22.1 million change was the result of an increase of $12.5 million in borrowings under the 2019 CoBank Credit Facility during 2022 as well as reductions in our payments to acquire noncontrolling interests in our less than wholly owned subsidiaries and distributions to those noncontrolling interests of $9.0 million and $3.3 million, respectively. Offsetting those decreases in expenditures were increases in expenditures of $2.8 million for the repayment of long-term debt.</w:t>
      </w:r>
    </w:p>
    <w:p>
      <w:pPr>
        <w:spacing w:after="0" w:line="123" w:lineRule="exact"/>
        <w:rPr>
          <w:sz w:val="20"/>
          <w:szCs w:val="20"/>
          <w:color w:val="auto"/>
        </w:rPr>
      </w:pPr>
    </w:p>
    <w:p>
      <w:pPr>
        <w:jc w:val="both"/>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Working Capital. </w:t>
      </w:r>
      <w:r>
        <w:rPr>
          <w:rFonts w:ascii="Times New Roman" w:cs="Times New Roman" w:eastAsia="Times New Roman" w:hAnsi="Times New Roman"/>
          <w:sz w:val="12"/>
          <w:szCs w:val="12"/>
          <w:color w:val="auto"/>
        </w:rPr>
        <w:t>Historically, we have internally funded our working capital needs. Pursuant to the FirstNet Agreement, AT&amp;T has the option to repay construction costs,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over an eight-year period. To fund the working capital needs created by AT&amp;T’s option to extend its payment terms, we completed the Receivables Credit Facility, as discussed below, on March 26, 2020.</w:t>
      </w:r>
    </w:p>
    <w:p>
      <w:pPr>
        <w:spacing w:after="0" w:line="117" w:lineRule="exact"/>
        <w:rPr>
          <w:sz w:val="20"/>
          <w:szCs w:val="20"/>
          <w:color w:val="auto"/>
        </w:rPr>
      </w:pPr>
    </w:p>
    <w:p>
      <w:pPr>
        <w:ind w:left="20" w:right="2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Capital expenditures. </w:t>
      </w:r>
      <w:r>
        <w:rPr>
          <w:rFonts w:ascii="Times New Roman" w:cs="Times New Roman" w:eastAsia="Times New Roman" w:hAnsi="Times New Roman"/>
          <w:sz w:val="12"/>
          <w:szCs w:val="12"/>
          <w:color w:val="auto"/>
        </w:rPr>
        <w:t>Historically, a significant use of our cash has been for capital expenditures to expand and upgrade our telecommunications networks and to expand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previously owned renewable energy operations.</w:t>
      </w:r>
    </w:p>
    <w:p>
      <w:pPr>
        <w:spacing w:after="0" w:line="37" w:lineRule="exact"/>
        <w:rPr>
          <w:sz w:val="20"/>
          <w:szCs w:val="20"/>
          <w:color w:val="auto"/>
        </w:rPr>
      </w:pPr>
    </w:p>
    <w:p>
      <w:pPr>
        <w:ind w:left="20" w:right="159" w:firstLine="432"/>
        <w:spacing w:after="0" w:line="256" w:lineRule="auto"/>
        <w:rPr>
          <w:sz w:val="20"/>
          <w:szCs w:val="20"/>
          <w:color w:val="auto"/>
        </w:rPr>
      </w:pPr>
      <w:r>
        <w:rPr>
          <w:rFonts w:ascii="Times New Roman" w:cs="Times New Roman" w:eastAsia="Times New Roman" w:hAnsi="Times New Roman"/>
          <w:sz w:val="12"/>
          <w:szCs w:val="12"/>
          <w:color w:val="auto"/>
        </w:rPr>
        <w:t>For the three months ended March 31, 2022 and 2021, we spent approximately $34.5 million and $25.7 million, respectively, on capital expenditures relating to our telecommunications networks and our business support systems of which $0.2 million and $6.2 million, respectively, are reimbursable. The following notes our capital expenditures, by operating segment, for these periods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0"/>
                <w:szCs w:val="10"/>
                <w:b w:val="1"/>
                <w:bCs w:val="1"/>
                <w:color w:val="auto"/>
                <w:w w:val="94"/>
              </w:rPr>
              <w:t>Capital Expenditures</w:t>
            </w:r>
          </w:p>
        </w:tc>
        <w:tc>
          <w:tcPr>
            <w:tcW w:w="9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380" w:type="dxa"/>
            <w:vAlign w:val="bottom"/>
          </w:tcPr>
          <w:p>
            <w:pPr>
              <w:spacing w:after="0"/>
              <w:rPr>
                <w:sz w:val="20"/>
                <w:szCs w:val="20"/>
                <w:color w:val="auto"/>
              </w:rPr>
            </w:pPr>
          </w:p>
        </w:tc>
        <w:tc>
          <w:tcPr>
            <w:tcW w:w="10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14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2022</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15,170</w:t>
            </w: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rPr>
              <w:t>19,095</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106"/>
              <w:spacing w:after="0" w:line="133" w:lineRule="exact"/>
              <w:rPr>
                <w:sz w:val="20"/>
                <w:szCs w:val="20"/>
                <w:color w:val="auto"/>
              </w:rPr>
            </w:pPr>
            <w:r>
              <w:rPr>
                <w:rFonts w:ascii="Times New Roman" w:cs="Times New Roman" w:eastAsia="Times New Roman" w:hAnsi="Times New Roman"/>
                <w:sz w:val="12"/>
                <w:szCs w:val="12"/>
                <w:color w:val="auto"/>
              </w:rPr>
              <w:t>203</w:t>
            </w:r>
          </w:p>
        </w:tc>
        <w:tc>
          <w:tcPr>
            <w:tcW w:w="38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34,468</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10,506</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14,939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2"/>
                <w:szCs w:val="12"/>
                <w:color w:val="auto"/>
              </w:rPr>
              <w:t>235</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25,680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50"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are continuing to invest in our telecommunication networks along with our operating and business support systems in many of our markets. Such investments primarily relate to the upgrade and expansion of both our Mobility and Fixed telecommunications networks as well as our service delivery platforms. For 2022, we expect capital expenditures to be approximately $150 million to $160 million, net of reimbursable amounts.</w:t>
      </w:r>
    </w:p>
    <w:p>
      <w:pPr>
        <w:spacing w:after="0" w:line="119"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We expect to fund our current capital expenditures primarily from our current cash balances, cash generated from operations and our existing credit facilities including the Receivables Credit Facility.</w:t>
      </w:r>
    </w:p>
    <w:p>
      <w:pPr>
        <w:spacing w:after="0" w:line="109"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Income taxes. </w:t>
      </w:r>
      <w:r>
        <w:rPr>
          <w:rFonts w:ascii="Times New Roman" w:cs="Times New Roman" w:eastAsia="Times New Roman" w:hAnsi="Times New Roman"/>
          <w:sz w:val="12"/>
          <w:szCs w:val="12"/>
          <w:color w:val="auto"/>
        </w:rPr>
        <w:t>We have historically used cash-on-hand to make payments for income taxes. Our policy is to allocate capital where we believe we will get the best returns and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date has been to indefinitely reinvest the undistributed earnings of our foreign subsidiaries. As we continue to reinvest our remaining foreign earnings, no additional provision for income taxes has been made on accumulated earnings of foreign subsidiaries.</w:t>
      </w:r>
    </w:p>
    <w:p>
      <w:pPr>
        <w:spacing w:after="0" w:line="117" w:lineRule="exact"/>
        <w:rPr>
          <w:sz w:val="20"/>
          <w:szCs w:val="20"/>
          <w:color w:val="auto"/>
        </w:rPr>
      </w:pPr>
    </w:p>
    <w:p>
      <w:pPr>
        <w:ind w:left="20" w:right="2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We use cash-on-hand to make dividend payments to our stockholders when declared by our Board of Directors. For the three months ended March 31, 2022,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Board of Directors declared $2.7 million of dividends to</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our stockholders which includes a $0.17 per share dividend declared on March 28, 2022 and paid on April 15, 2022. We have declared quarterly dividends since the fourth quarter of 1998.</w:t>
      </w:r>
    </w:p>
    <w:p>
      <w:pPr>
        <w:spacing w:after="0" w:line="64" w:lineRule="exact"/>
        <w:rPr>
          <w:sz w:val="20"/>
          <w:szCs w:val="20"/>
          <w:color w:val="auto"/>
        </w:rPr>
      </w:pPr>
    </w:p>
    <w:p>
      <w:pPr>
        <w:ind w:left="20" w:right="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Stock Repurchase Plan. </w:t>
      </w:r>
      <w:r>
        <w:rPr>
          <w:rFonts w:ascii="Times New Roman" w:cs="Times New Roman" w:eastAsia="Times New Roman" w:hAnsi="Times New Roman"/>
          <w:sz w:val="12"/>
          <w:szCs w:val="12"/>
          <w:color w:val="auto"/>
        </w:rPr>
        <w:t>On September 19, 2016, our Board of Directors authorized the repurchase of up to $50.0 million of our common stock from time to time on the open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or in privately negotiated transactions (the “2016 Repurchase Plan”). We repurchased $0.9 million and $0.5 million of our common stock under the 2016 Repurchase Plan during the three months ended March 31, 2022 and 2021, respectively. As of March 31, 2022, we had $19.5 million authorized and available for share repurchases under the 2016 Repurchase Plan.</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Sources of Cash</w:t>
      </w:r>
    </w:p>
    <w:p>
      <w:pPr>
        <w:spacing w:after="0" w:line="152" w:lineRule="exact"/>
        <w:rPr>
          <w:sz w:val="20"/>
          <w:szCs w:val="20"/>
          <w:color w:val="auto"/>
        </w:rPr>
      </w:pPr>
    </w:p>
    <w:p>
      <w:pPr>
        <w:ind w:left="20" w:right="5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Cash provided by operations. </w:t>
      </w:r>
      <w:r>
        <w:rPr>
          <w:rFonts w:ascii="Times New Roman" w:cs="Times New Roman" w:eastAsia="Times New Roman" w:hAnsi="Times New Roman"/>
          <w:sz w:val="12"/>
          <w:szCs w:val="12"/>
          <w:color w:val="auto"/>
        </w:rPr>
        <w:t>Cash provided by operating activities was $11.4 million for the three months ended March 31, 2022 as compared to $5.3 million for the three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months ended March 31, 2021. The increase of $6.1 million was primarily related to an increase in operating income (excluding a $16.0 million increase in depreciation and amortization expenses and a $3.3 million increase in losses on the disposal of assets) of $16.1 million. Partially offsetting this increase was the greater usage of cash as part of the decline in accrued expenses within our US Telecom segment.</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CoBank Credit Facility</w:t>
      </w:r>
    </w:p>
    <w:p>
      <w:pPr>
        <w:spacing w:after="0" w:line="154"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On April 10, 2019, we entered into a credit facility, with CoBank, ACB and a syndicate of other lenders (the “2019 CoBank Credit Facility”). The 2019 CoBank Credit Facility provides for a $200 million revolving credit facility that includes (i) up to $75 million for standby or trade letters of credit and (ii) up to $10 million under a swingline sub-facility. Approximately $18.0 million of performance letters of credit have been issued and remain outstanding and undrawn as of March 31, 2022. The 2019 CoBank Credit Facility matures on April 10, 2024.</w:t>
      </w:r>
    </w:p>
    <w:p>
      <w:pPr>
        <w:spacing w:after="0" w:line="122"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Amounts borrowed under the 2019 CoBank Credit Facility bear interest at a rate equal to, at our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we must also pay a fee ranging from 0.150% to 0.375% of the average daily unused portion of the 2019 CoBank Credit Facility over each calendar quarter.</w:t>
      </w:r>
    </w:p>
    <w:p>
      <w:pPr>
        <w:spacing w:after="0" w:line="125" w:lineRule="exact"/>
        <w:rPr>
          <w:sz w:val="20"/>
          <w:szCs w:val="20"/>
          <w:color w:val="auto"/>
        </w:rPr>
      </w:pPr>
    </w:p>
    <w:p>
      <w:pPr>
        <w:ind w:left="20" w:right="39" w:firstLine="460"/>
        <w:spacing w:after="0" w:line="257" w:lineRule="auto"/>
        <w:rPr>
          <w:sz w:val="20"/>
          <w:szCs w:val="20"/>
          <w:color w:val="auto"/>
        </w:rPr>
      </w:pPr>
      <w:r>
        <w:rPr>
          <w:rFonts w:ascii="Times New Roman" w:cs="Times New Roman" w:eastAsia="Times New Roman" w:hAnsi="Times New Roman"/>
          <w:sz w:val="12"/>
          <w:szCs w:val="12"/>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Our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125"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2019 CoBank Credit Facility also provides for the incurrence by us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119"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As of March 31, 2022, we were in compliance with all of the financial covenants, had $71.5 million outstanding in borrowings and, net of the $18.0 million of outstanding performance letters of credit, had $110.5 million of availability under the 2019 CoBank Credit Facility.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Credit Facility</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 As of March 31, 2022, $210.0 million was outstanding under the Alaska Term Loan and $13.0 million was outstanding under the Alaska Revolving Facility. Both facilities mature on July 22, 2026.</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We capitalized $6.6 million of fees associated with the Alaska Credit Facility which are being amortized over the life of the debt and $5.6 million were unamortized at March 31,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2022.</w:t>
      </w:r>
    </w:p>
    <w:p>
      <w:pPr>
        <w:spacing w:after="0" w:line="157" w:lineRule="exact"/>
        <w:rPr>
          <w:sz w:val="20"/>
          <w:szCs w:val="20"/>
          <w:color w:val="auto"/>
        </w:rPr>
      </w:pPr>
    </w:p>
    <w:p>
      <w:pPr>
        <w:ind w:left="20" w:right="639" w:firstLine="432"/>
        <w:spacing w:after="0" w:line="279" w:lineRule="auto"/>
        <w:rPr>
          <w:sz w:val="20"/>
          <w:szCs w:val="20"/>
          <w:color w:val="auto"/>
        </w:rPr>
      </w:pPr>
      <w:r>
        <w:rPr>
          <w:rFonts w:ascii="Times New Roman" w:cs="Times New Roman" w:eastAsia="Times New Roman" w:hAnsi="Times New Roman"/>
          <w:sz w:val="12"/>
          <w:szCs w:val="12"/>
          <w:color w:val="auto"/>
        </w:rPr>
        <w:t>The Alaska Credit Facility also provides for incremental term loans up to an aggregate principal amount of the greater of $70.0 million and Alaska Communications’ trailing twelve month Consolidated EBITDA (as defined in the Alaska Credit Facility).</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key terms and conditions of the Alaska Credit Facility include the following:</w:t>
      </w:r>
    </w:p>
    <w:p>
      <w:pPr>
        <w:spacing w:after="0" w:line="150" w:lineRule="exact"/>
        <w:rPr>
          <w:sz w:val="20"/>
          <w:szCs w:val="20"/>
          <w:color w:val="auto"/>
        </w:rPr>
      </w:pPr>
    </w:p>
    <w:p>
      <w:pPr>
        <w:ind w:left="900" w:right="219" w:hanging="212"/>
        <w:spacing w:after="0" w:line="265" w:lineRule="auto"/>
        <w:tabs>
          <w:tab w:leader="none" w:pos="9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bear an interest rate of LIBOR, or a LIBOR replacement rate as applicable, plus a margin ranging from 3.00% to 4.00% based on Alaska Communications’ Consolidated Total Net Leverage Ratio (as defined in the Credit Agreement) or an alternate base rate may be selected at a margin that is 1% lower than the counterpart LIBOR margin;</w:t>
      </w:r>
    </w:p>
    <w:p>
      <w:pPr>
        <w:spacing w:after="0" w:line="118" w:lineRule="exact"/>
        <w:rPr>
          <w:rFonts w:ascii="Times New Roman" w:cs="Times New Roman" w:eastAsia="Times New Roman" w:hAnsi="Times New Roman"/>
          <w:sz w:val="12"/>
          <w:szCs w:val="12"/>
          <w:color w:val="auto"/>
        </w:rPr>
      </w:pPr>
    </w:p>
    <w:p>
      <w:pPr>
        <w:jc w:val="both"/>
        <w:ind w:left="900" w:right="279" w:hanging="212"/>
        <w:spacing w:after="0" w:line="265" w:lineRule="auto"/>
        <w:tabs>
          <w:tab w:leader="none" w:pos="9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are due quarterly commencing in the fourth quarter of 2023 in quarterly amounts as follows: from the fourth quarter of 2023 through the third quarter of 2024, $1.3 million; and from the fourth quarter of 2024 through the third quarter of 2026, $2.6 million. The remaining unpaid balance is due on the final maturity date;</w:t>
      </w:r>
    </w:p>
    <w:p>
      <w:pPr>
        <w:spacing w:after="0" w:line="118" w:lineRule="exact"/>
        <w:rPr>
          <w:rFonts w:ascii="Times New Roman" w:cs="Times New Roman" w:eastAsia="Times New Roman" w:hAnsi="Times New Roman"/>
          <w:sz w:val="12"/>
          <w:szCs w:val="12"/>
          <w:color w:val="auto"/>
        </w:rPr>
      </w:pPr>
    </w:p>
    <w:p>
      <w:pPr>
        <w:ind w:left="900" w:right="219" w:hanging="212"/>
        <w:spacing w:after="0" w:line="265" w:lineRule="auto"/>
        <w:tabs>
          <w:tab w:leader="none" w:pos="9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18" w:lineRule="exact"/>
        <w:rPr>
          <w:rFonts w:ascii="Times New Roman" w:cs="Times New Roman" w:eastAsia="Times New Roman" w:hAnsi="Times New Roman"/>
          <w:sz w:val="12"/>
          <w:szCs w:val="12"/>
          <w:color w:val="auto"/>
        </w:rPr>
      </w:pPr>
    </w:p>
    <w:p>
      <w:pPr>
        <w:ind w:left="900" w:right="319" w:hanging="212"/>
        <w:spacing w:after="0" w:line="279" w:lineRule="auto"/>
        <w:tabs>
          <w:tab w:leader="none" w:pos="9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Alaska Credit Facility is non-recourse to the Company and is secured by substantially all of the personal property and certain material real property owned by Alaska Communications.</w:t>
      </w:r>
    </w:p>
    <w:p>
      <w:pPr>
        <w:spacing w:after="0" w:line="111"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Alaska Communication entered into an amortizing interest rate swap that has been designated as a cash flow hedge that has an interest rate of 1.6735% and expires on June 30, 2022. As of March 31, 2022, the swap had an unamortized notional amount of $119.8 million.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54"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11"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On December 29, 2021, CoBank amended the Receivables Credit Facility and extended the delayed draw period to December 31, 2022.</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on the loans accrues at a fixed annual interest rate to be quoted by CoBank.</w:t>
      </w:r>
    </w:p>
    <w:p>
      <w:pPr>
        <w:spacing w:after="0" w:line="150"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38" w:lineRule="exact"/>
        <w:rPr>
          <w:sz w:val="20"/>
          <w:szCs w:val="20"/>
          <w:color w:val="auto"/>
        </w:rPr>
      </w:pPr>
    </w:p>
    <w:p>
      <w:pPr>
        <w:ind w:left="20" w:right="119" w:firstLine="432"/>
        <w:spacing w:after="0" w:line="327" w:lineRule="auto"/>
        <w:rPr>
          <w:sz w:val="20"/>
          <w:szCs w:val="20"/>
          <w:color w:val="auto"/>
        </w:rPr>
      </w:pPr>
      <w:r>
        <w:rPr>
          <w:rFonts w:ascii="Times New Roman" w:cs="Times New Roman" w:eastAsia="Times New Roman" w:hAnsi="Times New Roman"/>
          <w:sz w:val="11"/>
          <w:szCs w:val="11"/>
          <w:color w:val="auto"/>
        </w:rPr>
        <w:t>As of March 31, 2022, we had $42.5 million outstanding, of which $5.3 million was current, and $29.7 million of availability under the Receivables Credit Facility. We capitalized $0.9 million of fees associated with the Receivables Credit Facility which are being amortized over the life of the debt and $0.7 million were unamortized at March 31, 2022.</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54"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 With RTFC’s consent, we funded the restoration of Viya’s network, following Hurricanes Irma and Maria in 2017, through an intercompany loan arrangement in the amount of $51.6 million.</w:t>
      </w:r>
    </w:p>
    <w:p>
      <w:pPr>
        <w:spacing w:after="0" w:line="125"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March 31, 2022, $60.0 million of the Viya Debt remained outstanding and $0.4 million of the rate lock fee was unamortized.</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This covenant will be tested on December 31, 2022.</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Debt</w:t>
      </w:r>
    </w:p>
    <w:p>
      <w:pPr>
        <w:spacing w:after="0" w:line="154"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We have an outstanding loan from HSBC Bank Bermuda Limited (the “One Communications Debt”) which is scheduled to mature on May 22, 2022 and bears interest at the one-month LIBOR plus a margin ranging between 2.5% to 2.75% per annum paid quarterly.</w:t>
      </w:r>
    </w:p>
    <w:p>
      <w:pPr>
        <w:spacing w:after="0" w:line="111" w:lineRule="exact"/>
        <w:rPr>
          <w:sz w:val="20"/>
          <w:szCs w:val="20"/>
          <w:color w:val="auto"/>
        </w:rPr>
      </w:pPr>
    </w:p>
    <w:p>
      <w:pPr>
        <w:jc w:val="both"/>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One Communications Debt contains customary representations, warranties and affirmative and negative covenants (including limitations on additional debt, guaranties, sale of assets and liens) and financial covenants, tested annually as of and for the twelve months ended December 31st, that limit the ratio of tangible net worth to long term debt and total net debt to EBITDA and require a minimum debt service coverage ratio (as defined in the One Communications Debt agreement).</w:t>
      </w:r>
    </w:p>
    <w:p>
      <w:pPr>
        <w:spacing w:after="0" w:line="119"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We entered into an amortizing interest rate swap that has been designated as a cash flow hedge, which has an original notional amount of $11.0 million, an interest rate of 1.874%, and expires in May 2022. As of March 31, 2022, the swap had an unamortized notional amount of $3.8 million.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March 31, 2022, $3.8 million of the One Communications Debt was outstanding.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Factors Affecting Sources of Liquidity</w:t>
      </w:r>
    </w:p>
    <w:p>
      <w:pPr>
        <w:spacing w:after="0" w:line="107"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Internally generated funds. </w:t>
      </w:r>
      <w:r>
        <w:rPr>
          <w:rFonts w:ascii="Times New Roman" w:cs="Times New Roman" w:eastAsia="Times New Roman" w:hAnsi="Times New Roman"/>
          <w:sz w:val="12"/>
          <w:szCs w:val="12"/>
          <w:color w:val="auto"/>
        </w:rPr>
        <w:t>The key factors affecting our internally generated funds are demand for our services, competition, regulatory developments, economic conditions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markets where we operate our businesses and industry trends within the telecommunications and renewable energy industries.</w:t>
      </w:r>
    </w:p>
    <w:p>
      <w:pPr>
        <w:spacing w:after="0" w:line="107" w:lineRule="exact"/>
        <w:rPr>
          <w:sz w:val="20"/>
          <w:szCs w:val="20"/>
          <w:color w:val="auto"/>
        </w:rPr>
      </w:pPr>
    </w:p>
    <w:p>
      <w:pPr>
        <w:jc w:val="both"/>
        <w:ind w:left="20" w:right="3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Restrictions under Credit Facility. </w:t>
      </w:r>
      <w:r>
        <w:rPr>
          <w:rFonts w:ascii="Times New Roman" w:cs="Times New Roman" w:eastAsia="Times New Roman" w:hAnsi="Times New Roman"/>
          <w:sz w:val="12"/>
          <w:szCs w:val="12"/>
          <w:color w:val="auto"/>
        </w:rPr>
        <w:t>Our 2019 CoBank Credit Facility contains customary representations, warranties and covenants, including covenants limiting additional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indebtedness, liens, guaranties, mergers and consolidations, substantial asset sales, investments and loans, sale and leasebacks, transactions with affiliates and fundamental changes.</w:t>
      </w:r>
    </w:p>
    <w:p>
      <w:pPr>
        <w:spacing w:after="0" w:line="109" w:lineRule="exact"/>
        <w:rPr>
          <w:sz w:val="20"/>
          <w:szCs w:val="20"/>
          <w:color w:val="auto"/>
        </w:rPr>
      </w:pPr>
    </w:p>
    <w:p>
      <w:pPr>
        <w:ind w:left="20" w:right="439" w:firstLine="432"/>
        <w:spacing w:after="0" w:line="279" w:lineRule="auto"/>
        <w:rPr>
          <w:sz w:val="20"/>
          <w:szCs w:val="20"/>
          <w:color w:val="auto"/>
        </w:rPr>
      </w:pPr>
      <w:r>
        <w:rPr>
          <w:rFonts w:ascii="Times New Roman" w:cs="Times New Roman" w:eastAsia="Times New Roman" w:hAnsi="Times New Roman"/>
          <w:sz w:val="12"/>
          <w:szCs w:val="12"/>
          <w:color w:val="auto"/>
        </w:rPr>
        <w:t>In addition, the 2019 CoBank Credit Facility contains a financial covenant that imposes a maximum ratio of indebtedness to EBITDA. As of March 31, 2022, we were in compliance with all of the financial covenants of the 2019 CoBank Credit Facility.</w:t>
      </w:r>
    </w:p>
    <w:p>
      <w:pPr>
        <w:spacing w:after="0" w:line="109" w:lineRule="exact"/>
        <w:rPr>
          <w:sz w:val="20"/>
          <w:szCs w:val="20"/>
          <w:color w:val="auto"/>
        </w:rPr>
      </w:pPr>
    </w:p>
    <w:p>
      <w:pPr>
        <w:ind w:left="20" w:right="1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Capital markets. </w:t>
      </w:r>
      <w:r>
        <w:rPr>
          <w:rFonts w:ascii="Times New Roman" w:cs="Times New Roman" w:eastAsia="Times New Roman" w:hAnsi="Times New Roman"/>
          <w:sz w:val="12"/>
          <w:szCs w:val="12"/>
          <w:color w:val="auto"/>
        </w:rPr>
        <w:t>Our ability to raise funds in the capital markets depends on, among other things, general economic conditions, the conditions of the telecommunications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renewable energy industries, our financial performance, the state of the capital markets and our compliance with SEC requirements for the offering of securities.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w:t>
      </w:r>
    </w:p>
    <w:p>
      <w:pPr>
        <w:spacing w:after="0" w:line="154"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March 31, 2022 and 2021, we recorded $0.2 million and $0.1 million, respectively, in losses on foreign currency transactions. We will continue to assess the impact of our exposure to the Guyana Dollar.</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Inflation</w:t>
      </w:r>
    </w:p>
    <w:p>
      <w:pPr>
        <w:spacing w:after="0" w:line="226"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out financial condition and cash flows.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See Note 2 to the Unaudited Condensed Consolidated Financial Statements included in this Report.</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54" w:lineRule="exact"/>
        <w:rPr>
          <w:sz w:val="20"/>
          <w:szCs w:val="20"/>
          <w:color w:val="auto"/>
        </w:rPr>
      </w:pPr>
    </w:p>
    <w:p>
      <w:pPr>
        <w:ind w:left="20" w:right="299" w:firstLine="367"/>
        <w:spacing w:after="0" w:line="279" w:lineRule="auto"/>
        <w:rPr>
          <w:sz w:val="20"/>
          <w:szCs w:val="20"/>
          <w:color w:val="auto"/>
        </w:rPr>
      </w:pPr>
      <w:r>
        <w:rPr>
          <w:rFonts w:ascii="Times New Roman" w:cs="Times New Roman" w:eastAsia="Times New Roman" w:hAnsi="Times New Roman"/>
          <w:sz w:val="12"/>
          <w:szCs w:val="12"/>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07" w:lineRule="exact"/>
        <w:rPr>
          <w:sz w:val="20"/>
          <w:szCs w:val="20"/>
          <w:color w:val="auto"/>
        </w:rPr>
      </w:pPr>
    </w:p>
    <w:p>
      <w:pPr>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Translation and Remeasurement. </w:t>
      </w: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77"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64"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Employee Benefit Plans. </w:t>
      </w:r>
      <w:r>
        <w:rPr>
          <w:rFonts w:ascii="Times New Roman" w:cs="Times New Roman" w:eastAsia="Times New Roman" w:hAnsi="Times New Roman"/>
          <w:sz w:val="12"/>
          <w:szCs w:val="12"/>
          <w:color w:val="auto"/>
        </w:rPr>
        <w:t>We sponsor pension and other postretirement benefit plans for employees of certain subsidiaries. Net periodic pension expense is recognized in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119"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As of March 31, 2022, we had $161.7 million of variable rate debt outstanding, which is subject to fluctuations in interest rates. Our interest expense may be affected by changes in interest rates. We believe that a 10% increase in the interest rates on our variable rate debt would have an immaterial impact on our Financial Statements. We may have additional exposure to fluctuations in interest rates if we again borrow amounts under our revolver loan within our 2019 CoBank Credit Facility.</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07"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Management’s Evaluation of Disclosure Controls and Procedures. </w:t>
      </w:r>
      <w:r>
        <w:rPr>
          <w:rFonts w:ascii="Times New Roman" w:cs="Times New Roman" w:eastAsia="Times New Roman" w:hAnsi="Times New Roman"/>
          <w:sz w:val="12"/>
          <w:szCs w:val="12"/>
          <w:color w:val="auto"/>
        </w:rPr>
        <w:t>Our management, with the participation of our Chief Executive Officer and Chief Financial Officer, evaluated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effectiveness of our disclosure controls and procedures as of March 31, 2022.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jc w:val="both"/>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Changes in internal control over financial reporting. </w:t>
      </w:r>
      <w:r>
        <w:rPr>
          <w:rFonts w:ascii="Times New Roman" w:cs="Times New Roman" w:eastAsia="Times New Roman" w:hAnsi="Times New Roman"/>
          <w:sz w:val="12"/>
          <w:szCs w:val="12"/>
          <w:color w:val="auto"/>
        </w:rPr>
        <w:t>There were no changes in our internal control over financial reporting that occurred during the three months ended March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 2022 that have materially affected, or are reasonably likely to materially affect, our internal control over financial reporting.</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II—OTHER INFORMATION</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See Note 14 to the Unaudited Condensed Consolidated Financial Statements included in this Report.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45"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under Part I, Item 1A “Risk Factors” of our 2021 Annual Report on Form 10-K. The risks described herein and in our 2021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Purchases of Equity Securities by the Issuer</w:t>
      </w:r>
    </w:p>
    <w:p>
      <w:pPr>
        <w:spacing w:after="0" w:line="152"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September 19, 2016, our Board of Directors authorized the repurchase of up to $50.0 million of our common stock from time to time on the open market or in privately negotiated transactions (the “2016 Repurchase Plan”). We have $19.5 million available to be repurchased under that plan as of March 31, 2022.</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reflects the repurchases by us of our common stock during the quarter ended March 31, 2022:</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4"/>
              </w:rPr>
              <w:t>Maximum</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(c)</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8"/>
              </w:rPr>
              <w:t>Number (or</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1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Approximate</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85"/>
              </w:rPr>
              <w:t>(a)</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1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Total Number of</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Dollar Value) of</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1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Shares Purchased</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that May</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Total Number</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11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as Part of Publicly</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3"/>
              </w:rPr>
              <w:t>be Purchased</w:t>
            </w:r>
          </w:p>
        </w:tc>
        <w:tc>
          <w:tcPr>
            <w:tcW w:w="0" w:type="dxa"/>
            <w:vAlign w:val="bottom"/>
          </w:tcPr>
          <w:p>
            <w:pPr>
              <w:spacing w:after="0"/>
              <w:rPr>
                <w:sz w:val="1"/>
                <w:szCs w:val="1"/>
                <w:color w:val="auto"/>
              </w:rPr>
            </w:pPr>
          </w:p>
        </w:tc>
      </w:tr>
      <w:tr>
        <w:trPr>
          <w:trHeight w:val="125"/>
        </w:trPr>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Paid per</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Announced Plans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6"/>
              </w:rPr>
              <w:t>Under the Plans or</w:t>
            </w:r>
          </w:p>
        </w:tc>
        <w:tc>
          <w:tcPr>
            <w:tcW w:w="0" w:type="dxa"/>
            <w:vAlign w:val="bottom"/>
          </w:tcPr>
          <w:p>
            <w:pPr>
              <w:spacing w:after="0"/>
              <w:rPr>
                <w:sz w:val="1"/>
                <w:szCs w:val="1"/>
                <w:color w:val="auto"/>
              </w:rPr>
            </w:pPr>
          </w:p>
        </w:tc>
      </w:tr>
      <w:tr>
        <w:trPr>
          <w:trHeight w:val="134"/>
        </w:trPr>
        <w:tc>
          <w:tcPr>
            <w:tcW w:w="4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Purchased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or Programs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2022— January 31, 2022</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23,714</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39.70</w:t>
            </w: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19,451,514</w:t>
            </w:r>
          </w:p>
        </w:tc>
        <w:tc>
          <w:tcPr>
            <w:tcW w:w="0" w:type="dxa"/>
            <w:vAlign w:val="bottom"/>
          </w:tcPr>
          <w:p>
            <w:pPr>
              <w:spacing w:after="0"/>
              <w:rPr>
                <w:sz w:val="1"/>
                <w:szCs w:val="1"/>
                <w:color w:val="auto"/>
              </w:rPr>
            </w:pPr>
          </w:p>
        </w:tc>
      </w:tr>
      <w:tr>
        <w:trPr>
          <w:trHeight w:val="144"/>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February 1, 2022 — February 28, 2022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19,451,514</w:t>
            </w: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 2022 — March 31, 2022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xml:space="preserve">32,570 </w:t>
            </w:r>
            <w:r>
              <w:rPr>
                <w:rFonts w:ascii="Calibri" w:cs="Calibri" w:eastAsia="Calibri" w:hAnsi="Calibri"/>
                <w:sz w:val="13"/>
                <w:szCs w:val="13"/>
                <w:color w:val="auto"/>
              </w:rPr>
              <w:t>(1)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34.89</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19,451,514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480" w:right="79" w:hanging="224"/>
        <w:spacing w:after="0" w:line="260" w:lineRule="auto"/>
        <w:tabs>
          <w:tab w:leader="none" w:pos="4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shares purchased on March 7, 2022, March 9, 2022, March 11, 2022 and March 13, 2022 from our executive officers and other employees who tendered these shares to us to satisfy their tax withholding obligations incurred in connection with the vesting of restricted stock units at such date. These shares were not purchased under the 2016 Repurchase Plan discussed above. The price paid per share was the closing price per share of our common stock on the Nasdaq Stock Market on the date those shares were purchased.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4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None</w:t>
            </w:r>
          </w:p>
        </w:tc>
        <w:tc>
          <w:tcPr>
            <w:tcW w:w="14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432"/>
        </w:trPr>
        <w:tc>
          <w:tcPr>
            <w:tcW w:w="1420" w:type="dxa"/>
            <w:vAlign w:val="bottom"/>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9"/>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rPr>
              <w:t>10.1*</w:t>
            </w:r>
          </w:p>
        </w:tc>
        <w:tc>
          <w:tcPr>
            <w:tcW w:w="6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Amendment to Loan Agreement dated May 5, 2022 between ATN VI Holdings, LLC and Rural Telephone Finance Cooperative.</w:t>
            </w:r>
          </w:p>
        </w:tc>
        <w:tc>
          <w:tcPr>
            <w:tcW w:w="1340" w:type="dxa"/>
            <w:vAlign w:val="bottom"/>
            <w:gridSpan w:val="5"/>
          </w:tcPr>
          <w:p>
            <w:pPr>
              <w:spacing w:after="0"/>
              <w:rPr>
                <w:sz w:val="24"/>
                <w:szCs w:val="24"/>
                <w:color w:val="auto"/>
              </w:rPr>
            </w:pPr>
          </w:p>
        </w:tc>
      </w:tr>
      <w:tr>
        <w:trPr>
          <w:trHeight w:val="268"/>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rPr>
              <w:t>31.1*</w:t>
            </w:r>
          </w:p>
        </w:tc>
        <w:tc>
          <w:tcPr>
            <w:tcW w:w="7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9"/>
              </w:rPr>
              <w:t>Certification of Chief Executive Officer pursuant to Rule 13a-14(a) of the Securities Exchange Act of 1934, as adopted pursuant to Section 302 of the</w:t>
            </w:r>
          </w:p>
        </w:tc>
        <w:tc>
          <w:tcPr>
            <w:tcW w:w="320" w:type="dxa"/>
            <w:vAlign w:val="bottom"/>
          </w:tcPr>
          <w:p>
            <w:pPr>
              <w:spacing w:after="0"/>
              <w:rPr>
                <w:sz w:val="23"/>
                <w:szCs w:val="23"/>
                <w:color w:val="auto"/>
              </w:rPr>
            </w:pPr>
          </w:p>
        </w:tc>
      </w:tr>
      <w:tr>
        <w:trPr>
          <w:trHeight w:val="124"/>
        </w:trPr>
        <w:tc>
          <w:tcPr>
            <w:tcW w:w="1420" w:type="dxa"/>
            <w:vAlign w:val="bottom"/>
          </w:tcPr>
          <w:p>
            <w:pPr>
              <w:spacing w:after="0"/>
              <w:rPr>
                <w:sz w:val="10"/>
                <w:szCs w:val="10"/>
                <w:color w:val="auto"/>
              </w:rPr>
            </w:pPr>
          </w:p>
        </w:tc>
        <w:tc>
          <w:tcPr>
            <w:tcW w:w="752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Sarbanes-Oxley Act of 2002.</w:t>
            </w:r>
          </w:p>
        </w:tc>
      </w:tr>
      <w:tr>
        <w:trPr>
          <w:trHeight w:val="20"/>
        </w:trPr>
        <w:tc>
          <w:tcPr>
            <w:tcW w:w="1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4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rPr>
              <w:t>31.2*</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0000EE"/>
              </w:rPr>
              <w:t>Certification of Chief Financial Officer pursuant to Rule 13a-14(a) of the Securities Exchange Act of 1934, as adopted pursuant to Section 302 of the</w:t>
            </w:r>
          </w:p>
        </w:tc>
      </w:tr>
      <w:tr>
        <w:trPr>
          <w:trHeight w:val="124"/>
        </w:trPr>
        <w:tc>
          <w:tcPr>
            <w:tcW w:w="1420" w:type="dxa"/>
            <w:vAlign w:val="bottom"/>
          </w:tcPr>
          <w:p>
            <w:pPr>
              <w:spacing w:after="0"/>
              <w:rPr>
                <w:sz w:val="10"/>
                <w:szCs w:val="10"/>
                <w:color w:val="auto"/>
              </w:rPr>
            </w:pPr>
          </w:p>
        </w:tc>
        <w:tc>
          <w:tcPr>
            <w:tcW w:w="716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Sarbanes-Oxley Act of 2002.</w:t>
            </w:r>
          </w:p>
        </w:tc>
        <w:tc>
          <w:tcPr>
            <w:tcW w:w="360" w:type="dxa"/>
            <w:vAlign w:val="bottom"/>
            <w:gridSpan w:val="2"/>
          </w:tcPr>
          <w:p>
            <w:pPr>
              <w:spacing w:after="0"/>
              <w:rPr>
                <w:sz w:val="10"/>
                <w:szCs w:val="10"/>
                <w:color w:val="auto"/>
              </w:rPr>
            </w:pPr>
          </w:p>
        </w:tc>
      </w:tr>
      <w:tr>
        <w:trPr>
          <w:trHeight w:val="20"/>
        </w:trPr>
        <w:tc>
          <w:tcPr>
            <w:tcW w:w="1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24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6"/>
              </w:rPr>
              <w:t>32.1**</w:t>
            </w:r>
          </w:p>
        </w:tc>
        <w:tc>
          <w:tcPr>
            <w:tcW w:w="70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9"/>
              </w:rPr>
              <w:t>Certification of Chief Executive Officer pursuant to 18 USC Section 1350, as adopted pursuant to Section 906 of the Sarbanes-Oxley Act of 2002.</w:t>
            </w:r>
          </w:p>
        </w:tc>
        <w:tc>
          <w:tcPr>
            <w:tcW w:w="480" w:type="dxa"/>
            <w:vAlign w:val="bottom"/>
            <w:gridSpan w:val="3"/>
          </w:tcPr>
          <w:p>
            <w:pPr>
              <w:spacing w:after="0"/>
              <w:rPr>
                <w:sz w:val="20"/>
                <w:szCs w:val="20"/>
                <w:color w:val="auto"/>
              </w:rPr>
            </w:pPr>
          </w:p>
        </w:tc>
      </w:tr>
      <w:tr>
        <w:trPr>
          <w:trHeight w:val="268"/>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6"/>
              </w:rPr>
              <w:t>32.2**</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0000EE"/>
              </w:rPr>
              <w:t>Certification of Chief Financial Officer pursuant to 18 USC Section 1350, as adopted pursuant to Section 906 of the Sarbanes-Oxley Act of 2002</w:t>
            </w:r>
            <w:r>
              <w:rPr>
                <w:rFonts w:ascii="Times New Roman" w:cs="Times New Roman" w:eastAsia="Times New Roman" w:hAnsi="Times New Roman"/>
                <w:sz w:val="12"/>
                <w:szCs w:val="12"/>
                <w:color w:val="000000"/>
              </w:rPr>
              <w:t>.</w:t>
            </w:r>
          </w:p>
        </w:tc>
      </w:tr>
      <w:tr>
        <w:trPr>
          <w:trHeight w:val="20"/>
        </w:trPr>
        <w:tc>
          <w:tcPr>
            <w:tcW w:w="1420" w:type="dxa"/>
            <w:vAlign w:val="bottom"/>
          </w:tcPr>
          <w:p>
            <w:pPr>
              <w:spacing w:after="0" w:line="20" w:lineRule="exact"/>
              <w:rPr>
                <w:sz w:val="1"/>
                <w:szCs w:val="1"/>
                <w:color w:val="auto"/>
              </w:rPr>
            </w:pPr>
          </w:p>
        </w:tc>
        <w:tc>
          <w:tcPr>
            <w:tcW w:w="696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284"/>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9"/>
              </w:rPr>
              <w:t>101.INS</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9"/>
              </w:rPr>
              <w:t>Inline XBRL Instance Document - the instance document does not appear in the Interactive Data File because its XBRL tags are embedded within the Inline</w:t>
            </w:r>
          </w:p>
        </w:tc>
      </w:tr>
      <w:tr>
        <w:trPr>
          <w:trHeight w:val="155"/>
        </w:trPr>
        <w:tc>
          <w:tcPr>
            <w:tcW w:w="1420" w:type="dxa"/>
            <w:vAlign w:val="bottom"/>
          </w:tcPr>
          <w:p>
            <w:pPr>
              <w:spacing w:after="0"/>
              <w:rPr>
                <w:sz w:val="13"/>
                <w:szCs w:val="13"/>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XBRL document</w:t>
            </w:r>
          </w:p>
        </w:tc>
      </w:tr>
      <w:tr>
        <w:trPr>
          <w:trHeight w:val="26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rPr>
              <w:t>101.SCH*</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26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rPr>
              <w:t>101.CAL*</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26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6"/>
              </w:rPr>
              <w:t>101.DEF*</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26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rPr>
              <w:t>101.LAB*</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261"/>
        </w:trPr>
        <w:tc>
          <w:tcPr>
            <w:tcW w:w="14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7"/>
              </w:rPr>
              <w:t>101.PRE*</w:t>
            </w:r>
          </w:p>
        </w:tc>
        <w:tc>
          <w:tcPr>
            <w:tcW w:w="75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spacing w:after="0" w:line="133" w:lineRule="exact"/>
        <w:rPr>
          <w:sz w:val="20"/>
          <w:szCs w:val="20"/>
          <w:color w:val="auto"/>
        </w:rPr>
      </w:pPr>
    </w:p>
    <w:p>
      <w:pPr>
        <w:ind w:left="1440" w:hanging="1071"/>
        <w:spacing w:after="0"/>
        <w:tabs>
          <w:tab w:leader="none" w:pos="144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embedded within Exhibit 101).</w:t>
      </w:r>
    </w:p>
    <w:p>
      <w:pPr>
        <w:spacing w:after="0" w:line="312" w:lineRule="exact"/>
        <w:rPr>
          <w:rFonts w:ascii="Times New Roman" w:cs="Times New Roman" w:eastAsia="Times New Roman" w:hAnsi="Times New Roman"/>
          <w:sz w:val="12"/>
          <w:szCs w:val="12"/>
          <w:color w:val="auto"/>
        </w:rPr>
      </w:pPr>
    </w:p>
    <w:p>
      <w:pPr>
        <w:ind w:left="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Filed herewith.</w:t>
      </w:r>
    </w:p>
    <w:p>
      <w:pPr>
        <w:spacing w:after="0" w:line="150" w:lineRule="exact"/>
        <w:rPr>
          <w:rFonts w:ascii="Times New Roman" w:cs="Times New Roman" w:eastAsia="Times New Roman" w:hAnsi="Times New Roman"/>
          <w:sz w:val="12"/>
          <w:szCs w:val="12"/>
          <w:color w:val="auto"/>
        </w:rPr>
      </w:pPr>
    </w:p>
    <w:p>
      <w:pPr>
        <w:ind w:left="20" w:right="179" w:firstLine="2"/>
        <w:spacing w:after="0" w:line="279" w:lineRule="auto"/>
        <w:tabs>
          <w:tab w:leader="none" w:pos="17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51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Date: May 10, 2022</w:t>
            </w:r>
          </w:p>
        </w:tc>
        <w:tc>
          <w:tcPr>
            <w:tcW w:w="17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T. Prior</w:t>
            </w:r>
          </w:p>
        </w:tc>
      </w:tr>
      <w:tr>
        <w:trPr>
          <w:trHeight w:val="122"/>
        </w:trPr>
        <w:tc>
          <w:tcPr>
            <w:tcW w:w="2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4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Michael T. Prior</w:t>
            </w:r>
          </w:p>
        </w:tc>
      </w:tr>
      <w:tr>
        <w:trPr>
          <w:trHeight w:val="155"/>
        </w:trPr>
        <w:tc>
          <w:tcPr>
            <w:tcW w:w="2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Date: May 10, 2022</w:t>
            </w:r>
          </w:p>
        </w:tc>
        <w:tc>
          <w:tcPr>
            <w:tcW w:w="17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Justin D. Benincasa</w:t>
            </w:r>
          </w:p>
        </w:tc>
      </w:tr>
      <w:tr>
        <w:trPr>
          <w:trHeight w:val="122"/>
        </w:trPr>
        <w:tc>
          <w:tcPr>
            <w:tcW w:w="2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4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Justin D. Benincasa</w:t>
            </w:r>
          </w:p>
        </w:tc>
      </w:tr>
      <w:tr>
        <w:trPr>
          <w:trHeight w:val="155"/>
        </w:trPr>
        <w:tc>
          <w:tcPr>
            <w:tcW w:w="2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729"/>
        </w:trPr>
        <w:tc>
          <w:tcPr>
            <w:tcW w:w="2700" w:type="dxa"/>
            <w:vAlign w:val="bottom"/>
          </w:tcPr>
          <w:p>
            <w:pPr>
              <w:spacing w:after="0"/>
              <w:rPr>
                <w:sz w:val="24"/>
                <w:szCs w:val="24"/>
                <w:color w:val="auto"/>
              </w:rPr>
            </w:pPr>
          </w:p>
        </w:tc>
        <w:tc>
          <w:tcPr>
            <w:tcW w:w="6260" w:type="dxa"/>
            <w:vAlign w:val="bottom"/>
            <w:gridSpan w:val="2"/>
          </w:tcPr>
          <w:p>
            <w:pPr>
              <w:jc w:val="right"/>
              <w:ind w:right="4360"/>
              <w:spacing w:after="0"/>
              <w:rPr>
                <w:sz w:val="20"/>
                <w:szCs w:val="20"/>
                <w:color w:val="auto"/>
              </w:rPr>
            </w:pPr>
            <w:r>
              <w:rPr>
                <w:rFonts w:ascii="Times New Roman" w:cs="Times New Roman" w:eastAsia="Times New Roman" w:hAnsi="Times New Roman"/>
                <w:sz w:val="12"/>
                <w:szCs w:val="12"/>
                <w:color w:val="auto"/>
              </w:rPr>
              <w:t>62</w:t>
            </w:r>
          </w:p>
        </w:tc>
      </w:tr>
      <w:tr>
        <w:trPr>
          <w:trHeight w:val="367"/>
        </w:trPr>
        <w:tc>
          <w:tcPr>
            <w:tcW w:w="2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Exhibit 10.1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 LOAN AGREEMENT</w:t>
      </w:r>
    </w:p>
    <w:p>
      <w:pPr>
        <w:spacing w:after="0" w:line="139"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b w:val="1"/>
          <w:bCs w:val="1"/>
          <w:color w:val="auto"/>
        </w:rPr>
        <w:t xml:space="preserve">AMENDMENT TO LOAN AGREEMENT </w:t>
      </w:r>
      <w:r>
        <w:rPr>
          <w:rFonts w:ascii="Arial" w:cs="Arial" w:eastAsia="Arial" w:hAnsi="Arial"/>
          <w:sz w:val="13"/>
          <w:szCs w:val="13"/>
          <w:color w:val="auto"/>
        </w:rPr>
        <w:t>(the "Amendment") dated as of May 5, 2022, by and between ATN VI HOLDINGS, LLC (the “Borrower”), a corporation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organized and existing under the laws of the State of Delaware and RURAL TELEPHONE FINANCE COOPERATIVE ("RTFC"), a cooperative association organized and existing under the laws of the District of Columbia.</w:t>
      </w:r>
    </w:p>
    <w:p>
      <w:pPr>
        <w:spacing w:after="0" w:line="109"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RECITALS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 and RTFC are parties to a certain loan agreement dated as of July 1, 2016 (the "Original Agreement"); and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Borrower and RTFC have agreed to amend the Original Agreement.</w:t>
      </w:r>
    </w:p>
    <w:p>
      <w:pPr>
        <w:spacing w:after="0" w:line="139"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for and in consideration of the foregoing, and in further consideration of the premises and the mutual covenants herein contained, the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hereby amend the Original Agreement, agree and bind themselves as follows:</w:t>
      </w:r>
    </w:p>
    <w:p>
      <w:pPr>
        <w:spacing w:after="0" w:line="9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b w:val="1"/>
          <w:bCs w:val="1"/>
          <w:color w:val="auto"/>
        </w:rPr>
        <w:t>Section 1.</w:t>
      </w:r>
      <w:r>
        <w:rPr>
          <w:sz w:val="20"/>
          <w:szCs w:val="20"/>
          <w:color w:val="auto"/>
        </w:rPr>
        <w:tab/>
      </w:r>
      <w:r>
        <w:rPr>
          <w:rFonts w:ascii="Arial" w:cs="Arial" w:eastAsia="Arial" w:hAnsi="Arial"/>
          <w:sz w:val="13"/>
          <w:szCs w:val="13"/>
          <w:b w:val="1"/>
          <w:bCs w:val="1"/>
          <w:color w:val="auto"/>
        </w:rPr>
        <w:t xml:space="preserve">Recitals. </w:t>
      </w:r>
      <w:r>
        <w:rPr>
          <w:rFonts w:ascii="Arial" w:cs="Arial" w:eastAsia="Arial" w:hAnsi="Arial"/>
          <w:sz w:val="13"/>
          <w:szCs w:val="13"/>
          <w:color w:val="auto"/>
        </w:rPr>
        <w:t>The foregoing recitals are incorporated herein by reference.</w:t>
      </w:r>
    </w:p>
    <w:p>
      <w:pPr>
        <w:spacing w:after="0" w:line="139"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b w:val="1"/>
          <w:bCs w:val="1"/>
          <w:color w:val="auto"/>
        </w:rPr>
        <w:t xml:space="preserve">Section 2. Definitions. </w:t>
      </w:r>
      <w:r>
        <w:rPr>
          <w:rFonts w:ascii="Arial" w:cs="Arial" w:eastAsia="Arial" w:hAnsi="Arial"/>
          <w:sz w:val="13"/>
          <w:szCs w:val="13"/>
          <w:color w:val="auto"/>
        </w:rPr>
        <w:t>Capitalized terms that are not defined herein shall have the meanings assigned to them as set forth in the Original Agreement. If not</w:t>
      </w:r>
      <w:r>
        <w:rPr>
          <w:rFonts w:ascii="Arial" w:cs="Arial" w:eastAsia="Arial" w:hAnsi="Arial"/>
          <w:sz w:val="13"/>
          <w:szCs w:val="13"/>
          <w:b w:val="1"/>
          <w:bCs w:val="1"/>
          <w:color w:val="auto"/>
        </w:rPr>
        <w:t xml:space="preserve"> </w:t>
      </w:r>
      <w:r>
        <w:rPr>
          <w:rFonts w:ascii="Arial" w:cs="Arial" w:eastAsia="Arial" w:hAnsi="Arial"/>
          <w:sz w:val="13"/>
          <w:szCs w:val="13"/>
          <w:color w:val="auto"/>
        </w:rPr>
        <w:t>otherwise defined therein or herein, such capitalized terms shall be defined in accordance with GAAP.</w:t>
      </w:r>
    </w:p>
    <w:p>
      <w:pPr>
        <w:spacing w:after="0" w:line="9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b w:val="1"/>
          <w:bCs w:val="1"/>
          <w:color w:val="auto"/>
        </w:rPr>
        <w:t>Section 3.</w:t>
      </w:r>
      <w:r>
        <w:rPr>
          <w:sz w:val="20"/>
          <w:szCs w:val="20"/>
          <w:color w:val="auto"/>
        </w:rPr>
        <w:tab/>
      </w:r>
      <w:r>
        <w:rPr>
          <w:rFonts w:ascii="Arial" w:cs="Arial" w:eastAsia="Arial" w:hAnsi="Arial"/>
          <w:sz w:val="13"/>
          <w:szCs w:val="13"/>
          <w:b w:val="1"/>
          <w:bCs w:val="1"/>
          <w:color w:val="auto"/>
        </w:rPr>
        <w:t>Amendments.</w:t>
      </w:r>
    </w:p>
    <w:p>
      <w:pPr>
        <w:spacing w:after="0" w:line="139"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3.1</w:t>
      </w:r>
      <w:r>
        <w:rPr>
          <w:sz w:val="20"/>
          <w:szCs w:val="20"/>
          <w:color w:val="auto"/>
        </w:rPr>
        <w:tab/>
      </w:r>
      <w:r>
        <w:rPr>
          <w:rFonts w:ascii="Arial" w:cs="Arial" w:eastAsia="Arial" w:hAnsi="Arial"/>
          <w:sz w:val="13"/>
          <w:szCs w:val="13"/>
          <w:b w:val="1"/>
          <w:bCs w:val="1"/>
          <w:color w:val="auto"/>
        </w:rPr>
        <w:t xml:space="preserve">Financial Covenant. </w:t>
      </w:r>
      <w:r>
        <w:rPr>
          <w:rFonts w:ascii="Arial" w:cs="Arial" w:eastAsia="Arial" w:hAnsi="Arial"/>
          <w:sz w:val="13"/>
          <w:szCs w:val="13"/>
          <w:color w:val="auto"/>
        </w:rPr>
        <w:t>Section 6.04 of the Loan Agreement is hereby deleted and the following is inserted in its place:</w:t>
      </w:r>
    </w:p>
    <w:p>
      <w:pPr>
        <w:spacing w:after="0" w:line="211" w:lineRule="exact"/>
        <w:rPr>
          <w:sz w:val="20"/>
          <w:szCs w:val="20"/>
          <w:color w:val="auto"/>
        </w:rPr>
      </w:pPr>
    </w:p>
    <w:p>
      <w:pPr>
        <w:jc w:val="both"/>
        <w:ind w:left="420"/>
        <w:spacing w:after="0" w:line="243" w:lineRule="auto"/>
        <w:rPr>
          <w:sz w:val="20"/>
          <w:szCs w:val="20"/>
          <w:color w:val="auto"/>
        </w:rPr>
      </w:pPr>
      <w:r>
        <w:rPr>
          <w:rFonts w:ascii="Arial" w:cs="Arial" w:eastAsia="Arial" w:hAnsi="Arial"/>
          <w:sz w:val="13"/>
          <w:szCs w:val="13"/>
          <w:b w:val="1"/>
          <w:bCs w:val="1"/>
          <w:color w:val="auto"/>
        </w:rPr>
        <w:t xml:space="preserve">“6.04 Financial Covenant. </w:t>
      </w:r>
      <w:r>
        <w:rPr>
          <w:rFonts w:ascii="Arial" w:cs="Arial" w:eastAsia="Arial" w:hAnsi="Arial"/>
          <w:sz w:val="13"/>
          <w:szCs w:val="13"/>
          <w:color w:val="auto"/>
        </w:rPr>
        <w:t>Maintain, commencing as of the last day of the Borrower’s fiscal year 2022 and as of the last day of each fiscal year of the Borrower’s</w:t>
      </w:r>
      <w:r>
        <w:rPr>
          <w:rFonts w:ascii="Arial" w:cs="Arial" w:eastAsia="Arial" w:hAnsi="Arial"/>
          <w:sz w:val="13"/>
          <w:szCs w:val="13"/>
          <w:b w:val="1"/>
          <w:bCs w:val="1"/>
          <w:color w:val="auto"/>
        </w:rPr>
        <w:t xml:space="preserve"> </w:t>
      </w:r>
      <w:r>
        <w:rPr>
          <w:rFonts w:ascii="Arial" w:cs="Arial" w:eastAsia="Arial" w:hAnsi="Arial"/>
          <w:sz w:val="13"/>
          <w:szCs w:val="13"/>
          <w:color w:val="auto"/>
        </w:rPr>
        <w:t>thereafter, a Net Leverage Ratio not greater than 7.0; provided that, in the event the Borrower requests a waiver of the Net Leverage Ratio requirement set forth in this Section 6.04 and the Lender approves the Borrower’s request for waiver of such financial covenant, the Borrower shall pay a fee of $30,000.00 that is equal to five (5) basis points times the outstanding amount of the Loan.”</w:t>
      </w:r>
    </w:p>
    <w:p>
      <w:pPr>
        <w:spacing w:after="0" w:line="115"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b w:val="1"/>
          <w:bCs w:val="1"/>
          <w:color w:val="auto"/>
        </w:rPr>
        <w:t xml:space="preserve">Section 4. Conditions to Effectiveness. </w:t>
      </w:r>
      <w:r>
        <w:rPr>
          <w:rFonts w:ascii="Arial" w:cs="Arial" w:eastAsia="Arial" w:hAnsi="Arial"/>
          <w:sz w:val="13"/>
          <w:szCs w:val="13"/>
          <w:color w:val="auto"/>
        </w:rPr>
        <w:t>Notwithstanding anything herein to the contrary, this Amendment shall be effective upon satisfaction of each of the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Section 4:</w:t>
      </w:r>
    </w:p>
    <w:p>
      <w:pPr>
        <w:spacing w:after="0" w:line="97" w:lineRule="exact"/>
        <w:rPr>
          <w:sz w:val="20"/>
          <w:szCs w:val="20"/>
          <w:color w:val="auto"/>
        </w:rPr>
      </w:pPr>
    </w:p>
    <w:p>
      <w:pPr>
        <w:ind w:right="20" w:firstLine="432"/>
        <w:spacing w:after="0" w:line="269" w:lineRule="auto"/>
        <w:rPr>
          <w:sz w:val="20"/>
          <w:szCs w:val="20"/>
          <w:color w:val="auto"/>
        </w:rPr>
      </w:pPr>
      <w:r>
        <w:rPr>
          <w:rFonts w:ascii="Arial" w:cs="Arial" w:eastAsia="Arial" w:hAnsi="Arial"/>
          <w:sz w:val="13"/>
          <w:szCs w:val="13"/>
          <w:b w:val="1"/>
          <w:bCs w:val="1"/>
          <w:color w:val="auto"/>
        </w:rPr>
        <w:t xml:space="preserve">4.1 Borrower Documents. </w:t>
      </w:r>
      <w:r>
        <w:rPr>
          <w:rFonts w:ascii="Arial" w:cs="Arial" w:eastAsia="Arial" w:hAnsi="Arial"/>
          <w:sz w:val="13"/>
          <w:szCs w:val="13"/>
          <w:color w:val="auto"/>
        </w:rPr>
        <w:t>RTFC shall have been furnished with (i) an executed original of this Amendment and (ii) certified copies of all such organizational</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and proceedings of the Borrower authorizing the transactions hereby contemplated as RTFC shall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390525</wp:posOffset>
            </wp:positionV>
            <wp:extent cx="63322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269" w:right="95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color w:val="auto"/>
        </w:rPr>
        <w:t>2</w:t>
      </w:r>
    </w:p>
    <w:p>
      <w:pPr>
        <w:spacing w:after="0" w:line="355"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4.2 Government Approvals. </w:t>
      </w:r>
      <w:r>
        <w:rPr>
          <w:rFonts w:ascii="Arial" w:cs="Arial" w:eastAsia="Arial" w:hAnsi="Arial"/>
          <w:sz w:val="13"/>
          <w:szCs w:val="13"/>
          <w:color w:val="auto"/>
        </w:rPr>
        <w:t>The Borrower shall have furnished to RTFC true and correct copies of all certificates, authorizations and consents necessary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execution, delivery and performance by the Borrower of this Amendment.</w:t>
      </w:r>
    </w:p>
    <w:p>
      <w:pPr>
        <w:spacing w:after="0" w:line="9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b w:val="1"/>
          <w:bCs w:val="1"/>
          <w:color w:val="auto"/>
        </w:rPr>
        <w:t>Section 5.</w:t>
      </w:r>
      <w:r>
        <w:rPr>
          <w:sz w:val="20"/>
          <w:szCs w:val="20"/>
          <w:color w:val="auto"/>
        </w:rPr>
        <w:tab/>
      </w:r>
      <w:r>
        <w:rPr>
          <w:rFonts w:ascii="Arial" w:cs="Arial" w:eastAsia="Arial" w:hAnsi="Arial"/>
          <w:sz w:val="13"/>
          <w:szCs w:val="13"/>
          <w:b w:val="1"/>
          <w:bCs w:val="1"/>
          <w:color w:val="auto"/>
        </w:rPr>
        <w:t xml:space="preserve">Representations and Warranties. </w:t>
      </w:r>
      <w:r>
        <w:rPr>
          <w:rFonts w:ascii="Arial" w:cs="Arial" w:eastAsia="Arial" w:hAnsi="Arial"/>
          <w:sz w:val="13"/>
          <w:szCs w:val="13"/>
          <w:color w:val="auto"/>
        </w:rPr>
        <w:t>As a further inducement for RTFC to enter into this Amendment, the Borrower represents and warrants that:</w:t>
      </w:r>
    </w:p>
    <w:p>
      <w:pPr>
        <w:spacing w:after="0" w:line="139"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5.1 Good Standing. </w:t>
      </w:r>
      <w:r>
        <w:rPr>
          <w:rFonts w:ascii="Arial" w:cs="Arial" w:eastAsia="Arial" w:hAnsi="Arial"/>
          <w:sz w:val="13"/>
          <w:szCs w:val="13"/>
          <w:color w:val="auto"/>
        </w:rPr>
        <w:t>The Borrower is a corporation organized and validly existing and in good standing under the laws of the state of its incorporation, is duly</w:t>
      </w:r>
      <w:r>
        <w:rPr>
          <w:rFonts w:ascii="Arial" w:cs="Arial" w:eastAsia="Arial" w:hAnsi="Arial"/>
          <w:sz w:val="13"/>
          <w:szCs w:val="13"/>
          <w:b w:val="1"/>
          <w:bCs w:val="1"/>
          <w:color w:val="auto"/>
        </w:rPr>
        <w:t xml:space="preserve"> </w:t>
      </w:r>
      <w:r>
        <w:rPr>
          <w:rFonts w:ascii="Arial" w:cs="Arial" w:eastAsia="Arial" w:hAnsi="Arial"/>
          <w:sz w:val="13"/>
          <w:szCs w:val="13"/>
          <w:color w:val="auto"/>
        </w:rPr>
        <w:t>qualified in those states in which it is required to be qualified to conduct its business and has power to enter into and perform this Amendment.</w:t>
      </w:r>
    </w:p>
    <w:p>
      <w:pPr>
        <w:spacing w:after="0" w:line="97" w:lineRule="exact"/>
        <w:rPr>
          <w:sz w:val="20"/>
          <w:szCs w:val="20"/>
          <w:color w:val="auto"/>
        </w:rPr>
      </w:pPr>
    </w:p>
    <w:p>
      <w:pPr>
        <w:jc w:val="both"/>
        <w:ind w:right="20" w:firstLine="432"/>
        <w:spacing w:after="0"/>
        <w:rPr>
          <w:sz w:val="20"/>
          <w:szCs w:val="20"/>
          <w:color w:val="auto"/>
        </w:rPr>
      </w:pPr>
      <w:r>
        <w:rPr>
          <w:rFonts w:ascii="Arial" w:cs="Arial" w:eastAsia="Arial" w:hAnsi="Arial"/>
          <w:sz w:val="13"/>
          <w:szCs w:val="13"/>
          <w:b w:val="1"/>
          <w:bCs w:val="1"/>
          <w:color w:val="auto"/>
        </w:rPr>
        <w:t xml:space="preserve">5.2 Authority. </w:t>
      </w:r>
      <w:r>
        <w:rPr>
          <w:rFonts w:ascii="Arial" w:cs="Arial" w:eastAsia="Arial" w:hAnsi="Arial"/>
          <w:sz w:val="13"/>
          <w:szCs w:val="13"/>
          <w:color w:val="auto"/>
        </w:rPr>
        <w:t>The execution, delivery and performance by the Borrower of this Amendment and the performance hereof, have been duly authorized by all</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corporate action and will not violate any provision of law or of the articles of incorporation or bylaws of the Borrower, or result in a breach of, or constitute a default under, any agreement, indenture or other instrument to which the Borrower is a party or by which it may be bound. The individual executing this Amendment has been duly authorized to act on behalf of the Borrower and has the requisite authority to bind the Borrower to the terms hereof without further action of, and without obtaining any additional approvals from, the Borrower’s governing body or any other person or entity.</w:t>
      </w:r>
    </w:p>
    <w:p>
      <w:pPr>
        <w:spacing w:after="0" w:line="117"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5.3 Material Adverse Change. </w:t>
      </w:r>
      <w:r>
        <w:rPr>
          <w:rFonts w:ascii="Arial" w:cs="Arial" w:eastAsia="Arial" w:hAnsi="Arial"/>
          <w:sz w:val="13"/>
          <w:szCs w:val="13"/>
          <w:color w:val="auto"/>
        </w:rPr>
        <w:t>There has been no material adverse change in the financial condition or operations of the Borrower since the date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Original Agreement, except as set forth in the most recent financial statements submitted to RTFC or as otherwise disclosed in writing to RTFC prior to the date hereof.</w:t>
      </w:r>
    </w:p>
    <w:p>
      <w:pPr>
        <w:spacing w:after="0" w:line="97" w:lineRule="exact"/>
        <w:rPr>
          <w:sz w:val="20"/>
          <w:szCs w:val="20"/>
          <w:color w:val="auto"/>
        </w:rPr>
      </w:pPr>
    </w:p>
    <w:p>
      <w:pPr>
        <w:jc w:val="both"/>
        <w:ind w:right="20" w:firstLine="432"/>
        <w:spacing w:after="0" w:line="250" w:lineRule="auto"/>
        <w:rPr>
          <w:sz w:val="20"/>
          <w:szCs w:val="20"/>
          <w:color w:val="auto"/>
        </w:rPr>
      </w:pPr>
      <w:r>
        <w:rPr>
          <w:rFonts w:ascii="Arial" w:cs="Arial" w:eastAsia="Arial" w:hAnsi="Arial"/>
          <w:sz w:val="13"/>
          <w:szCs w:val="13"/>
          <w:b w:val="1"/>
          <w:bCs w:val="1"/>
          <w:color w:val="auto"/>
        </w:rPr>
        <w:t xml:space="preserve">5.4 REQUIRED APPROVALS. </w:t>
      </w:r>
      <w:r>
        <w:rPr>
          <w:rFonts w:ascii="Arial" w:cs="Arial" w:eastAsia="Arial" w:hAnsi="Arial"/>
          <w:sz w:val="13"/>
          <w:szCs w:val="13"/>
          <w:color w:val="auto"/>
        </w:rPr>
        <w:t>NO LICENSE, CONSENT OR APPROVAL OF ANY GOVERNMENTAL AGENCY OR AUTHORITY IS REQUIRED TO ENABLE</w:t>
      </w:r>
      <w:r>
        <w:rPr>
          <w:rFonts w:ascii="Arial" w:cs="Arial" w:eastAsia="Arial" w:hAnsi="Arial"/>
          <w:sz w:val="13"/>
          <w:szCs w:val="13"/>
          <w:b w:val="1"/>
          <w:bCs w:val="1"/>
          <w:color w:val="auto"/>
        </w:rPr>
        <w:t xml:space="preserve"> </w:t>
      </w:r>
      <w:r>
        <w:rPr>
          <w:rFonts w:ascii="Arial" w:cs="Arial" w:eastAsia="Arial" w:hAnsi="Arial"/>
          <w:sz w:val="13"/>
          <w:szCs w:val="13"/>
          <w:color w:val="auto"/>
        </w:rPr>
        <w:t>THE BORROWER TO ENTER INTO THIS AMENDMENT, OR TO PERFORM ANY OF THE OBLIGATIONS PROVIDED FOR HEREIN, EXCEPT AS HAVE BEEN OBTAINED BY THE BORROWER AND DELIVERED TO RTFC PRIOR TO THE DATE HEREOF.</w:t>
      </w:r>
    </w:p>
    <w:p>
      <w:pPr>
        <w:spacing w:after="0" w:line="109"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5.5 Prior Representations and Warranties. </w:t>
      </w:r>
      <w:r>
        <w:rPr>
          <w:rFonts w:ascii="Arial" w:cs="Arial" w:eastAsia="Arial" w:hAnsi="Arial"/>
          <w:sz w:val="13"/>
          <w:szCs w:val="13"/>
          <w:color w:val="auto"/>
        </w:rPr>
        <w:t>All representations and warranties made by the Borrower in the Original Agreement are true and correct as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date hereof.</w:t>
      </w:r>
    </w:p>
    <w:p>
      <w:pPr>
        <w:spacing w:after="0" w:line="97"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b w:val="1"/>
          <w:bCs w:val="1"/>
          <w:color w:val="auto"/>
        </w:rPr>
        <w:t>Section 6.</w:t>
      </w:r>
      <w:r>
        <w:rPr>
          <w:sz w:val="20"/>
          <w:szCs w:val="20"/>
          <w:color w:val="auto"/>
        </w:rPr>
        <w:tab/>
      </w:r>
      <w:r>
        <w:rPr>
          <w:rFonts w:ascii="Arial" w:cs="Arial" w:eastAsia="Arial" w:hAnsi="Arial"/>
          <w:sz w:val="13"/>
          <w:szCs w:val="13"/>
          <w:b w:val="1"/>
          <w:bCs w:val="1"/>
          <w:color w:val="auto"/>
        </w:rPr>
        <w:t>Miscellaneous.</w:t>
      </w:r>
    </w:p>
    <w:p>
      <w:pPr>
        <w:spacing w:after="0" w:line="139"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6.1 Modifications. </w:t>
      </w:r>
      <w:r>
        <w:rPr>
          <w:rFonts w:ascii="Arial" w:cs="Arial" w:eastAsia="Arial" w:hAnsi="Arial"/>
          <w:sz w:val="13"/>
          <w:szCs w:val="13"/>
          <w:color w:val="auto"/>
        </w:rPr>
        <w:t>No modification or waiver of any provision of this Amendment, and no consent to any departure by the Borrower therefrom, shall in any</w:t>
      </w:r>
      <w:r>
        <w:rPr>
          <w:rFonts w:ascii="Arial" w:cs="Arial" w:eastAsia="Arial" w:hAnsi="Arial"/>
          <w:sz w:val="13"/>
          <w:szCs w:val="13"/>
          <w:b w:val="1"/>
          <w:bCs w:val="1"/>
          <w:color w:val="auto"/>
        </w:rPr>
        <w:t xml:space="preserve"> </w:t>
      </w:r>
      <w:r>
        <w:rPr>
          <w:rFonts w:ascii="Arial" w:cs="Arial" w:eastAsia="Arial" w:hAnsi="Arial"/>
          <w:sz w:val="13"/>
          <w:szCs w:val="13"/>
          <w:color w:val="auto"/>
        </w:rPr>
        <w:t>event be effective unless the same shall be in writing by the party granting such modification, waiver or consent.</w:t>
      </w:r>
    </w:p>
    <w:p>
      <w:pPr>
        <w:spacing w:after="0" w:line="97"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6.2 Merger and Integration. </w:t>
      </w:r>
      <w:r>
        <w:rPr>
          <w:rFonts w:ascii="Arial" w:cs="Arial" w:eastAsia="Arial" w:hAnsi="Arial"/>
          <w:sz w:val="13"/>
          <w:szCs w:val="13"/>
          <w:color w:val="auto"/>
        </w:rPr>
        <w:t>This Amendment, the Original Agreement and the matters incorporated by reference contain the entire agreement of the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hereto with respect to the matters covered and the transactions contemplated hereby.</w:t>
      </w:r>
    </w:p>
    <w:p>
      <w:pPr>
        <w:spacing w:after="0" w:line="97" w:lineRule="exact"/>
        <w:rPr>
          <w:sz w:val="20"/>
          <w:szCs w:val="20"/>
          <w:color w:val="auto"/>
        </w:rPr>
      </w:pPr>
    </w:p>
    <w:p>
      <w:pPr>
        <w:jc w:val="both"/>
        <w:ind w:right="20" w:firstLine="432"/>
        <w:spacing w:after="0" w:line="269" w:lineRule="auto"/>
        <w:rPr>
          <w:sz w:val="20"/>
          <w:szCs w:val="20"/>
          <w:color w:val="auto"/>
        </w:rPr>
      </w:pPr>
      <w:r>
        <w:rPr>
          <w:rFonts w:ascii="Arial" w:cs="Arial" w:eastAsia="Arial" w:hAnsi="Arial"/>
          <w:sz w:val="13"/>
          <w:szCs w:val="13"/>
          <w:b w:val="1"/>
          <w:bCs w:val="1"/>
          <w:color w:val="auto"/>
        </w:rPr>
        <w:t xml:space="preserve">6.3 Headings. </w:t>
      </w:r>
      <w:r>
        <w:rPr>
          <w:rFonts w:ascii="Arial" w:cs="Arial" w:eastAsia="Arial" w:hAnsi="Arial"/>
          <w:sz w:val="13"/>
          <w:szCs w:val="13"/>
          <w:color w:val="auto"/>
        </w:rPr>
        <w:t>The headings and sub-headings contained in the titling of this Amendment are intended to be used for convenience only and do not constitute</w:t>
      </w:r>
      <w:r>
        <w:rPr>
          <w:rFonts w:ascii="Arial" w:cs="Arial" w:eastAsia="Arial" w:hAnsi="Arial"/>
          <w:sz w:val="13"/>
          <w:szCs w:val="13"/>
          <w:b w:val="1"/>
          <w:bCs w:val="1"/>
          <w:color w:val="auto"/>
        </w:rPr>
        <w:t xml:space="preserve"> </w:t>
      </w:r>
      <w:r>
        <w:rPr>
          <w:rFonts w:ascii="Arial" w:cs="Arial" w:eastAsia="Arial" w:hAnsi="Arial"/>
          <w:sz w:val="13"/>
          <w:szCs w:val="13"/>
          <w:color w:val="auto"/>
        </w:rPr>
        <w:t>part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481965</wp:posOffset>
            </wp:positionV>
            <wp:extent cx="63322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485" w:right="95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color w:val="auto"/>
        </w:rPr>
        <w:t>3</w:t>
      </w:r>
    </w:p>
    <w:p>
      <w:pPr>
        <w:spacing w:after="0" w:line="355"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3"/>
          <w:szCs w:val="13"/>
          <w:b w:val="1"/>
          <w:bCs w:val="1"/>
          <w:color w:val="auto"/>
        </w:rPr>
        <w:t xml:space="preserve">6.4 Severability. </w:t>
      </w:r>
      <w:r>
        <w:rPr>
          <w:rFonts w:ascii="Arial" w:cs="Arial" w:eastAsia="Arial" w:hAnsi="Arial"/>
          <w:sz w:val="13"/>
          <w:szCs w:val="13"/>
          <w:color w:val="auto"/>
        </w:rPr>
        <w:t>If any term, provision or condition, or any part thereof, of this Amendment, shall for any reason be found or held invalid or unenforceable by</w:t>
      </w:r>
      <w:r>
        <w:rPr>
          <w:rFonts w:ascii="Arial" w:cs="Arial" w:eastAsia="Arial" w:hAnsi="Arial"/>
          <w:sz w:val="13"/>
          <w:szCs w:val="13"/>
          <w:b w:val="1"/>
          <w:bCs w:val="1"/>
          <w:color w:val="auto"/>
        </w:rPr>
        <w:t xml:space="preserve"> </w:t>
      </w:r>
      <w:r>
        <w:rPr>
          <w:rFonts w:ascii="Arial" w:cs="Arial" w:eastAsia="Arial" w:hAnsi="Arial"/>
          <w:sz w:val="13"/>
          <w:szCs w:val="13"/>
          <w:color w:val="auto"/>
        </w:rPr>
        <w:t>any governmental agency or court of competent jurisdiction, such invalidity or unenforceability shall not affect the remainder of such term, provision or condition nor any other term, provision or condition, and this Amendment and the Original Agreement shall survive and be construed as if such invalid or unenforceable term, provision or condition had not been contained therein.</w:t>
      </w:r>
    </w:p>
    <w:p>
      <w:pPr>
        <w:spacing w:after="0" w:line="115"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3"/>
          <w:szCs w:val="13"/>
          <w:b w:val="1"/>
          <w:bCs w:val="1"/>
          <w:color w:val="auto"/>
        </w:rPr>
        <w:t xml:space="preserve">6.5 Incorporation; Inconsistency with Original Agreement. </w:t>
      </w:r>
      <w:r>
        <w:rPr>
          <w:rFonts w:ascii="Arial" w:cs="Arial" w:eastAsia="Arial" w:hAnsi="Arial"/>
          <w:sz w:val="13"/>
          <w:szCs w:val="13"/>
          <w:color w:val="auto"/>
        </w:rPr>
        <w:t>Except as otherwise amended or modified herein, the terms, conditions and provisions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Original Agreement are incorporated herein by reference as if set forth in full herein and remain in full force and effect. In the event of any conflict or inconsistency between the terms of this Amendment and the Original Agreement, the terms of this Amendment shall control. Nothing in this Amendment shall, however, eliminate or modify any special condition, special affirmative covenant or special negative covenant, if any, specified in the Original Agreement.</w:t>
      </w:r>
    </w:p>
    <w:p>
      <w:pPr>
        <w:spacing w:after="0" w:line="11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b w:val="1"/>
          <w:bCs w:val="1"/>
          <w:color w:val="auto"/>
        </w:rPr>
        <w:t>GOVERNING LAW; SUBMISSION TO JURISDICTION; WAIVER OF JURY TRIAL.</w:t>
      </w:r>
    </w:p>
    <w:p>
      <w:pPr>
        <w:spacing w:after="0" w:line="139" w:lineRule="exact"/>
        <w:rPr>
          <w:sz w:val="20"/>
          <w:szCs w:val="20"/>
          <w:color w:val="auto"/>
        </w:rPr>
      </w:pPr>
    </w:p>
    <w:p>
      <w:pPr>
        <w:ind w:right="20" w:firstLine="429"/>
        <w:spacing w:after="0" w:line="269" w:lineRule="auto"/>
        <w:tabs>
          <w:tab w:leader="none" w:pos="644"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PERFORMANCE AND CONSTRUCTION OF THIS AMENDMENT SHALL BE GOVERNED BY, AND CONSTRUED IN ACCORDANCE WITH, THE LAWS OF THE COMMONWEALTH OF VIRGINIA.</w:t>
      </w:r>
    </w:p>
    <w:p>
      <w:pPr>
        <w:spacing w:after="0" w:line="96" w:lineRule="exact"/>
        <w:rPr>
          <w:rFonts w:ascii="Arial" w:cs="Arial" w:eastAsia="Arial" w:hAnsi="Arial"/>
          <w:sz w:val="13"/>
          <w:szCs w:val="13"/>
          <w:color w:val="auto"/>
        </w:rPr>
      </w:pPr>
    </w:p>
    <w:p>
      <w:pPr>
        <w:jc w:val="both"/>
        <w:ind w:firstLine="429"/>
        <w:spacing w:after="0"/>
        <w:tabs>
          <w:tab w:leader="none" w:pos="661"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BORROWER HEREBY SUBMITS TO THE NON-EXCLUSIVE JURISDICTION OF THE UNITED STATES COURTS LOCATED IN VIRGINIA AND OF ANY STATE COURT SO LOCATED FOR PURPOSES OF ALL LEGAL PROCEEDINGS ARISING OUT OF OR RELATING TO THIS AMENDMENT OR THE TRANSACTIONS CONTEMPLATED HEREBY. THE BORROWER IRREVOCABLY WAIVES, TO THE FULLEST EXTENT PERMITTED BY APPLICABLE LAW, ANY OBJECTIONS THAT IT MAY NOW OR HEREAFTER HAVE TO THE ESTABLISHING OF THE VENUE OF ANY SUCH PROCEEDINGS BROUGHT IN SUCH A COURT AND ANY CLAIM THAT ANY SUCH PROCEEDING HAS BEEN BROUGHT IN AN INCONVENIENT FORUM.</w:t>
      </w:r>
    </w:p>
    <w:p>
      <w:pPr>
        <w:spacing w:after="0" w:line="116" w:lineRule="exact"/>
        <w:rPr>
          <w:rFonts w:ascii="Arial" w:cs="Arial" w:eastAsia="Arial" w:hAnsi="Arial"/>
          <w:sz w:val="13"/>
          <w:szCs w:val="13"/>
          <w:color w:val="auto"/>
        </w:rPr>
      </w:pPr>
    </w:p>
    <w:p>
      <w:pPr>
        <w:jc w:val="both"/>
        <w:ind w:right="20" w:firstLine="429"/>
        <w:spacing w:after="0" w:line="250" w:lineRule="auto"/>
        <w:tabs>
          <w:tab w:leader="none" w:pos="663"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BORROWER AND RTFC EACH HEREBY IRREVOCABLY WAIVES, TO THE FULLEST EXTENT PERMITTED BY APPLICABLE LAW, ANY AND ALL RIGHT TO TRIAL BY JURY IN ANY LEGAL PROCEEDING ARISING OUT OF OR RELATING TO THIS AMENDMENT OR THE TRANSACTIONS CONTEMPLATED HEREBY.</w:t>
      </w:r>
    </w:p>
    <w:p>
      <w:pPr>
        <w:spacing w:after="0" w:line="109" w:lineRule="exact"/>
        <w:rPr>
          <w:sz w:val="20"/>
          <w:szCs w:val="20"/>
          <w:color w:val="auto"/>
        </w:rPr>
      </w:pPr>
    </w:p>
    <w:p>
      <w:pPr>
        <w:ind w:right="20" w:firstLine="432"/>
        <w:spacing w:after="0" w:line="269" w:lineRule="auto"/>
        <w:rPr>
          <w:sz w:val="20"/>
          <w:szCs w:val="20"/>
          <w:color w:val="auto"/>
        </w:rPr>
      </w:pPr>
      <w:r>
        <w:rPr>
          <w:rFonts w:ascii="Arial" w:cs="Arial" w:eastAsia="Arial" w:hAnsi="Arial"/>
          <w:sz w:val="13"/>
          <w:szCs w:val="13"/>
          <w:b w:val="1"/>
          <w:bCs w:val="1"/>
          <w:color w:val="auto"/>
        </w:rPr>
        <w:t xml:space="preserve">6.7 Counterparts. </w:t>
      </w:r>
      <w:r>
        <w:rPr>
          <w:rFonts w:ascii="Arial" w:cs="Arial" w:eastAsia="Arial" w:hAnsi="Arial"/>
          <w:sz w:val="13"/>
          <w:szCs w:val="13"/>
          <w:color w:val="auto"/>
        </w:rPr>
        <w:t>This Amendment may be executed in any number of counterparts, each of which counterparts, when so executed and delivered,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deemed to be an original and all of which counterparts, taken together, shall constitute but one and the same Amendment.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508635</wp:posOffset>
            </wp:positionV>
            <wp:extent cx="63322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485" w:right="95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color w:val="auto"/>
        </w:rPr>
        <w:t>4</w:t>
      </w:r>
    </w:p>
    <w:p>
      <w:pPr>
        <w:spacing w:after="0" w:line="355"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caused this Amendment to be executed as of the day and year first above written.</w:t>
      </w:r>
    </w:p>
    <w:p>
      <w:pPr>
        <w:spacing w:after="0" w:line="148"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ATN VI HOLDINGS, LLC</w:t>
      </w:r>
    </w:p>
    <w:p>
      <w:pPr>
        <w:spacing w:after="0" w:line="139" w:lineRule="exact"/>
        <w:rPr>
          <w:sz w:val="20"/>
          <w:szCs w:val="20"/>
          <w:color w:val="auto"/>
        </w:rPr>
      </w:pPr>
    </w:p>
    <w:tbl>
      <w:tblPr>
        <w:tblLayout w:type="fixed"/>
        <w:tblInd w:w="5260" w:type="dxa"/>
        <w:tblCellMar>
          <w:top w:w="0" w:type="dxa"/>
          <w:left w:w="0" w:type="dxa"/>
          <w:bottom w:w="0" w:type="dxa"/>
          <w:right w:w="0" w:type="dxa"/>
        </w:tblCellMar>
      </w:tblPr>
      <w:tr>
        <w:trPr>
          <w:trHeight w:val="158"/>
        </w:trPr>
        <w:tc>
          <w:tcPr>
            <w:tcW w:w="620" w:type="dxa"/>
            <w:vAlign w:val="bottom"/>
          </w:tcPr>
          <w:p>
            <w:pPr>
              <w:spacing w:after="0"/>
              <w:rPr>
                <w:sz w:val="20"/>
                <w:szCs w:val="20"/>
                <w:color w:val="auto"/>
              </w:rPr>
            </w:pPr>
            <w:r>
              <w:rPr>
                <w:rFonts w:ascii="Arial" w:cs="Arial" w:eastAsia="Arial" w:hAnsi="Arial"/>
                <w:sz w:val="13"/>
                <w:szCs w:val="13"/>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Domenic Micale</w:t>
            </w:r>
          </w:p>
        </w:tc>
      </w:tr>
      <w:tr>
        <w:trPr>
          <w:trHeight w:val="119"/>
        </w:trPr>
        <w:tc>
          <w:tcPr>
            <w:tcW w:w="62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4080" w:type="dxa"/>
            <w:vAlign w:val="bottom"/>
          </w:tcPr>
          <w:p>
            <w:pPr>
              <w:spacing w:after="0" w:line="119" w:lineRule="exact"/>
              <w:rPr>
                <w:sz w:val="20"/>
                <w:szCs w:val="20"/>
                <w:color w:val="auto"/>
              </w:rPr>
            </w:pPr>
            <w:r>
              <w:rPr>
                <w:rFonts w:ascii="Arial" w:cs="Arial" w:eastAsia="Arial" w:hAnsi="Arial"/>
                <w:sz w:val="13"/>
                <w:szCs w:val="13"/>
                <w:color w:val="auto"/>
              </w:rPr>
              <w:t>Domenic Micale</w:t>
            </w:r>
          </w:p>
        </w:tc>
      </w:tr>
      <w:tr>
        <w:trPr>
          <w:trHeight w:val="173"/>
        </w:trPr>
        <w:tc>
          <w:tcPr>
            <w:tcW w:w="620" w:type="dxa"/>
            <w:vAlign w:val="bottom"/>
          </w:tcPr>
          <w:p>
            <w:pPr>
              <w:spacing w:after="0"/>
              <w:rPr>
                <w:sz w:val="20"/>
                <w:szCs w:val="20"/>
                <w:color w:val="auto"/>
              </w:rPr>
            </w:pPr>
            <w:r>
              <w:rPr>
                <w:rFonts w:ascii="Arial" w:cs="Arial" w:eastAsia="Arial" w:hAnsi="Arial"/>
                <w:sz w:val="13"/>
                <w:szCs w:val="13"/>
                <w:color w:val="auto"/>
              </w:rPr>
              <w:t>Title:</w:t>
            </w:r>
          </w:p>
        </w:tc>
        <w:tc>
          <w:tcPr>
            <w:tcW w:w="408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15"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color w:val="auto"/>
        </w:rPr>
        <w:t>Attest:</w:t>
      </w:r>
      <w:r>
        <w:rPr>
          <w:sz w:val="20"/>
          <w:szCs w:val="20"/>
          <w:color w:val="auto"/>
        </w:rPr>
        <w:tab/>
      </w:r>
      <w:r>
        <w:rPr>
          <w:rFonts w:ascii="Arial" w:cs="Arial" w:eastAsia="Arial" w:hAnsi="Arial"/>
          <w:sz w:val="13"/>
          <w:szCs w:val="13"/>
          <w:color w:val="auto"/>
        </w:rPr>
        <w:t>/s/ Mary Mabey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5715</wp:posOffset>
            </wp:positionV>
            <wp:extent cx="27432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43200" cy="571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3"/>
          <w:szCs w:val="13"/>
          <w:color w:val="auto"/>
        </w:rPr>
        <w:t>Mary Mabey</w:t>
      </w:r>
    </w:p>
    <w:p>
      <w:pPr>
        <w:spacing w:after="0"/>
        <w:tabs>
          <w:tab w:leader="none" w:pos="64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Secretary</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RURAL TELEPHONE FINANCE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COOPERATIVE</w:t>
      </w:r>
    </w:p>
    <w:p>
      <w:pPr>
        <w:spacing w:after="0" w:line="127" w:lineRule="exact"/>
        <w:rPr>
          <w:sz w:val="20"/>
          <w:szCs w:val="20"/>
          <w:color w:val="auto"/>
        </w:rPr>
      </w:pPr>
    </w:p>
    <w:p>
      <w:pPr>
        <w:ind w:left="5260"/>
        <w:spacing w:after="0"/>
        <w:tabs>
          <w:tab w:leader="none" w:pos="5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Ian Flanders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5715</wp:posOffset>
            </wp:positionV>
            <wp:extent cx="259461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4610" cy="571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3"/>
          <w:szCs w:val="13"/>
          <w:color w:val="auto"/>
        </w:rPr>
        <w:t>Assistant Secretary-Treasurer</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color w:val="auto"/>
        </w:rPr>
        <w:t>Attest:</w:t>
      </w:r>
      <w:r>
        <w:rPr>
          <w:sz w:val="20"/>
          <w:szCs w:val="20"/>
          <w:color w:val="auto"/>
        </w:rPr>
        <w:tab/>
      </w:r>
      <w:r>
        <w:rPr>
          <w:rFonts w:ascii="Arial" w:cs="Arial" w:eastAsia="Arial" w:hAnsi="Arial"/>
          <w:sz w:val="13"/>
          <w:szCs w:val="13"/>
          <w:color w:val="auto"/>
        </w:rPr>
        <w:t>/s/ Adam Lush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5715</wp:posOffset>
            </wp:positionV>
            <wp:extent cx="27432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0" cy="571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3"/>
          <w:szCs w:val="13"/>
          <w:color w:val="auto"/>
        </w:rPr>
        <w:t>Assistant Secretary-Treasurer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Loan Number: MA802-A-9000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325755</wp:posOffset>
            </wp:positionV>
            <wp:extent cx="63322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485" w:right="9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Michael T. Prior, certify that:</w:t>
      </w:r>
    </w:p>
    <w:p>
      <w:pPr>
        <w:spacing w:after="0" w:line="150" w:lineRule="exact"/>
        <w:rPr>
          <w:sz w:val="20"/>
          <w:szCs w:val="20"/>
          <w:color w:val="auto"/>
        </w:rPr>
      </w:pPr>
    </w:p>
    <w:p>
      <w:pPr>
        <w:ind w:left="580" w:hanging="295"/>
        <w:spacing w:after="0"/>
        <w:tabs>
          <w:tab w:leader="none" w:pos="5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ATN International, Inc.;</w:t>
      </w:r>
    </w:p>
    <w:p>
      <w:pPr>
        <w:spacing w:after="0" w:line="105" w:lineRule="exact"/>
        <w:rPr>
          <w:rFonts w:ascii="Times New Roman" w:cs="Times New Roman" w:eastAsia="Times New Roman" w:hAnsi="Times New Roman"/>
          <w:sz w:val="12"/>
          <w:szCs w:val="12"/>
          <w:color w:val="auto"/>
        </w:rPr>
      </w:pPr>
    </w:p>
    <w:p>
      <w:pPr>
        <w:ind w:left="580" w:right="200" w:hanging="295"/>
        <w:spacing w:after="0" w:line="279" w:lineRule="auto"/>
        <w:tabs>
          <w:tab w:leader="none" w:pos="5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2"/>
          <w:szCs w:val="12"/>
          <w:color w:val="auto"/>
        </w:rPr>
      </w:pPr>
    </w:p>
    <w:p>
      <w:pPr>
        <w:ind w:left="580" w:right="20" w:hanging="295"/>
        <w:spacing w:after="0" w:line="279" w:lineRule="auto"/>
        <w:tabs>
          <w:tab w:leader="none" w:pos="5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2"/>
          <w:szCs w:val="12"/>
          <w:color w:val="auto"/>
        </w:rPr>
      </w:pPr>
    </w:p>
    <w:p>
      <w:pPr>
        <w:ind w:left="580" w:right="300" w:hanging="295"/>
        <w:spacing w:after="0" w:line="279" w:lineRule="auto"/>
        <w:tabs>
          <w:tab w:leader="none" w:pos="5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12"/>
          <w:szCs w:val="12"/>
          <w:color w:val="auto"/>
        </w:rPr>
      </w:pPr>
    </w:p>
    <w:p>
      <w:pPr>
        <w:ind w:left="1240" w:right="160" w:hanging="289"/>
        <w:spacing w:after="0" w:line="279" w:lineRule="auto"/>
        <w:tabs>
          <w:tab w:leader="none" w:pos="12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12"/>
          <w:szCs w:val="12"/>
          <w:color w:val="auto"/>
        </w:rPr>
      </w:pPr>
    </w:p>
    <w:p>
      <w:pPr>
        <w:ind w:left="1240" w:right="340" w:hanging="289"/>
        <w:spacing w:after="0" w:line="279" w:lineRule="auto"/>
        <w:tabs>
          <w:tab w:leader="none" w:pos="12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12"/>
          <w:szCs w:val="12"/>
          <w:color w:val="auto"/>
        </w:rPr>
      </w:pPr>
    </w:p>
    <w:p>
      <w:pPr>
        <w:ind w:left="1240" w:right="500" w:hanging="289"/>
        <w:spacing w:after="0" w:line="279" w:lineRule="auto"/>
        <w:tabs>
          <w:tab w:leader="none" w:pos="12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12"/>
          <w:szCs w:val="12"/>
          <w:color w:val="auto"/>
        </w:rPr>
      </w:pPr>
    </w:p>
    <w:p>
      <w:pPr>
        <w:ind w:left="1240" w:right="200" w:hanging="289"/>
        <w:spacing w:after="0" w:line="279" w:lineRule="auto"/>
        <w:tabs>
          <w:tab w:leader="none" w:pos="12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2"/>
          <w:szCs w:val="12"/>
          <w:color w:val="auto"/>
        </w:rPr>
      </w:pPr>
    </w:p>
    <w:p>
      <w:pPr>
        <w:ind w:left="580" w:right="80" w:hanging="295"/>
        <w:spacing w:after="0" w:line="279" w:lineRule="auto"/>
        <w:tabs>
          <w:tab w:leader="none" w:pos="5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12"/>
          <w:szCs w:val="12"/>
          <w:color w:val="auto"/>
        </w:rPr>
      </w:pPr>
    </w:p>
    <w:p>
      <w:pPr>
        <w:ind w:left="1240" w:right="240" w:hanging="289"/>
        <w:spacing w:after="0" w:line="279" w:lineRule="auto"/>
        <w:tabs>
          <w:tab w:leader="none" w:pos="12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12"/>
          <w:szCs w:val="12"/>
          <w:color w:val="auto"/>
        </w:rPr>
      </w:pPr>
    </w:p>
    <w:p>
      <w:pPr>
        <w:ind w:left="1240" w:hanging="289"/>
        <w:spacing w:after="0"/>
        <w:tabs>
          <w:tab w:leader="none" w:pos="12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Date: May 10, 2022</w:t>
            </w:r>
          </w:p>
        </w:tc>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Michael T. Prior</w:t>
            </w:r>
          </w:p>
        </w:tc>
      </w:tr>
      <w:tr>
        <w:trPr>
          <w:trHeight w:val="122"/>
        </w:trPr>
        <w:tc>
          <w:tcPr>
            <w:tcW w:w="5480" w:type="dxa"/>
            <w:vAlign w:val="bottom"/>
          </w:tcPr>
          <w:p>
            <w:pPr>
              <w:spacing w:after="0"/>
              <w:rPr>
                <w:sz w:val="10"/>
                <w:szCs w:val="10"/>
                <w:color w:val="auto"/>
              </w:rPr>
            </w:pPr>
          </w:p>
        </w:tc>
        <w:tc>
          <w:tcPr>
            <w:tcW w:w="48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Michael T. Prior</w:t>
            </w:r>
          </w:p>
        </w:tc>
        <w:tc>
          <w:tcPr>
            <w:tcW w:w="20" w:type="dxa"/>
            <w:vAlign w:val="bottom"/>
          </w:tcPr>
          <w:p>
            <w:pPr>
              <w:spacing w:after="0"/>
              <w:rPr>
                <w:sz w:val="10"/>
                <w:szCs w:val="10"/>
                <w:color w:val="auto"/>
              </w:rPr>
            </w:pPr>
          </w:p>
        </w:tc>
      </w:tr>
      <w:tr>
        <w:trPr>
          <w:trHeight w:val="155"/>
        </w:trPr>
        <w:tc>
          <w:tcPr>
            <w:tcW w:w="54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529"/>
        </w:trPr>
        <w:tc>
          <w:tcPr>
            <w:tcW w:w="54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300"/>
          </w:cols>
          <w:pgMar w:left="800" w:top="125" w:right="7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Justin D. Benincasa, certify that:</w:t>
      </w:r>
    </w:p>
    <w:p>
      <w:pPr>
        <w:spacing w:after="0" w:line="150" w:lineRule="exact"/>
        <w:rPr>
          <w:sz w:val="20"/>
          <w:szCs w:val="20"/>
          <w:color w:val="auto"/>
        </w:rPr>
      </w:pPr>
    </w:p>
    <w:p>
      <w:pPr>
        <w:ind w:left="580" w:hanging="295"/>
        <w:spacing w:after="0"/>
        <w:tabs>
          <w:tab w:leader="none" w:pos="5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ATN International, Inc.;</w:t>
      </w:r>
    </w:p>
    <w:p>
      <w:pPr>
        <w:spacing w:after="0" w:line="105" w:lineRule="exact"/>
        <w:rPr>
          <w:rFonts w:ascii="Times New Roman" w:cs="Times New Roman" w:eastAsia="Times New Roman" w:hAnsi="Times New Roman"/>
          <w:sz w:val="12"/>
          <w:szCs w:val="12"/>
          <w:color w:val="auto"/>
        </w:rPr>
      </w:pPr>
    </w:p>
    <w:p>
      <w:pPr>
        <w:ind w:left="580" w:right="200" w:hanging="295"/>
        <w:spacing w:after="0" w:line="279" w:lineRule="auto"/>
        <w:tabs>
          <w:tab w:leader="none" w:pos="5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2"/>
          <w:szCs w:val="12"/>
          <w:color w:val="auto"/>
        </w:rPr>
      </w:pPr>
    </w:p>
    <w:p>
      <w:pPr>
        <w:ind w:left="580" w:right="20" w:hanging="295"/>
        <w:spacing w:after="0" w:line="279" w:lineRule="auto"/>
        <w:tabs>
          <w:tab w:leader="none" w:pos="5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12"/>
          <w:szCs w:val="12"/>
          <w:color w:val="auto"/>
        </w:rPr>
      </w:pPr>
    </w:p>
    <w:p>
      <w:pPr>
        <w:ind w:left="580" w:right="300" w:hanging="295"/>
        <w:spacing w:after="0" w:line="279" w:lineRule="auto"/>
        <w:tabs>
          <w:tab w:leader="none" w:pos="5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12"/>
          <w:szCs w:val="12"/>
          <w:color w:val="auto"/>
        </w:rPr>
      </w:pPr>
    </w:p>
    <w:p>
      <w:pPr>
        <w:ind w:left="1240" w:right="160" w:hanging="289"/>
        <w:spacing w:after="0" w:line="279" w:lineRule="auto"/>
        <w:tabs>
          <w:tab w:leader="none" w:pos="12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12"/>
          <w:szCs w:val="12"/>
          <w:color w:val="auto"/>
        </w:rPr>
      </w:pPr>
    </w:p>
    <w:p>
      <w:pPr>
        <w:ind w:left="1240" w:right="340" w:hanging="289"/>
        <w:spacing w:after="0" w:line="279" w:lineRule="auto"/>
        <w:tabs>
          <w:tab w:leader="none" w:pos="12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12"/>
          <w:szCs w:val="12"/>
          <w:color w:val="auto"/>
        </w:rPr>
      </w:pPr>
    </w:p>
    <w:p>
      <w:pPr>
        <w:ind w:left="1240" w:right="500" w:hanging="289"/>
        <w:spacing w:after="0" w:line="279" w:lineRule="auto"/>
        <w:tabs>
          <w:tab w:leader="none" w:pos="12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12"/>
          <w:szCs w:val="12"/>
          <w:color w:val="auto"/>
        </w:rPr>
      </w:pPr>
    </w:p>
    <w:p>
      <w:pPr>
        <w:ind w:left="1240" w:right="200" w:hanging="298"/>
        <w:spacing w:after="0" w:line="279" w:lineRule="auto"/>
        <w:tabs>
          <w:tab w:leader="none" w:pos="12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2"/>
          <w:szCs w:val="12"/>
          <w:color w:val="auto"/>
        </w:rPr>
      </w:pPr>
    </w:p>
    <w:p>
      <w:pPr>
        <w:ind w:left="580" w:right="80" w:hanging="295"/>
        <w:spacing w:after="0" w:line="279" w:lineRule="auto"/>
        <w:tabs>
          <w:tab w:leader="none" w:pos="5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12"/>
          <w:szCs w:val="12"/>
          <w:color w:val="auto"/>
        </w:rPr>
      </w:pPr>
    </w:p>
    <w:p>
      <w:pPr>
        <w:ind w:left="1240" w:right="240" w:hanging="298"/>
        <w:spacing w:after="0" w:line="279" w:lineRule="auto"/>
        <w:tabs>
          <w:tab w:leader="none" w:pos="12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12"/>
          <w:szCs w:val="12"/>
          <w:color w:val="auto"/>
        </w:rPr>
      </w:pPr>
    </w:p>
    <w:p>
      <w:pPr>
        <w:ind w:left="1240" w:hanging="289"/>
        <w:spacing w:after="0"/>
        <w:tabs>
          <w:tab w:leader="none" w:pos="12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tcPr>
          <w:p>
            <w:pPr>
              <w:spacing w:after="0"/>
              <w:rPr>
                <w:sz w:val="13"/>
                <w:szCs w:val="13"/>
                <w:color w:val="auto"/>
              </w:rPr>
            </w:pPr>
          </w:p>
        </w:tc>
        <w:tc>
          <w:tcPr>
            <w:tcW w:w="7240" w:type="dxa"/>
            <w:vAlign w:val="bottom"/>
            <w:gridSpan w:val="3"/>
          </w:tcPr>
          <w:p>
            <w:pPr>
              <w:ind w:left="2100"/>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Date: May 10, 2022</w:t>
            </w:r>
          </w:p>
        </w:tc>
        <w:tc>
          <w:tcPr>
            <w:tcW w:w="254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Justin D. Benincasa</w:t>
            </w:r>
          </w:p>
        </w:tc>
      </w:tr>
      <w:tr>
        <w:trPr>
          <w:trHeight w:val="122"/>
        </w:trPr>
        <w:tc>
          <w:tcPr>
            <w:tcW w:w="30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6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Justin D. Benincasa</w:t>
            </w:r>
          </w:p>
        </w:tc>
        <w:tc>
          <w:tcPr>
            <w:tcW w:w="20" w:type="dxa"/>
            <w:vAlign w:val="bottom"/>
          </w:tcPr>
          <w:p>
            <w:pPr>
              <w:spacing w:after="0"/>
              <w:rPr>
                <w:sz w:val="10"/>
                <w:szCs w:val="10"/>
                <w:color w:val="auto"/>
              </w:rPr>
            </w:pPr>
          </w:p>
        </w:tc>
      </w:tr>
      <w:tr>
        <w:trPr>
          <w:trHeight w:val="155"/>
        </w:trPr>
        <w:tc>
          <w:tcPr>
            <w:tcW w:w="30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529"/>
        </w:trPr>
        <w:tc>
          <w:tcPr>
            <w:tcW w:w="3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300"/>
          </w:cols>
          <w:pgMar w:left="800" w:top="125" w:right="799" w:bottom="1440" w:gutter="0" w:footer="0" w:header="0"/>
        </w:sectPr>
      </w:pPr>
    </w:p>
    <w:bookmarkStart w:id="68" w:name="page69"/>
    <w:bookmarkEnd w:id="68"/>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20" w:right="199" w:firstLine="294"/>
        <w:spacing w:after="0" w:line="283" w:lineRule="auto"/>
        <w:rPr>
          <w:sz w:val="20"/>
          <w:szCs w:val="20"/>
          <w:color w:val="auto"/>
        </w:rPr>
      </w:pPr>
      <w:r>
        <w:rPr>
          <w:rFonts w:ascii="Times New Roman" w:cs="Times New Roman" w:eastAsia="Times New Roman" w:hAnsi="Times New Roman"/>
          <w:sz w:val="11"/>
          <w:szCs w:val="11"/>
          <w:color w:val="auto"/>
        </w:rPr>
        <w:t>In connection with the quarterly report on Form 10-Q of ATN International, Inc. (the “Company”) for the period ended March 31, 2022 as filed with the Securities and Exchange Commission on the date hereof (the “Report”), I, Michael T. Prior, President and Chief Executive Officer of the Company, certify, pursuant to 18 U.S.C. § 1350, as adopted pursuant to</w:t>
      </w:r>
    </w:p>
    <w:p>
      <w:pPr>
        <w:spacing w:after="0" w:line="1" w:lineRule="exact"/>
        <w:rPr>
          <w:sz w:val="20"/>
          <w:szCs w:val="20"/>
          <w:color w:val="auto"/>
        </w:rPr>
      </w:pPr>
    </w:p>
    <w:p>
      <w:pPr>
        <w:ind w:left="100" w:hanging="85"/>
        <w:spacing w:after="0"/>
        <w:tabs>
          <w:tab w:leader="none" w:pos="1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906 of the Sarbanes-Oxley Act of 2002, that:</w:t>
      </w:r>
    </w:p>
    <w:p>
      <w:pPr>
        <w:spacing w:after="0" w:line="139" w:lineRule="exact"/>
        <w:rPr>
          <w:rFonts w:ascii="Times New Roman" w:cs="Times New Roman" w:eastAsia="Times New Roman" w:hAnsi="Times New Roman"/>
          <w:sz w:val="12"/>
          <w:szCs w:val="12"/>
          <w:color w:val="auto"/>
        </w:rPr>
      </w:pPr>
    </w:p>
    <w:p>
      <w:pPr>
        <w:ind w:left="600" w:hanging="297"/>
        <w:spacing w:after="0"/>
        <w:tabs>
          <w:tab w:leader="none" w:pos="60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600" w:hanging="297"/>
        <w:spacing w:after="0"/>
        <w:tabs>
          <w:tab w:leader="none" w:pos="60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6220" w:type="dxa"/>
            <w:vAlign w:val="bottom"/>
            <w:gridSpan w:val="3"/>
          </w:tcPr>
          <w:p>
            <w:pPr>
              <w:ind w:left="1820"/>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Date: May 10, 2022</w:t>
            </w:r>
          </w:p>
        </w:tc>
        <w:tc>
          <w:tcPr>
            <w:tcW w:w="6220" w:type="dxa"/>
            <w:vAlign w:val="bottom"/>
            <w:gridSpan w:val="3"/>
          </w:tcPr>
          <w:p>
            <w:pPr>
              <w:ind w:left="1820"/>
              <w:spacing w:after="0"/>
              <w:rPr>
                <w:sz w:val="20"/>
                <w:szCs w:val="20"/>
                <w:color w:val="auto"/>
              </w:rPr>
            </w:pPr>
            <w:r>
              <w:rPr>
                <w:rFonts w:ascii="Times New Roman" w:cs="Times New Roman" w:eastAsia="Times New Roman" w:hAnsi="Times New Roman"/>
                <w:sz w:val="12"/>
                <w:szCs w:val="12"/>
                <w:color w:val="auto"/>
              </w:rPr>
              <w:t>By:  /s/ Michael T. Prior</w:t>
            </w:r>
          </w:p>
        </w:tc>
      </w:tr>
      <w:tr>
        <w:trPr>
          <w:trHeight w:val="122"/>
        </w:trPr>
        <w:tc>
          <w:tcPr>
            <w:tcW w:w="27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1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Michael T. Prior</w:t>
            </w:r>
          </w:p>
        </w:tc>
        <w:tc>
          <w:tcPr>
            <w:tcW w:w="20" w:type="dxa"/>
            <w:vAlign w:val="bottom"/>
          </w:tcPr>
          <w:p>
            <w:pPr>
              <w:spacing w:after="0"/>
              <w:rPr>
                <w:sz w:val="10"/>
                <w:szCs w:val="10"/>
                <w:color w:val="auto"/>
              </w:rPr>
            </w:pPr>
          </w:p>
        </w:tc>
      </w:tr>
      <w:tr>
        <w:trPr>
          <w:trHeight w:val="155"/>
        </w:trPr>
        <w:tc>
          <w:tcPr>
            <w:tcW w:w="2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529"/>
        </w:trPr>
        <w:tc>
          <w:tcPr>
            <w:tcW w:w="2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69" w:name="page70"/>
    <w:bookmarkEnd w:id="69"/>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jc w:val="both"/>
        <w:ind w:left="20" w:right="139" w:firstLine="294"/>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on Form 10-Q of ATN International, Inc. (the “Company”) for the period ended March 31, 2022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19" w:lineRule="exact"/>
        <w:rPr>
          <w:sz w:val="20"/>
          <w:szCs w:val="20"/>
          <w:color w:val="auto"/>
        </w:rPr>
      </w:pPr>
    </w:p>
    <w:p>
      <w:pPr>
        <w:ind w:left="600" w:hanging="297"/>
        <w:spacing w:after="0"/>
        <w:tabs>
          <w:tab w:leader="none" w:pos="6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600" w:hanging="297"/>
        <w:spacing w:after="0"/>
        <w:tabs>
          <w:tab w:leader="none" w:pos="6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6220" w:type="dxa"/>
            <w:vAlign w:val="bottom"/>
            <w:gridSpan w:val="3"/>
          </w:tcPr>
          <w:p>
            <w:pPr>
              <w:ind w:left="1800"/>
              <w:spacing w:after="0"/>
              <w:rPr>
                <w:sz w:val="20"/>
                <w:szCs w:val="20"/>
                <w:color w:val="auto"/>
              </w:rPr>
            </w:pPr>
            <w:r>
              <w:rPr>
                <w:rFonts w:ascii="Times New Roman" w:cs="Times New Roman" w:eastAsia="Times New Roman" w:hAnsi="Times New Roman"/>
                <w:sz w:val="12"/>
                <w:szCs w:val="12"/>
                <w:color w:val="auto"/>
              </w:rPr>
              <w:t>ATN International, Inc.</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Date: May 10, 2022</w:t>
            </w:r>
          </w:p>
        </w:tc>
        <w:tc>
          <w:tcPr>
            <w:tcW w:w="6220" w:type="dxa"/>
            <w:vAlign w:val="bottom"/>
            <w:gridSpan w:val="3"/>
          </w:tcPr>
          <w:p>
            <w:pPr>
              <w:ind w:left="1800"/>
              <w:spacing w:after="0"/>
              <w:rPr>
                <w:sz w:val="20"/>
                <w:szCs w:val="20"/>
                <w:color w:val="auto"/>
              </w:rPr>
            </w:pPr>
            <w:r>
              <w:rPr>
                <w:rFonts w:ascii="Times New Roman" w:cs="Times New Roman" w:eastAsia="Times New Roman" w:hAnsi="Times New Roman"/>
                <w:sz w:val="12"/>
                <w:szCs w:val="12"/>
                <w:color w:val="auto"/>
              </w:rPr>
              <w:t>By:  /s/ Justin D. Benincasa</w:t>
            </w:r>
          </w:p>
        </w:tc>
      </w:tr>
      <w:tr>
        <w:trPr>
          <w:trHeight w:val="122"/>
        </w:trPr>
        <w:tc>
          <w:tcPr>
            <w:tcW w:w="27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1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Justin D. Benincasa</w:t>
            </w:r>
          </w:p>
        </w:tc>
        <w:tc>
          <w:tcPr>
            <w:tcW w:w="20" w:type="dxa"/>
            <w:vAlign w:val="bottom"/>
          </w:tcPr>
          <w:p>
            <w:pPr>
              <w:spacing w:after="0"/>
              <w:rPr>
                <w:sz w:val="10"/>
                <w:szCs w:val="10"/>
                <w:color w:val="auto"/>
              </w:rPr>
            </w:pPr>
          </w:p>
        </w:tc>
      </w:tr>
      <w:tr>
        <w:trPr>
          <w:trHeight w:val="155"/>
        </w:trPr>
        <w:tc>
          <w:tcPr>
            <w:tcW w:w="2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529"/>
        </w:trPr>
        <w:tc>
          <w:tcPr>
            <w:tcW w:w="27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4"/>
    </w:lvl>
  </w:abstractNum>
  <w:abstractNum w:abstractNumId="2">
    <w:nsid w:val="431BD7B7"/>
    <w:multiLevelType w:val="hybridMultilevel"/>
    <w:lvl w:ilvl="0">
      <w:lvlJc w:val="left"/>
      <w:lvlText w:val="(%1)"/>
      <w:numFmt w:val="decimal"/>
      <w:start w:val="8"/>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lvl w:ilvl="1">
      <w:lvlJc w:val="left"/>
      <w:lvlText w:val="(%2)"/>
      <w:numFmt w:val="decimal"/>
      <w:start w:val="1"/>
    </w:lvl>
  </w:abstractNum>
  <w:abstractNum w:abstractNumId="10">
    <w:nsid w:val="721DA317"/>
    <w:multiLevelType w:val="hybridMultilevel"/>
    <w:lvl w:ilvl="0">
      <w:lvlJc w:val="left"/>
      <w:lvlText w:val="%1."/>
      <w:numFmt w:val="decimal"/>
      <w:start w:val="14"/>
    </w:lvl>
    <w:lvl w:ilvl="1">
      <w:lvlJc w:val="left"/>
      <w:lvlText w:val="%2"/>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lvl w:ilvl="1">
      <w:lvlJc w:val="left"/>
      <w:lvlText w:val="%2"/>
      <w:numFmt w:val="decimal"/>
      <w:start w:val="104"/>
    </w:lvl>
  </w:abstractNum>
  <w:abstractNum w:abstractNumId="27">
    <w:nsid w:val="1E7FF521"/>
    <w:multiLevelType w:val="hybridMultilevel"/>
    <w:lvl w:ilvl="0">
      <w:lvlJc w:val="left"/>
      <w:lvlText w:val="**"/>
      <w:numFmt w:val="bullet"/>
      <w:start w:val="1"/>
    </w:lvl>
    <w:lvl w:ilvl="1">
      <w:lvlJc w:val="left"/>
      <w:lvlText w:val="%2"/>
      <w:numFmt w:val="decimal"/>
      <w:start w:val="1"/>
    </w:lvl>
  </w:abstractNum>
  <w:abstractNum w:abstractNumId="28">
    <w:nsid w:val="7C3DBD3D"/>
    <w:multiLevelType w:val="hybridMultilevel"/>
    <w:lvl w:ilvl="0">
      <w:lvlJc w:val="left"/>
      <w:lvlText w:val="(%1)"/>
      <w:numFmt w:val="upp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
      <w:numFmt w:val="bullet"/>
      <w:start w:val="1"/>
    </w:lvl>
    <w:lvl w:ilvl="1">
      <w:lvlJc w:val="left"/>
      <w:lvlText w:val="%2."/>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2022-05-10T14:14:00Z</dcterms:created>
  <dcterms:modified xsi:type="dcterms:W3CDTF">2022-05-10T14:14:00Z</dcterms:modified>
</cp:coreProperties>
</file>