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126365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163195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10-Q</w:t>
      </w:r>
    </w:p>
    <w:p>
      <w:pPr>
        <w:spacing w:after="0" w:line="170" w:lineRule="exact"/>
        <w:rPr>
          <w:sz w:val="24"/>
          <w:szCs w:val="24"/>
          <w:color w:val="auto"/>
        </w:rPr>
      </w:pPr>
    </w:p>
    <w:p>
      <w:pPr>
        <w:ind w:left="660" w:right="200" w:hanging="409"/>
        <w:spacing w:after="0" w:line="267"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1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26" w:lineRule="exact"/>
        <w:rPr>
          <w:sz w:val="24"/>
          <w:szCs w:val="24"/>
          <w:color w:val="auto"/>
        </w:rPr>
      </w:pPr>
    </w:p>
    <w:p>
      <w:pPr>
        <w:ind w:left="220"/>
        <w:spacing w:after="0" w:line="230" w:lineRule="exact"/>
        <w:tabs>
          <w:tab w:leader="none" w:pos="64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Arial" w:cs="Arial" w:eastAsia="Arial" w:hAnsi="Arial"/>
          <w:sz w:val="19"/>
          <w:szCs w:val="19"/>
          <w:b w:val="1"/>
          <w:bCs w:val="1"/>
          <w:color w:val="auto"/>
        </w:rPr>
        <w:t>TRANSITION REPORT PURSUANT TO SECTION 13 OR 15(d) OF THE SECURITIES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-102235</wp:posOffset>
            </wp:positionV>
            <wp:extent cx="3429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33" w:lineRule="exact"/>
        <w:rPr>
          <w:sz w:val="24"/>
          <w:szCs w:val="24"/>
          <w:color w:val="auto"/>
        </w:rPr>
      </w:pPr>
    </w:p>
    <w:p>
      <w:pPr>
        <w:ind w:left="660"/>
        <w:spacing w:after="0"/>
        <w:rPr>
          <w:sz w:val="20"/>
          <w:szCs w:val="20"/>
          <w:color w:val="auto"/>
        </w:rPr>
      </w:pPr>
      <w:r>
        <w:rPr>
          <w:rFonts w:ascii="Arial" w:cs="Arial" w:eastAsia="Arial" w:hAnsi="Arial"/>
          <w:sz w:val="20"/>
          <w:szCs w:val="20"/>
          <w:b w:val="1"/>
          <w:bCs w:val="1"/>
          <w:color w:val="auto"/>
        </w:rPr>
        <w:t>OF 1934</w:t>
      </w:r>
    </w:p>
    <w:p>
      <w:pPr>
        <w:spacing w:after="0" w:line="122" w:lineRule="exact"/>
        <w:rPr>
          <w:sz w:val="24"/>
          <w:szCs w:val="24"/>
          <w:color w:val="auto"/>
        </w:rPr>
      </w:pPr>
    </w:p>
    <w:p>
      <w:pPr>
        <w:ind w:left="3100"/>
        <w:spacing w:after="0"/>
        <w:tabs>
          <w:tab w:leader="none" w:pos="59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882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001-12593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183515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ATN INTERNATIONAL, INC.</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134" w:lineRule="exact"/>
        <w:rPr>
          <w:sz w:val="24"/>
          <w:szCs w:val="24"/>
          <w:color w:val="auto"/>
        </w:rPr>
      </w:pPr>
    </w:p>
    <w:tbl>
      <w:tblPr>
        <w:tblLayout w:type="fixed"/>
        <w:tblInd w:w="1640" w:type="dxa"/>
        <w:tblCellMar>
          <w:top w:w="0" w:type="dxa"/>
          <w:left w:w="0" w:type="dxa"/>
          <w:bottom w:w="0" w:type="dxa"/>
          <w:right w:w="0" w:type="dxa"/>
        </w:tblCellMar>
      </w:tblPr>
      <w:tr>
        <w:trPr>
          <w:trHeight w:val="149"/>
        </w:trPr>
        <w:tc>
          <w:tcPr>
            <w:tcW w:w="3780" w:type="dxa"/>
            <w:vAlign w:val="bottom"/>
          </w:tcPr>
          <w:p>
            <w:pPr>
              <w:jc w:val="center"/>
              <w:ind w:right="1897"/>
              <w:spacing w:after="0"/>
              <w:rPr>
                <w:sz w:val="20"/>
                <w:szCs w:val="20"/>
                <w:color w:val="auto"/>
              </w:rPr>
            </w:pPr>
            <w:r>
              <w:rPr>
                <w:rFonts w:ascii="Arial" w:cs="Arial" w:eastAsia="Arial" w:hAnsi="Arial"/>
                <w:sz w:val="13"/>
                <w:szCs w:val="13"/>
                <w:b w:val="1"/>
                <w:bCs w:val="1"/>
                <w:color w:val="auto"/>
                <w:w w:val="87"/>
              </w:rPr>
              <w:t>Delaware</w:t>
            </w:r>
          </w:p>
        </w:tc>
        <w:tc>
          <w:tcPr>
            <w:tcW w:w="2720" w:type="dxa"/>
            <w:vAlign w:val="bottom"/>
          </w:tcPr>
          <w:p>
            <w:pPr>
              <w:jc w:val="right"/>
              <w:ind w:right="117"/>
              <w:spacing w:after="0"/>
              <w:rPr>
                <w:sz w:val="20"/>
                <w:szCs w:val="20"/>
                <w:color w:val="auto"/>
              </w:rPr>
            </w:pPr>
            <w:r>
              <w:rPr>
                <w:rFonts w:ascii="Arial" w:cs="Arial" w:eastAsia="Arial" w:hAnsi="Arial"/>
                <w:sz w:val="13"/>
                <w:szCs w:val="13"/>
                <w:b w:val="1"/>
                <w:bCs w:val="1"/>
                <w:color w:val="auto"/>
              </w:rPr>
              <w:t>47-0728886</w:t>
            </w:r>
          </w:p>
        </w:tc>
      </w:tr>
      <w:tr>
        <w:trPr>
          <w:trHeight w:val="135"/>
        </w:trPr>
        <w:tc>
          <w:tcPr>
            <w:tcW w:w="3780" w:type="dxa"/>
            <w:vAlign w:val="bottom"/>
          </w:tcPr>
          <w:p>
            <w:pPr>
              <w:jc w:val="center"/>
              <w:ind w:right="1697"/>
              <w:spacing w:after="0" w:line="135" w:lineRule="exact"/>
              <w:rPr>
                <w:sz w:val="20"/>
                <w:szCs w:val="20"/>
                <w:color w:val="auto"/>
              </w:rPr>
            </w:pPr>
            <w:r>
              <w:rPr>
                <w:rFonts w:ascii="Arial" w:cs="Arial" w:eastAsia="Arial" w:hAnsi="Arial"/>
                <w:sz w:val="13"/>
                <w:szCs w:val="13"/>
                <w:color w:val="auto"/>
                <w:w w:val="89"/>
              </w:rPr>
              <w:t>(State or other jurisdiction of</w:t>
            </w:r>
          </w:p>
        </w:tc>
        <w:tc>
          <w:tcPr>
            <w:tcW w:w="2720" w:type="dxa"/>
            <w:vAlign w:val="bottom"/>
          </w:tcPr>
          <w:p>
            <w:pPr>
              <w:jc w:val="center"/>
              <w:ind w:left="1717"/>
              <w:spacing w:after="0" w:line="135" w:lineRule="exact"/>
              <w:rPr>
                <w:sz w:val="20"/>
                <w:szCs w:val="20"/>
                <w:color w:val="auto"/>
              </w:rPr>
            </w:pPr>
            <w:r>
              <w:rPr>
                <w:rFonts w:ascii="Arial" w:cs="Arial" w:eastAsia="Arial" w:hAnsi="Arial"/>
                <w:sz w:val="13"/>
                <w:szCs w:val="13"/>
                <w:color w:val="auto"/>
                <w:w w:val="90"/>
              </w:rPr>
              <w:t>(I.R.S. Employer</w:t>
            </w:r>
          </w:p>
        </w:tc>
      </w:tr>
      <w:tr>
        <w:trPr>
          <w:trHeight w:val="131"/>
        </w:trPr>
        <w:tc>
          <w:tcPr>
            <w:tcW w:w="3780" w:type="dxa"/>
            <w:vAlign w:val="bottom"/>
          </w:tcPr>
          <w:p>
            <w:pPr>
              <w:jc w:val="center"/>
              <w:ind w:right="1717"/>
              <w:spacing w:after="0" w:line="131" w:lineRule="exact"/>
              <w:rPr>
                <w:sz w:val="20"/>
                <w:szCs w:val="20"/>
                <w:color w:val="auto"/>
              </w:rPr>
            </w:pPr>
            <w:r>
              <w:rPr>
                <w:rFonts w:ascii="Arial" w:cs="Arial" w:eastAsia="Arial" w:hAnsi="Arial"/>
                <w:sz w:val="13"/>
                <w:szCs w:val="13"/>
                <w:color w:val="auto"/>
                <w:w w:val="89"/>
              </w:rPr>
              <w:t>incorporation or organization)</w:t>
            </w:r>
          </w:p>
        </w:tc>
        <w:tc>
          <w:tcPr>
            <w:tcW w:w="2720" w:type="dxa"/>
            <w:vAlign w:val="bottom"/>
          </w:tcPr>
          <w:p>
            <w:pPr>
              <w:jc w:val="center"/>
              <w:ind w:left="1717"/>
              <w:spacing w:after="0" w:line="131" w:lineRule="exact"/>
              <w:rPr>
                <w:sz w:val="20"/>
                <w:szCs w:val="20"/>
                <w:color w:val="auto"/>
              </w:rPr>
            </w:pPr>
            <w:r>
              <w:rPr>
                <w:rFonts w:ascii="Arial" w:cs="Arial" w:eastAsia="Arial" w:hAnsi="Arial"/>
                <w:sz w:val="13"/>
                <w:szCs w:val="13"/>
                <w:color w:val="auto"/>
                <w:w w:val="92"/>
              </w:rPr>
              <w:t>Identification No.)</w:t>
            </w:r>
          </w:p>
        </w:tc>
      </w:tr>
      <w:tr>
        <w:trPr>
          <w:trHeight w:val="135"/>
        </w:trPr>
        <w:tc>
          <w:tcPr>
            <w:tcW w:w="3780" w:type="dxa"/>
            <w:vAlign w:val="bottom"/>
          </w:tcPr>
          <w:p>
            <w:pPr>
              <w:jc w:val="center"/>
              <w:ind w:right="1897"/>
              <w:spacing w:after="0" w:line="135" w:lineRule="exact"/>
              <w:rPr>
                <w:sz w:val="20"/>
                <w:szCs w:val="20"/>
                <w:color w:val="auto"/>
              </w:rPr>
            </w:pPr>
            <w:r>
              <w:rPr>
                <w:rFonts w:ascii="Arial" w:cs="Arial" w:eastAsia="Arial" w:hAnsi="Arial"/>
                <w:sz w:val="13"/>
                <w:szCs w:val="13"/>
                <w:b w:val="1"/>
                <w:bCs w:val="1"/>
                <w:color w:val="auto"/>
                <w:w w:val="87"/>
              </w:rPr>
              <w:t>500 Cummings Center, Suite 2450</w:t>
            </w:r>
          </w:p>
        </w:tc>
        <w:tc>
          <w:tcPr>
            <w:tcW w:w="2720" w:type="dxa"/>
            <w:vAlign w:val="bottom"/>
          </w:tcPr>
          <w:p>
            <w:pPr>
              <w:spacing w:after="0"/>
              <w:rPr>
                <w:sz w:val="11"/>
                <w:szCs w:val="11"/>
                <w:color w:val="auto"/>
              </w:rPr>
            </w:pPr>
          </w:p>
        </w:tc>
      </w:tr>
      <w:tr>
        <w:trPr>
          <w:trHeight w:val="139"/>
        </w:trPr>
        <w:tc>
          <w:tcPr>
            <w:tcW w:w="3780" w:type="dxa"/>
            <w:vAlign w:val="bottom"/>
          </w:tcPr>
          <w:p>
            <w:pPr>
              <w:jc w:val="center"/>
              <w:ind w:right="1717"/>
              <w:spacing w:after="0" w:line="139" w:lineRule="exact"/>
              <w:rPr>
                <w:sz w:val="20"/>
                <w:szCs w:val="20"/>
                <w:color w:val="auto"/>
              </w:rPr>
            </w:pPr>
            <w:r>
              <w:rPr>
                <w:rFonts w:ascii="Arial" w:cs="Arial" w:eastAsia="Arial" w:hAnsi="Arial"/>
                <w:sz w:val="13"/>
                <w:szCs w:val="13"/>
                <w:b w:val="1"/>
                <w:bCs w:val="1"/>
                <w:color w:val="auto"/>
                <w:w w:val="84"/>
              </w:rPr>
              <w:t>Beverly, Massachusetts</w:t>
            </w:r>
          </w:p>
        </w:tc>
        <w:tc>
          <w:tcPr>
            <w:tcW w:w="2720" w:type="dxa"/>
            <w:vAlign w:val="bottom"/>
          </w:tcPr>
          <w:p>
            <w:pPr>
              <w:jc w:val="right"/>
              <w:ind w:right="257"/>
              <w:spacing w:after="0" w:line="139" w:lineRule="exact"/>
              <w:rPr>
                <w:sz w:val="20"/>
                <w:szCs w:val="20"/>
                <w:color w:val="auto"/>
              </w:rPr>
            </w:pPr>
            <w:r>
              <w:rPr>
                <w:rFonts w:ascii="Arial" w:cs="Arial" w:eastAsia="Arial" w:hAnsi="Arial"/>
                <w:sz w:val="13"/>
                <w:szCs w:val="13"/>
                <w:b w:val="1"/>
                <w:bCs w:val="1"/>
                <w:color w:val="auto"/>
              </w:rPr>
              <w:t>01915</w:t>
            </w:r>
          </w:p>
        </w:tc>
      </w:tr>
      <w:tr>
        <w:trPr>
          <w:trHeight w:val="160"/>
        </w:trPr>
        <w:tc>
          <w:tcPr>
            <w:tcW w:w="3780" w:type="dxa"/>
            <w:vAlign w:val="bottom"/>
          </w:tcPr>
          <w:p>
            <w:pPr>
              <w:jc w:val="center"/>
              <w:ind w:right="1717"/>
              <w:spacing w:after="0"/>
              <w:rPr>
                <w:sz w:val="20"/>
                <w:szCs w:val="20"/>
                <w:color w:val="auto"/>
              </w:rPr>
            </w:pPr>
            <w:r>
              <w:rPr>
                <w:rFonts w:ascii="Arial" w:cs="Arial" w:eastAsia="Arial" w:hAnsi="Arial"/>
                <w:sz w:val="13"/>
                <w:szCs w:val="13"/>
                <w:color w:val="auto"/>
                <w:w w:val="89"/>
              </w:rPr>
              <w:t>(Address of principal executive offices)</w:t>
            </w:r>
          </w:p>
        </w:tc>
        <w:tc>
          <w:tcPr>
            <w:tcW w:w="2720" w:type="dxa"/>
            <w:vAlign w:val="bottom"/>
          </w:tcPr>
          <w:p>
            <w:pPr>
              <w:jc w:val="center"/>
              <w:ind w:left="1697"/>
              <w:spacing w:after="0"/>
              <w:rPr>
                <w:sz w:val="20"/>
                <w:szCs w:val="20"/>
                <w:color w:val="auto"/>
              </w:rPr>
            </w:pPr>
            <w:r>
              <w:rPr>
                <w:rFonts w:ascii="Arial" w:cs="Arial" w:eastAsia="Arial" w:hAnsi="Arial"/>
                <w:sz w:val="13"/>
                <w:szCs w:val="13"/>
                <w:color w:val="auto"/>
                <w:w w:val="91"/>
              </w:rPr>
              <w:t>(Zip Code)</w:t>
            </w:r>
          </w:p>
        </w:tc>
      </w:tr>
    </w:tbl>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(978) 619-1300</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6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4" w:lineRule="exact"/>
        <w:rPr>
          <w:sz w:val="24"/>
          <w:szCs w:val="24"/>
          <w:color w:val="auto"/>
        </w:rPr>
      </w:pPr>
    </w:p>
    <w:tbl>
      <w:tblPr>
        <w:tblLayout w:type="fixed"/>
        <w:tblInd w:w="1500" w:type="dxa"/>
        <w:tblCellMar>
          <w:top w:w="0" w:type="dxa"/>
          <w:left w:w="0" w:type="dxa"/>
          <w:bottom w:w="0" w:type="dxa"/>
          <w:right w:w="0" w:type="dxa"/>
        </w:tblCellMar>
      </w:tblPr>
      <w:tr>
        <w:trPr>
          <w:trHeight w:val="149"/>
        </w:trPr>
        <w:tc>
          <w:tcPr>
            <w:tcW w:w="24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Title of Each Class</w:t>
            </w:r>
          </w:p>
        </w:tc>
        <w:tc>
          <w:tcPr>
            <w:tcW w:w="25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9"/>
              </w:rPr>
              <w:t>Trading Symbol(s)</w:t>
            </w:r>
          </w:p>
        </w:tc>
        <w:tc>
          <w:tcPr>
            <w:tcW w:w="226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 on which</w:t>
            </w:r>
          </w:p>
        </w:tc>
        <w:tc>
          <w:tcPr>
            <w:tcW w:w="0" w:type="dxa"/>
            <w:vAlign w:val="bottom"/>
          </w:tcPr>
          <w:p>
            <w:pPr>
              <w:spacing w:after="0"/>
              <w:rPr>
                <w:sz w:val="1"/>
                <w:szCs w:val="1"/>
                <w:color w:val="auto"/>
              </w:rPr>
            </w:pPr>
          </w:p>
        </w:tc>
      </w:tr>
      <w:tr>
        <w:trPr>
          <w:trHeight w:val="97"/>
        </w:trPr>
        <w:tc>
          <w:tcPr>
            <w:tcW w:w="2420" w:type="dxa"/>
            <w:vAlign w:val="bottom"/>
            <w:gridSpan w:val="2"/>
            <w:vMerge w:val="continue"/>
          </w:tcPr>
          <w:p>
            <w:pPr>
              <w:spacing w:after="0"/>
              <w:rPr>
                <w:sz w:val="8"/>
                <w:szCs w:val="8"/>
                <w:color w:val="auto"/>
              </w:rPr>
            </w:pPr>
          </w:p>
        </w:tc>
        <w:tc>
          <w:tcPr>
            <w:tcW w:w="2540" w:type="dxa"/>
            <w:vAlign w:val="bottom"/>
            <w:gridSpan w:val="2"/>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registered</w:t>
            </w:r>
          </w:p>
        </w:tc>
        <w:tc>
          <w:tcPr>
            <w:tcW w:w="0" w:type="dxa"/>
            <w:vAlign w:val="bottom"/>
          </w:tcPr>
          <w:p>
            <w:pPr>
              <w:spacing w:after="0"/>
              <w:rPr>
                <w:sz w:val="1"/>
                <w:szCs w:val="1"/>
                <w:color w:val="auto"/>
              </w:rPr>
            </w:pPr>
          </w:p>
        </w:tc>
      </w:tr>
      <w:tr>
        <w:trPr>
          <w:trHeight w:val="77"/>
        </w:trPr>
        <w:tc>
          <w:tcPr>
            <w:tcW w:w="22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Common Stock, par value $.01 per share</w:t>
            </w:r>
          </w:p>
        </w:tc>
        <w:tc>
          <w:tcPr>
            <w:tcW w:w="2540" w:type="dxa"/>
            <w:vAlign w:val="bottom"/>
            <w:gridSpan w:val="2"/>
          </w:tcPr>
          <w:p>
            <w:pPr>
              <w:jc w:val="center"/>
              <w:ind w:right="320"/>
              <w:spacing w:after="0"/>
              <w:rPr>
                <w:sz w:val="20"/>
                <w:szCs w:val="20"/>
                <w:color w:val="auto"/>
              </w:rPr>
            </w:pPr>
            <w:r>
              <w:rPr>
                <w:rFonts w:ascii="Arial" w:cs="Arial" w:eastAsia="Arial" w:hAnsi="Arial"/>
                <w:sz w:val="13"/>
                <w:szCs w:val="13"/>
                <w:color w:val="auto"/>
              </w:rPr>
              <w:t>ATNI</w:t>
            </w:r>
          </w:p>
        </w:tc>
        <w:tc>
          <w:tcPr>
            <w:tcW w:w="2260" w:type="dxa"/>
            <w:vAlign w:val="bottom"/>
          </w:tcPr>
          <w:p>
            <w:pPr>
              <w:jc w:val="center"/>
              <w:spacing w:after="0"/>
              <w:rPr>
                <w:sz w:val="20"/>
                <w:szCs w:val="20"/>
                <w:color w:val="auto"/>
              </w:rPr>
            </w:pPr>
            <w:r>
              <w:rPr>
                <w:rFonts w:ascii="Arial" w:cs="Arial" w:eastAsia="Arial" w:hAnsi="Arial"/>
                <w:sz w:val="13"/>
                <w:szCs w:val="13"/>
                <w:color w:val="auto"/>
                <w:w w:val="88"/>
              </w:rPr>
              <w:t>The Nasdaq Stock Market LLC</w:t>
            </w:r>
          </w:p>
        </w:tc>
        <w:tc>
          <w:tcPr>
            <w:tcW w:w="0" w:type="dxa"/>
            <w:vAlign w:val="bottom"/>
          </w:tcPr>
          <w:p>
            <w:pPr>
              <w:spacing w:after="0"/>
              <w:rPr>
                <w:sz w:val="1"/>
                <w:szCs w:val="1"/>
                <w:color w:val="auto"/>
              </w:rPr>
            </w:pPr>
          </w:p>
        </w:tc>
      </w:tr>
    </w:tbl>
    <w:p>
      <w:pPr>
        <w:spacing w:after="0" w:line="60" w:lineRule="exact"/>
        <w:rPr>
          <w:sz w:val="24"/>
          <w:szCs w:val="24"/>
          <w:color w:val="auto"/>
        </w:rPr>
      </w:pPr>
    </w:p>
    <w:p>
      <w:pPr>
        <w:ind w:firstLine="324"/>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ind w:right="60" w:firstLine="324"/>
        <w:spacing w:after="0" w:line="20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20" w:firstLine="324"/>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40" w:top="665" w:right="899" w:bottom="1440" w:gutter="0" w:footer="0" w:header="0"/>
        </w:sectPr>
      </w:pPr>
    </w:p>
    <w:p>
      <w:pPr>
        <w:spacing w:after="0" w:line="83" w:lineRule="exact"/>
        <w:rPr>
          <w:sz w:val="24"/>
          <w:szCs w:val="24"/>
          <w:color w:val="auto"/>
        </w:rPr>
      </w:pPr>
    </w:p>
    <w:p>
      <w:pPr>
        <w:ind w:left="1680"/>
        <w:spacing w:after="0" w:line="201" w:lineRule="exact"/>
        <w:rPr>
          <w:sz w:val="20"/>
          <w:szCs w:val="20"/>
          <w:color w:val="auto"/>
        </w:rPr>
      </w:pPr>
      <w:r>
        <w:rPr>
          <w:rFonts w:ascii="Arial" w:cs="Arial" w:eastAsia="Arial" w:hAnsi="Arial"/>
          <w:sz w:val="15"/>
          <w:szCs w:val="15"/>
          <w:color w:val="auto"/>
        </w:rPr>
        <w:t xml:space="preserve">Large accelerated filer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Accelerated filer </w:t>
      </w:r>
      <w:r>
        <w:rPr>
          <w:rFonts w:ascii="Arial Unicode MS" w:cs="Arial Unicode MS" w:eastAsia="Arial Unicode MS" w:hAnsi="Arial Unicode MS"/>
          <w:sz w:val="15"/>
          <w:szCs w:val="15"/>
          <w:color w:val="auto"/>
        </w:rPr>
        <w:t>⌧</w:t>
      </w:r>
    </w:p>
    <w:p>
      <w:pPr>
        <w:spacing w:after="0" w:line="200" w:lineRule="exact"/>
        <w:rPr>
          <w:sz w:val="24"/>
          <w:szCs w:val="24"/>
          <w:color w:val="auto"/>
        </w:rPr>
      </w:pPr>
    </w:p>
    <w:p>
      <w:pPr>
        <w:sectPr>
          <w:pgSz w:w="11900" w:h="16838" w:orient="portrait"/>
          <w:cols w:equalWidth="0" w:num="2">
            <w:col w:w="6340" w:space="720"/>
            <w:col w:w="3100"/>
          </w:cols>
          <w:pgMar w:left="840" w:top="665" w:right="899" w:bottom="1440" w:gutter="0" w:footer="0" w:header="0"/>
          <w:type w:val="continuous"/>
        </w:sectPr>
      </w:pPr>
    </w:p>
    <w:p>
      <w:pPr>
        <w:spacing w:after="0" w:line="4" w:lineRule="exact"/>
        <w:rPr>
          <w:sz w:val="24"/>
          <w:szCs w:val="24"/>
          <w:color w:val="auto"/>
        </w:rPr>
      </w:pPr>
    </w:p>
    <w:p>
      <w:pPr>
        <w:ind w:left="1720"/>
        <w:spacing w:after="0" w:line="201" w:lineRule="exact"/>
        <w:rPr>
          <w:sz w:val="20"/>
          <w:szCs w:val="20"/>
          <w:color w:val="auto"/>
        </w:rPr>
      </w:pPr>
      <w:r>
        <w:rPr>
          <w:rFonts w:ascii="Arial" w:cs="Arial" w:eastAsia="Arial" w:hAnsi="Arial"/>
          <w:sz w:val="15"/>
          <w:szCs w:val="15"/>
          <w:color w:val="auto"/>
        </w:rPr>
        <w:t xml:space="preserve">Non-accelerated filer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199" w:lineRule="exact"/>
        <w:rPr>
          <w:sz w:val="20"/>
          <w:szCs w:val="20"/>
          <w:color w:val="auto"/>
        </w:rPr>
      </w:pPr>
      <w:r>
        <w:rPr>
          <w:rFonts w:ascii="Arial" w:cs="Arial" w:eastAsia="Arial" w:hAnsi="Arial"/>
          <w:sz w:val="15"/>
          <w:szCs w:val="15"/>
          <w:color w:val="auto"/>
        </w:rPr>
        <w:t xml:space="preserve">Smaller reporting company </w:t>
      </w:r>
      <w:r>
        <w:rPr>
          <w:rFonts w:ascii="Arial Unicode MS" w:cs="Arial Unicode MS" w:eastAsia="Arial Unicode MS" w:hAnsi="Arial Unicode MS"/>
          <w:sz w:val="15"/>
          <w:szCs w:val="15"/>
          <w:color w:val="auto"/>
        </w:rPr>
        <w:t>☐</w:t>
      </w:r>
    </w:p>
    <w:p>
      <w:pPr>
        <w:spacing w:after="0" w:line="200" w:lineRule="exact"/>
        <w:rPr>
          <w:sz w:val="24"/>
          <w:szCs w:val="24"/>
          <w:color w:val="auto"/>
        </w:rPr>
      </w:pPr>
    </w:p>
    <w:p>
      <w:pPr>
        <w:sectPr>
          <w:pgSz w:w="11900" w:h="16838" w:orient="portrait"/>
          <w:cols w:equalWidth="0" w:num="2">
            <w:col w:w="5980" w:space="720"/>
            <w:col w:w="3460"/>
          </w:cols>
          <w:pgMar w:left="840" w:top="665" w:right="899" w:bottom="1440" w:gutter="0" w:footer="0" w:header="0"/>
          <w:type w:val="continuous"/>
        </w:sectPr>
      </w:pPr>
    </w:p>
    <w:p>
      <w:pPr>
        <w:spacing w:after="0" w:line="18" w:lineRule="exact"/>
        <w:rPr>
          <w:sz w:val="24"/>
          <w:szCs w:val="24"/>
          <w:color w:val="auto"/>
        </w:rPr>
      </w:pPr>
    </w:p>
    <w:p>
      <w:pPr>
        <w:ind w:left="6700"/>
        <w:spacing w:after="0" w:line="201" w:lineRule="exact"/>
        <w:rPr>
          <w:sz w:val="20"/>
          <w:szCs w:val="20"/>
          <w:color w:val="auto"/>
        </w:rPr>
      </w:pP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ectPr>
          <w:pgSz w:w="11900" w:h="16838" w:orient="portrait"/>
          <w:cols w:equalWidth="0" w:num="1">
            <w:col w:w="10160"/>
          </w:cols>
          <w:pgMar w:left="840" w:top="665" w:right="899" w:bottom="1440" w:gutter="0" w:footer="0" w:header="0"/>
          <w:type w:val="continuous"/>
        </w:sectPr>
      </w:pPr>
    </w:p>
    <w:p>
      <w:pPr>
        <w:spacing w:after="0" w:line="244" w:lineRule="exact"/>
        <w:rPr>
          <w:sz w:val="24"/>
          <w:szCs w:val="24"/>
          <w:color w:val="auto"/>
        </w:rPr>
      </w:pPr>
    </w:p>
    <w:p>
      <w:pPr>
        <w:ind w:right="200" w:firstLine="324"/>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left="320"/>
        <w:spacing w:after="0" w:line="215" w:lineRule="exact"/>
        <w:tabs>
          <w:tab w:leader="none" w:pos="828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Arial Unicode MS" w:cs="Arial Unicode MS" w:eastAsia="Arial Unicode MS" w:hAnsi="Arial Unicode MS"/>
          <w:sz w:val="15"/>
          <w:szCs w:val="15"/>
          <w:color w:val="auto"/>
        </w:rPr>
        <w:t>☐</w:t>
      </w:r>
      <w:r>
        <w:rPr>
          <w:sz w:val="20"/>
          <w:szCs w:val="20"/>
          <w:color w:val="auto"/>
        </w:rPr>
        <w:tab/>
      </w: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p>
      <w:pPr>
        <w:spacing w:after="0" w:line="18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As of November 8, 2023, the registrant had outstanding 15,421,481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926465</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137795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60"/>
          </w:cols>
          <w:pgMar w:left="840" w:top="665" w:right="89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ATN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September 30, 2023</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5"/>
              </w:rPr>
              <w:t>CAUTIONARY STATEMENT REGARDING FORWARD LOOKING STATEMENTS</w:t>
            </w:r>
          </w:p>
        </w:tc>
        <w:tc>
          <w:tcPr>
            <w:tcW w:w="1900" w:type="dxa"/>
            <w:vAlign w:val="bottom"/>
            <w:gridSpan w:val="7"/>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220" w:type="dxa"/>
            <w:vAlign w:val="bottom"/>
            <w:gridSpan w:val="25"/>
          </w:tcPr>
          <w:p>
            <w:pPr>
              <w:spacing w:after="0"/>
              <w:rPr>
                <w:sz w:val="20"/>
                <w:szCs w:val="20"/>
                <w:color w:val="auto"/>
              </w:rPr>
            </w:pPr>
            <w:r>
              <w:rPr>
                <w:rFonts w:ascii="Arial" w:cs="Arial" w:eastAsia="Arial" w:hAnsi="Arial"/>
                <w:sz w:val="18"/>
                <w:szCs w:val="18"/>
                <w:color w:val="0000EE"/>
              </w:rPr>
              <w:t>PART I—FINANCIAL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5"/>
          </w:tcPr>
          <w:p>
            <w:pPr>
              <w:spacing w:after="0"/>
              <w:rPr>
                <w:sz w:val="20"/>
                <w:szCs w:val="20"/>
                <w:color w:val="auto"/>
              </w:rPr>
            </w:pPr>
            <w:r>
              <w:rPr>
                <w:rFonts w:ascii="Arial" w:cs="Arial" w:eastAsia="Arial" w:hAnsi="Arial"/>
                <w:sz w:val="18"/>
                <w:szCs w:val="18"/>
                <w:color w:val="0000EE"/>
              </w:rPr>
              <w:t>Item 1  Unaudited Condensed Consolidated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22"/>
          </w:tcPr>
          <w:p>
            <w:pPr>
              <w:spacing w:after="0"/>
              <w:rPr>
                <w:sz w:val="20"/>
                <w:szCs w:val="20"/>
                <w:color w:val="auto"/>
              </w:rPr>
            </w:pPr>
            <w:r>
              <w:rPr>
                <w:rFonts w:ascii="Arial" w:cs="Arial" w:eastAsia="Arial" w:hAnsi="Arial"/>
                <w:sz w:val="18"/>
                <w:szCs w:val="18"/>
                <w:color w:val="0000EE"/>
              </w:rPr>
              <w:t>Condensed Consolidated Balance Sheets at September 30, 2023 and December 31, 2022</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9"/>
              </w:rPr>
              <w:t>Condensed Consolidated Statements of Operations for the Three and Nine Months Ended September</w:t>
            </w:r>
          </w:p>
        </w:tc>
        <w:tc>
          <w:tcPr>
            <w:tcW w:w="3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30, 2023 and 2022</w:t>
            </w:r>
          </w:p>
        </w:tc>
        <w:tc>
          <w:tcPr>
            <w:tcW w:w="626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22"/>
          </w:tcPr>
          <w:p>
            <w:pPr>
              <w:spacing w:after="0"/>
              <w:rPr>
                <w:sz w:val="20"/>
                <w:szCs w:val="20"/>
                <w:color w:val="auto"/>
              </w:rPr>
            </w:pPr>
            <w:r>
              <w:rPr>
                <w:rFonts w:ascii="Arial" w:cs="Arial" w:eastAsia="Arial" w:hAnsi="Arial"/>
                <w:sz w:val="18"/>
                <w:szCs w:val="18"/>
                <w:color w:val="0000EE"/>
                <w:w w:val="92"/>
              </w:rPr>
              <w:t>Condensed Consolidated Statements of Comprehensive Income (Loss) for the Three and Nine Months</w:t>
            </w: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6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Ended September 30, 2023 and 2022</w:t>
            </w:r>
          </w:p>
        </w:tc>
        <w:tc>
          <w:tcPr>
            <w:tcW w:w="2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Condensed Consolidated Statements of Equity for the Three and Nine Months Ended September 30,</w:t>
            </w:r>
          </w:p>
        </w:tc>
        <w:tc>
          <w:tcPr>
            <w:tcW w:w="4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2023 and 2022</w:t>
            </w:r>
          </w:p>
        </w:tc>
        <w:tc>
          <w:tcPr>
            <w:tcW w:w="65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Condensed Consolidated Statements of Cash Flows for the Nine Months Ended September 30, 2023</w:t>
            </w:r>
          </w:p>
        </w:tc>
        <w:tc>
          <w:tcPr>
            <w:tcW w:w="4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and 2022</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Notes to Unaudited Condensed Consolidated Financial Statements</w:t>
            </w:r>
          </w:p>
        </w:tc>
        <w:tc>
          <w:tcPr>
            <w:tcW w:w="282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8220" w:type="dxa"/>
            <w:vAlign w:val="bottom"/>
            <w:gridSpan w:val="25"/>
          </w:tcPr>
          <w:p>
            <w:pPr>
              <w:spacing w:after="0"/>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39-69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5"/>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5"/>
          </w:tcPr>
          <w:p>
            <w:pPr>
              <w:spacing w:after="0"/>
              <w:rPr>
                <w:sz w:val="20"/>
                <w:szCs w:val="20"/>
                <w:color w:val="auto"/>
              </w:rPr>
            </w:pPr>
            <w:r>
              <w:rPr>
                <w:rFonts w:ascii="Arial" w:cs="Arial" w:eastAsia="Arial" w:hAnsi="Arial"/>
                <w:sz w:val="18"/>
                <w:szCs w:val="18"/>
                <w:color w:val="0000EE"/>
              </w:rPr>
              <w:t>Item 4  Controls and Procedures</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6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5"/>
              </w:rPr>
              <w:t>PART II—OTHER INFORMATION</w:t>
            </w:r>
          </w:p>
        </w:tc>
        <w:tc>
          <w:tcPr>
            <w:tcW w:w="556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2"/>
        </w:trPr>
        <w:tc>
          <w:tcPr>
            <w:tcW w:w="480" w:type="dxa"/>
            <w:vAlign w:val="bottom"/>
            <w:gridSpan w:val="2"/>
          </w:tcPr>
          <w:p>
            <w:pPr>
              <w:spacing w:after="0"/>
              <w:rPr>
                <w:sz w:val="20"/>
                <w:szCs w:val="20"/>
                <w:color w:val="auto"/>
              </w:rPr>
            </w:pPr>
            <w:r>
              <w:rPr>
                <w:rFonts w:ascii="Arial" w:cs="Arial" w:eastAsia="Arial" w:hAnsi="Arial"/>
                <w:sz w:val="18"/>
                <w:szCs w:val="18"/>
                <w:color w:val="0000EE"/>
                <w:w w:val="91"/>
              </w:rPr>
              <w:t>Item 1</w:t>
            </w:r>
          </w:p>
        </w:tc>
        <w:tc>
          <w:tcPr>
            <w:tcW w:w="120" w:type="dxa"/>
            <w:vAlign w:val="bottom"/>
          </w:tcPr>
          <w:p>
            <w:pPr>
              <w:spacing w:after="0"/>
              <w:rPr>
                <w:sz w:val="24"/>
                <w:szCs w:val="24"/>
                <w:color w:val="auto"/>
              </w:rPr>
            </w:pPr>
          </w:p>
        </w:tc>
        <w:tc>
          <w:tcPr>
            <w:tcW w:w="7620" w:type="dxa"/>
            <w:vAlign w:val="bottom"/>
            <w:gridSpan w:val="22"/>
          </w:tcPr>
          <w:p>
            <w:pPr>
              <w:spacing w:after="0"/>
              <w:rPr>
                <w:sz w:val="20"/>
                <w:szCs w:val="20"/>
                <w:color w:val="auto"/>
              </w:rPr>
            </w:pPr>
            <w:r>
              <w:rPr>
                <w:rFonts w:ascii="Arial" w:cs="Arial" w:eastAsia="Arial" w:hAnsi="Arial"/>
                <w:sz w:val="18"/>
                <w:szCs w:val="18"/>
                <w:color w:val="0000EE"/>
              </w:rPr>
              <w:t>Legal Proceedings</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40" w:type="dxa"/>
            <w:vAlign w:val="bottom"/>
            <w:tcBorders>
              <w:left w:val="single" w:sz="8" w:color="0000EE"/>
            </w:tcBorders>
            <w:gridSpan w:val="1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5"/>
          </w:tcPr>
          <w:p>
            <w:pPr>
              <w:spacing w:after="0"/>
              <w:rPr>
                <w:sz w:val="20"/>
                <w:szCs w:val="20"/>
                <w:color w:val="auto"/>
              </w:rPr>
            </w:pPr>
            <w:r>
              <w:rPr>
                <w:rFonts w:ascii="Arial" w:cs="Arial" w:eastAsia="Arial" w:hAnsi="Arial"/>
                <w:sz w:val="18"/>
                <w:szCs w:val="18"/>
                <w:color w:val="0000EE"/>
              </w:rPr>
              <w:t>Item 1ARisk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40" w:type="dxa"/>
            <w:vAlign w:val="bottom"/>
            <w:gridSpan w:val="1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5"/>
          </w:tcPr>
          <w:p>
            <w:pPr>
              <w:spacing w:after="0"/>
              <w:rPr>
                <w:sz w:val="20"/>
                <w:szCs w:val="20"/>
                <w:color w:val="auto"/>
              </w:rPr>
            </w:pPr>
            <w:r>
              <w:rPr>
                <w:rFonts w:ascii="Arial" w:cs="Arial" w:eastAsia="Arial" w:hAnsi="Arial"/>
                <w:sz w:val="18"/>
                <w:szCs w:val="18"/>
                <w:color w:val="0000EE"/>
                <w:w w:val="95"/>
              </w:rPr>
              <w:t>Item 2  Unregistered Sales of Equity Securities, Use of Proceeds, and Issuer Purchases of Equity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5840" w:type="dxa"/>
            <w:vAlign w:val="bottom"/>
            <w:tcBorders>
              <w:left w:val="single" w:sz="8" w:color="0000EE"/>
            </w:tcBorders>
            <w:gridSpan w:val="1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Arial" w:cs="Arial" w:eastAsia="Arial" w:hAnsi="Arial"/>
                <w:sz w:val="18"/>
                <w:szCs w:val="18"/>
                <w:color w:val="0000EE"/>
                <w:w w:val="91"/>
              </w:rPr>
              <w:t>Item 5</w:t>
            </w:r>
          </w:p>
        </w:tc>
        <w:tc>
          <w:tcPr>
            <w:tcW w:w="120" w:type="dxa"/>
            <w:vAlign w:val="bottom"/>
          </w:tcPr>
          <w:p>
            <w:pPr>
              <w:spacing w:after="0"/>
              <w:rPr>
                <w:sz w:val="24"/>
                <w:szCs w:val="24"/>
                <w:color w:val="auto"/>
              </w:rPr>
            </w:pPr>
          </w:p>
        </w:tc>
        <w:tc>
          <w:tcPr>
            <w:tcW w:w="7620" w:type="dxa"/>
            <w:vAlign w:val="bottom"/>
            <w:gridSpan w:val="22"/>
          </w:tcPr>
          <w:p>
            <w:pPr>
              <w:spacing w:after="0"/>
              <w:rPr>
                <w:sz w:val="20"/>
                <w:szCs w:val="20"/>
                <w:color w:val="auto"/>
              </w:rPr>
            </w:pPr>
            <w:r>
              <w:rPr>
                <w:rFonts w:ascii="Arial" w:cs="Arial" w:eastAsia="Arial" w:hAnsi="Arial"/>
                <w:sz w:val="18"/>
                <w:szCs w:val="18"/>
                <w:color w:val="0000EE"/>
              </w:rPr>
              <w:t>Other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630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Arial" w:cs="Arial" w:eastAsia="Arial" w:hAnsi="Arial"/>
                <w:sz w:val="18"/>
                <w:szCs w:val="18"/>
                <w:color w:val="0000EE"/>
                <w:w w:val="91"/>
              </w:rPr>
              <w:t>Item 6</w:t>
            </w:r>
          </w:p>
        </w:tc>
        <w:tc>
          <w:tcPr>
            <w:tcW w:w="120" w:type="dxa"/>
            <w:vAlign w:val="bottom"/>
          </w:tcPr>
          <w:p>
            <w:pPr>
              <w:spacing w:after="0"/>
              <w:rPr>
                <w:sz w:val="24"/>
                <w:szCs w:val="24"/>
                <w:color w:val="auto"/>
              </w:rPr>
            </w:pPr>
          </w:p>
        </w:tc>
        <w:tc>
          <w:tcPr>
            <w:tcW w:w="7620" w:type="dxa"/>
            <w:vAlign w:val="bottom"/>
            <w:gridSpan w:val="22"/>
          </w:tcPr>
          <w:p>
            <w:pPr>
              <w:spacing w:after="0"/>
              <w:rPr>
                <w:sz w:val="20"/>
                <w:szCs w:val="20"/>
                <w:color w:val="auto"/>
              </w:rPr>
            </w:pPr>
            <w:r>
              <w:rPr>
                <w:rFonts w:ascii="Arial" w:cs="Arial" w:eastAsia="Arial" w:hAnsi="Arial"/>
                <w:sz w:val="18"/>
                <w:szCs w:val="18"/>
                <w:color w:val="0000EE"/>
              </w:rPr>
              <w:t>Exhibits</w:t>
            </w: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2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SIGNATURES</w:t>
            </w:r>
          </w:p>
        </w:tc>
        <w:tc>
          <w:tcPr>
            <w:tcW w:w="7120" w:type="dxa"/>
            <w:vAlign w:val="bottom"/>
            <w:gridSpan w:val="2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52"/>
        </w:trPr>
        <w:tc>
          <w:tcPr>
            <w:tcW w:w="8220" w:type="dxa"/>
            <w:vAlign w:val="bottom"/>
            <w:gridSpan w:val="25"/>
          </w:tcPr>
          <w:p>
            <w:pPr>
              <w:spacing w:after="0"/>
              <w:rPr>
                <w:sz w:val="20"/>
                <w:szCs w:val="20"/>
                <w:color w:val="auto"/>
              </w:rPr>
            </w:pPr>
            <w:r>
              <w:rPr>
                <w:rFonts w:ascii="Arial" w:cs="Arial" w:eastAsia="Arial" w:hAnsi="Arial"/>
                <w:sz w:val="18"/>
                <w:szCs w:val="18"/>
                <w:color w:val="auto"/>
              </w:rPr>
              <w:t>CERTIFICATIONS</w:t>
            </w:r>
          </w:p>
        </w:tc>
        <w:tc>
          <w:tcPr>
            <w:tcW w:w="6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This Quarterly Report on Form 10-Q (or the “Report”) contains forward-looking statements relating to, among other matters, our future financial performance and results of operations, including our the impact of federal support program revenues; expectations regarding future revenue, operating income, EBITDA and capital expenditures; the competitive environment in our key markets, demand for our services and industry trends; our expectations regarding construction progress under our carrier managed services agreements and the effect such progress will have on our financial results; expectations regarding litigation; our liquidity; and management’s plans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our ability to timely and cost effectively completed our Replace and Remove program; (2) the general performance of our operations, including operating margins, revenues, capital expenditures, and the retention of and future growth of our subscriber base and average revenue per user; (3) our ability to realize cost synergies and expansion plans for our newly acquired businesses; (4) our ability to satisfy the needs and demands of our major carrier customers; (5) our ability to efficiently and cost-effectively upgrade our networks and IT platforms to address rapid and significant technological changes in the telecommunications industry; (6) the impact of geopolitical conditions, including the Israel-Hamas war and the ongoing war in Ukraine and related sanctions; (7) government funding and subsidy program availability and regulation of our businesses, which may impact our revenue, expansion plans and operating costs; (8) our reliance on a limited number of key suppliers and vendors for timely supply of equipment and services relating to our network infrastructure; (9) economic, political and other risks and opportunities facing our operations; (10) the loss of or an inability to recruit skilled personnel in our various jurisdictions, including key members of management; (11) our ability to find investment or acquisition or disposition opportunities that fit our strategic goals and at a reasonable cost of capital; (12) the occurrence of weather events and natural catastrophes and our ability to secure the appropriate level of insurance coverage for our assets; (13) increased competition; (14) the adequacy and expansion capabilities of our network capacity and customer service system to support our customer growth; and (15) our continued access to capital and credit markets. These and other additional factors that may cause actual future events and results to differ materially from the events and results indicated in the forward-looking statements above are set forth more fully under Item 1A “Risk Factors” in each of our Annual Report on Form 10-K for the year ended December 31, 2022, filed with the SEC on March 15, 2023, and the other reports we file from time to time with the SEC. The Company undertakes no obligation and have no intention to update these forward-looking statements to reflect actual results, changes in assumptions or changes in other factors that may affect such forward-looking statements, except as required by law.</w:t>
      </w:r>
    </w:p>
    <w:p>
      <w:pPr>
        <w:spacing w:after="0" w:line="188"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ATN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w:t>
            </w:r>
          </w:p>
        </w:tc>
        <w:tc>
          <w:tcPr>
            <w:tcW w:w="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53"/>
        </w:trPr>
        <w:tc>
          <w:tcPr>
            <w:tcW w:w="674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ind w:left="2980"/>
              <w:spacing w:after="0" w:line="142" w:lineRule="exact"/>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62,063</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54,660</w:t>
            </w: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11,024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5,068</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Short-term investments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 of allowances for credit losses of $16.6 million and $15.2 million, respectively</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112,731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86,816</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Customer receivable</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5,803</w:t>
            </w: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Inventory, materials and supplies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18,139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17,902</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Prepayments and other current assets</w:t>
            </w:r>
          </w:p>
        </w:tc>
        <w:tc>
          <w:tcPr>
            <w:tcW w:w="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56,406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59,139</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Total current assets</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267,365</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229,688</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Fixed Assets: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Property, plant and equipment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2,078,886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9"/>
              </w:rPr>
              <w:t>1,977,978</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accumulated depreciation</w:t>
            </w:r>
          </w:p>
        </w:tc>
        <w:tc>
          <w:tcPr>
            <w:tcW w:w="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(1,009,453)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(922,024)</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Net fixed assets</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1,069,433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1,055,954</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Telecommunication licenses, net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113,698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113,698</w:t>
            </w:r>
          </w:p>
        </w:tc>
        <w:tc>
          <w:tcPr>
            <w:tcW w:w="0" w:type="dxa"/>
            <w:vAlign w:val="bottom"/>
          </w:tcPr>
          <w:p>
            <w:pPr>
              <w:spacing w:after="0"/>
              <w:rPr>
                <w:sz w:val="1"/>
                <w:szCs w:val="1"/>
                <w:color w:val="auto"/>
              </w:rPr>
            </w:pPr>
          </w:p>
        </w:tc>
      </w:tr>
      <w:tr>
        <w:trPr>
          <w:trHeight w:val="148"/>
        </w:trPr>
        <w:tc>
          <w:tcPr>
            <w:tcW w:w="67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40,104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40,104</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31,992</w:t>
            </w:r>
          </w:p>
        </w:tc>
        <w:tc>
          <w:tcPr>
            <w:tcW w:w="0" w:type="dxa"/>
            <w:vAlign w:val="bottom"/>
          </w:tcPr>
          <w:p>
            <w:pPr>
              <w:spacing w:after="0"/>
              <w:rPr>
                <w:sz w:val="1"/>
                <w:szCs w:val="1"/>
                <w:color w:val="auto"/>
              </w:rPr>
            </w:pPr>
          </w:p>
        </w:tc>
      </w:tr>
      <w:tr>
        <w:trPr>
          <w:trHeight w:val="148"/>
        </w:trPr>
        <w:tc>
          <w:tcPr>
            <w:tcW w:w="6740" w:type="dxa"/>
            <w:vAlign w:val="bottom"/>
          </w:tcPr>
          <w:p>
            <w:pPr>
              <w:spacing w:after="0" w:line="149" w:lineRule="exact"/>
              <w:rPr>
                <w:sz w:val="20"/>
                <w:szCs w:val="20"/>
                <w:color w:val="auto"/>
              </w:rPr>
            </w:pPr>
            <w:r>
              <w:rPr>
                <w:rFonts w:ascii="Arial" w:cs="Arial" w:eastAsia="Arial" w:hAnsi="Arial"/>
                <w:sz w:val="14"/>
                <w:szCs w:val="14"/>
                <w:color w:val="auto"/>
              </w:rPr>
              <w:t>Operating lease right-of-use assets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103,002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108,702</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receivable - long term</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44,623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46,706</w:t>
            </w:r>
          </w:p>
        </w:tc>
        <w:tc>
          <w:tcPr>
            <w:tcW w:w="0" w:type="dxa"/>
            <w:vAlign w:val="bottom"/>
          </w:tcPr>
          <w:p>
            <w:pPr>
              <w:spacing w:after="0"/>
              <w:rPr>
                <w:sz w:val="1"/>
                <w:szCs w:val="1"/>
                <w:color w:val="auto"/>
              </w:rPr>
            </w:pPr>
          </w:p>
        </w:tc>
      </w:tr>
      <w:tr>
        <w:trPr>
          <w:trHeight w:val="148"/>
        </w:trPr>
        <w:tc>
          <w:tcPr>
            <w:tcW w:w="67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90,360</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81,025</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1,751,226</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1,707,869</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LIABILITIES, REDEEMABLE NONCONTROLLING INTERESTS AND EQUITY</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21,278</w:t>
            </w:r>
          </w:p>
        </w:tc>
        <w:tc>
          <w:tcPr>
            <w:tcW w:w="12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6,173</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customer receivable credit facility</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6,073</w:t>
            </w: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155,170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155,224</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Dividends payable</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3,310</w:t>
            </w: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Accrued taxes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9,463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7,335</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lease liabilities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15,457</w:t>
            </w:r>
          </w:p>
        </w:tc>
        <w:tc>
          <w:tcPr>
            <w:tcW w:w="0" w:type="dxa"/>
            <w:vAlign w:val="bottom"/>
          </w:tcPr>
          <w:p>
            <w:pPr>
              <w:spacing w:after="0"/>
              <w:rPr>
                <w:sz w:val="1"/>
                <w:szCs w:val="1"/>
                <w:color w:val="auto"/>
              </w:rPr>
            </w:pPr>
          </w:p>
        </w:tc>
      </w:tr>
      <w:tr>
        <w:trPr>
          <w:trHeight w:val="149"/>
        </w:trPr>
        <w:tc>
          <w:tcPr>
            <w:tcW w:w="67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Advance payments and deposits</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50,428</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39,608</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262,657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233,180</w:t>
            </w:r>
          </w:p>
        </w:tc>
        <w:tc>
          <w:tcPr>
            <w:tcW w:w="0" w:type="dxa"/>
            <w:vAlign w:val="bottom"/>
          </w:tcPr>
          <w:p>
            <w:pPr>
              <w:spacing w:after="0"/>
              <w:rPr>
                <w:sz w:val="1"/>
                <w:szCs w:val="1"/>
                <w:color w:val="auto"/>
              </w:rPr>
            </w:pP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19,198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28,650</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liabilities, excluding current portion</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80,260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83,319</w:t>
            </w:r>
          </w:p>
        </w:tc>
        <w:tc>
          <w:tcPr>
            <w:tcW w:w="0" w:type="dxa"/>
            <w:vAlign w:val="bottom"/>
          </w:tcPr>
          <w:p>
            <w:pPr>
              <w:spacing w:after="0"/>
              <w:rPr>
                <w:sz w:val="1"/>
                <w:szCs w:val="1"/>
                <w:color w:val="auto"/>
              </w:rPr>
            </w:pPr>
          </w:p>
        </w:tc>
      </w:tr>
      <w:tr>
        <w:trPr>
          <w:trHeight w:val="148"/>
        </w:trPr>
        <w:tc>
          <w:tcPr>
            <w:tcW w:w="67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133,102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138,420</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receivable credit facility, net of current portion</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38,010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39,275</w:t>
            </w:r>
          </w:p>
        </w:tc>
        <w:tc>
          <w:tcPr>
            <w:tcW w:w="0" w:type="dxa"/>
            <w:vAlign w:val="bottom"/>
          </w:tcPr>
          <w:p>
            <w:pPr>
              <w:spacing w:after="0"/>
              <w:rPr>
                <w:sz w:val="1"/>
                <w:szCs w:val="1"/>
                <w:color w:val="auto"/>
              </w:rPr>
            </w:pPr>
          </w:p>
        </w:tc>
      </w:tr>
      <w:tr>
        <w:trPr>
          <w:trHeight w:val="149"/>
        </w:trPr>
        <w:tc>
          <w:tcPr>
            <w:tcW w:w="67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Long-term debt, excluding current portion</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477,099</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415,727</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liabilities</w:t>
            </w:r>
          </w:p>
        </w:tc>
        <w:tc>
          <w:tcPr>
            <w:tcW w:w="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1,010,326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938,571</w:t>
            </w:r>
          </w:p>
        </w:tc>
        <w:tc>
          <w:tcPr>
            <w:tcW w:w="0" w:type="dxa"/>
            <w:vAlign w:val="bottom"/>
          </w:tcPr>
          <w:p>
            <w:pPr>
              <w:spacing w:after="0"/>
              <w:rPr>
                <w:sz w:val="1"/>
                <w:szCs w:val="1"/>
                <w:color w:val="auto"/>
              </w:rPr>
            </w:pP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color w:val="auto"/>
              </w:rPr>
              <w:t>Redeemable noncontrolling interests: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Preferred redeemable noncontrolling interests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58,761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55,152</w:t>
            </w:r>
          </w:p>
        </w:tc>
        <w:tc>
          <w:tcPr>
            <w:tcW w:w="0" w:type="dxa"/>
            <w:vAlign w:val="bottom"/>
          </w:tcPr>
          <w:p>
            <w:pPr>
              <w:spacing w:after="0"/>
              <w:rPr>
                <w:sz w:val="1"/>
                <w:szCs w:val="1"/>
                <w:color w:val="auto"/>
              </w:rPr>
            </w:pPr>
          </w:p>
        </w:tc>
      </w:tr>
      <w:tr>
        <w:trPr>
          <w:trHeight w:val="148"/>
        </w:trPr>
        <w:tc>
          <w:tcPr>
            <w:tcW w:w="67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Common redeemable noncontrolling interests</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37,026</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37,317</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redeemable noncontrolling interests</w:t>
            </w:r>
          </w:p>
        </w:tc>
        <w:tc>
          <w:tcPr>
            <w:tcW w:w="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95,787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92,469</w:t>
            </w:r>
          </w:p>
        </w:tc>
        <w:tc>
          <w:tcPr>
            <w:tcW w:w="0" w:type="dxa"/>
            <w:vAlign w:val="bottom"/>
          </w:tcPr>
          <w:p>
            <w:pPr>
              <w:spacing w:after="0"/>
              <w:rPr>
                <w:sz w:val="1"/>
                <w:szCs w:val="1"/>
                <w:color w:val="auto"/>
              </w:rPr>
            </w:pP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color w:val="auto"/>
              </w:rPr>
              <w:t>ATN International, Inc. Stockholders’ Equity:</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Preferred stock, $0.01 par value per share; 10,000,000 shares authorized, none issued and outstanding</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740" w:type="dxa"/>
            <w:vAlign w:val="bottom"/>
          </w:tcPr>
          <w:p>
            <w:pPr>
              <w:ind w:left="220"/>
              <w:spacing w:after="0" w:line="130" w:lineRule="exact"/>
              <w:rPr>
                <w:sz w:val="20"/>
                <w:szCs w:val="20"/>
                <w:color w:val="auto"/>
              </w:rPr>
            </w:pPr>
            <w:r>
              <w:rPr>
                <w:rFonts w:ascii="Arial" w:cs="Arial" w:eastAsia="Arial" w:hAnsi="Arial"/>
                <w:sz w:val="14"/>
                <w:szCs w:val="14"/>
                <w:color w:val="auto"/>
                <w:w w:val="95"/>
              </w:rPr>
              <w:t>Common stock, $0.01 par value per share; 50,000,000 shares authorized; 17,702,476 and 17,584,057 shares</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740" w:type="dxa"/>
            <w:vAlign w:val="bottom"/>
          </w:tcPr>
          <w:p>
            <w:pPr>
              <w:ind w:left="220"/>
              <w:spacing w:after="0"/>
              <w:rPr>
                <w:sz w:val="20"/>
                <w:szCs w:val="20"/>
                <w:color w:val="auto"/>
              </w:rPr>
            </w:pPr>
            <w:r>
              <w:rPr>
                <w:rFonts w:ascii="Arial" w:cs="Arial" w:eastAsia="Arial" w:hAnsi="Arial"/>
                <w:sz w:val="14"/>
                <w:szCs w:val="14"/>
                <w:color w:val="auto"/>
              </w:rPr>
              <w:t>issued, respectively, 15,522,140 and 15,763,341 shares outstanding, respectively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Treasury stock, at cost; 2,180,336 and 1,820,716 shares, respectively</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(86,977)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(73,825)</w:t>
            </w: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204,425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198,449</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Retained earnings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420,150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449,806</w:t>
            </w:r>
          </w:p>
        </w:tc>
        <w:tc>
          <w:tcPr>
            <w:tcW w:w="0" w:type="dxa"/>
            <w:vAlign w:val="bottom"/>
          </w:tcPr>
          <w:p>
            <w:pPr>
              <w:spacing w:after="0"/>
              <w:rPr>
                <w:sz w:val="1"/>
                <w:szCs w:val="1"/>
                <w:color w:val="auto"/>
              </w:rPr>
            </w:pPr>
          </w:p>
        </w:tc>
      </w:tr>
      <w:tr>
        <w:trPr>
          <w:trHeight w:val="148"/>
        </w:trPr>
        <w:tc>
          <w:tcPr>
            <w:tcW w:w="67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Accumulated other comprehensive income</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7,983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6,210</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ATN International, Inc. stockholders’ equity</w:t>
            </w:r>
          </w:p>
        </w:tc>
        <w:tc>
          <w:tcPr>
            <w:tcW w:w="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545,754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580,813</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99,359</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96,016</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equity</w:t>
            </w:r>
          </w:p>
        </w:tc>
        <w:tc>
          <w:tcPr>
            <w:tcW w:w="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645,113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676,829</w:t>
            </w:r>
          </w:p>
        </w:tc>
        <w:tc>
          <w:tcPr>
            <w:tcW w:w="0" w:type="dxa"/>
            <w:vAlign w:val="bottom"/>
          </w:tcPr>
          <w:p>
            <w:pPr>
              <w:spacing w:after="0"/>
              <w:rPr>
                <w:sz w:val="1"/>
                <w:szCs w:val="1"/>
                <w:color w:val="auto"/>
              </w:rPr>
            </w:pP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color w:val="auto"/>
              </w:rPr>
              <w:t>Total liabilities, redeemable noncontrolling interests and equity</w:t>
            </w:r>
          </w:p>
        </w:tc>
        <w:tc>
          <w:tcPr>
            <w:tcW w:w="3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1,751,226</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1,707,869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condensed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ATN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4"/>
          </w:tcPr>
          <w:p>
            <w:pPr>
              <w:jc w:val="right"/>
              <w:ind w:right="248"/>
              <w:spacing w:after="0"/>
              <w:rPr>
                <w:sz w:val="20"/>
                <w:szCs w:val="20"/>
                <w:color w:val="auto"/>
              </w:rPr>
            </w:pPr>
            <w:r>
              <w:rPr>
                <w:rFonts w:ascii="Arial" w:cs="Arial" w:eastAsia="Arial" w:hAnsi="Arial"/>
                <w:sz w:val="13"/>
                <w:szCs w:val="13"/>
                <w:b w:val="1"/>
                <w:bCs w:val="1"/>
                <w:color w:val="auto"/>
                <w:w w:val="90"/>
              </w:rPr>
              <w:t>Three months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268"/>
              <w:spacing w:after="0"/>
              <w:rPr>
                <w:sz w:val="20"/>
                <w:szCs w:val="20"/>
                <w:color w:val="auto"/>
              </w:rPr>
            </w:pPr>
            <w:r>
              <w:rPr>
                <w:rFonts w:ascii="Arial" w:cs="Arial" w:eastAsia="Arial" w:hAnsi="Arial"/>
                <w:sz w:val="13"/>
                <w:szCs w:val="13"/>
                <w:b w:val="1"/>
                <w:bCs w:val="1"/>
                <w:color w:val="auto"/>
                <w:w w:val="96"/>
              </w:rPr>
              <w:t>Nine months ended</w:t>
            </w:r>
          </w:p>
        </w:tc>
        <w:tc>
          <w:tcPr>
            <w:tcW w:w="0" w:type="dxa"/>
            <w:vAlign w:val="bottom"/>
          </w:tcPr>
          <w:p>
            <w:pPr>
              <w:spacing w:after="0"/>
              <w:rPr>
                <w:sz w:val="1"/>
                <w:szCs w:val="1"/>
                <w:color w:val="auto"/>
              </w:rPr>
            </w:pPr>
          </w:p>
        </w:tc>
      </w:tr>
      <w:tr>
        <w:trPr>
          <w:trHeight w:val="153"/>
        </w:trPr>
        <w:tc>
          <w:tcPr>
            <w:tcW w:w="5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29"/>
        </w:trPr>
        <w:tc>
          <w:tcPr>
            <w:tcW w:w="53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8"/>
              <w:spacing w:after="0" w:line="129" w:lineRule="exact"/>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8"/>
              <w:spacing w:after="0" w:line="129" w:lineRule="exact"/>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2"/>
        </w:trPr>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ind w:left="220"/>
              <w:spacing w:after="0" w:line="149" w:lineRule="exact"/>
              <w:rPr>
                <w:sz w:val="20"/>
                <w:szCs w:val="20"/>
                <w:color w:val="auto"/>
              </w:rPr>
            </w:pPr>
            <w:r>
              <w:rPr>
                <w:rFonts w:ascii="Arial" w:cs="Arial" w:eastAsia="Arial" w:hAnsi="Arial"/>
                <w:sz w:val="14"/>
                <w:szCs w:val="14"/>
                <w:color w:val="auto"/>
              </w:rPr>
              <w:t>Communication services</w:t>
            </w: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184,601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173,977</w:t>
            </w:r>
          </w:p>
        </w:tc>
        <w:tc>
          <w:tcPr>
            <w:tcW w:w="3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547,484</w:t>
            </w:r>
          </w:p>
        </w:tc>
        <w:tc>
          <w:tcPr>
            <w:tcW w:w="140" w:type="dxa"/>
            <w:vAlign w:val="bottom"/>
          </w:tcPr>
          <w:p>
            <w:pPr>
              <w:spacing w:after="0"/>
              <w:rPr>
                <w:sz w:val="12"/>
                <w:szCs w:val="12"/>
                <w:color w:val="auto"/>
              </w:rPr>
            </w:pP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512,315</w:t>
            </w:r>
          </w:p>
        </w:tc>
        <w:tc>
          <w:tcPr>
            <w:tcW w:w="0" w:type="dxa"/>
            <w:vAlign w:val="bottom"/>
          </w:tcPr>
          <w:p>
            <w:pPr>
              <w:spacing w:after="0"/>
              <w:rPr>
                <w:sz w:val="1"/>
                <w:szCs w:val="1"/>
                <w:color w:val="auto"/>
              </w:rPr>
            </w:pPr>
          </w:p>
        </w:tc>
      </w:tr>
      <w:tr>
        <w:trPr>
          <w:trHeight w:val="148"/>
        </w:trPr>
        <w:tc>
          <w:tcPr>
            <w:tcW w:w="5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Construction</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8,615</w:t>
            </w:r>
          </w:p>
        </w:tc>
        <w:tc>
          <w:tcPr>
            <w:tcW w:w="0" w:type="dxa"/>
            <w:vAlign w:val="bottom"/>
          </w:tcPr>
          <w:p>
            <w:pPr>
              <w:spacing w:after="0"/>
              <w:rPr>
                <w:sz w:val="1"/>
                <w:szCs w:val="1"/>
                <w:color w:val="auto"/>
              </w:rPr>
            </w:pPr>
          </w:p>
        </w:tc>
      </w:tr>
      <w:tr>
        <w:trPr>
          <w:trHeight w:val="148"/>
        </w:trPr>
        <w:tc>
          <w:tcPr>
            <w:tcW w:w="53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4,397</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4,904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12,118</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12,800</w:t>
            </w:r>
          </w:p>
        </w:tc>
        <w:tc>
          <w:tcPr>
            <w:tcW w:w="0" w:type="dxa"/>
            <w:vAlign w:val="bottom"/>
          </w:tcPr>
          <w:p>
            <w:pPr>
              <w:spacing w:after="0"/>
              <w:rPr>
                <w:sz w:val="1"/>
                <w:szCs w:val="1"/>
                <w:color w:val="auto"/>
              </w:rPr>
            </w:pPr>
          </w:p>
        </w:tc>
      </w:tr>
      <w:tr>
        <w:trPr>
          <w:trHeight w:val="142"/>
        </w:trPr>
        <w:tc>
          <w:tcPr>
            <w:tcW w:w="534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revenue</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191,036</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182,213</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563,250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533,730</w:t>
            </w:r>
          </w:p>
        </w:tc>
        <w:tc>
          <w:tcPr>
            <w:tcW w:w="0" w:type="dxa"/>
            <w:vAlign w:val="bottom"/>
          </w:tcPr>
          <w:p>
            <w:pPr>
              <w:spacing w:after="0"/>
              <w:rPr>
                <w:sz w:val="1"/>
                <w:szCs w:val="1"/>
                <w:color w:val="auto"/>
              </w:rPr>
            </w:pPr>
          </w:p>
        </w:tc>
      </w:tr>
      <w:tr>
        <w:trPr>
          <w:trHeight w:val="106"/>
        </w:trPr>
        <w:tc>
          <w:tcPr>
            <w:tcW w:w="5340" w:type="dxa"/>
            <w:vAlign w:val="bottom"/>
          </w:tcPr>
          <w:p>
            <w:pPr>
              <w:spacing w:after="0" w:line="106" w:lineRule="exact"/>
              <w:rPr>
                <w:sz w:val="20"/>
                <w:szCs w:val="20"/>
                <w:color w:val="auto"/>
              </w:rPr>
            </w:pPr>
            <w:r>
              <w:rPr>
                <w:rFonts w:ascii="Arial" w:cs="Arial" w:eastAsia="Arial" w:hAnsi="Arial"/>
                <w:sz w:val="12"/>
                <w:szCs w:val="12"/>
                <w:b w:val="1"/>
                <w:bCs w:val="1"/>
                <w:color w:val="auto"/>
              </w:rPr>
              <w:t xml:space="preserve">OPERATING EXPENSES </w:t>
            </w:r>
            <w:r>
              <w:rPr>
                <w:rFonts w:ascii="Arial" w:cs="Arial" w:eastAsia="Arial" w:hAnsi="Arial"/>
                <w:sz w:val="12"/>
                <w:szCs w:val="12"/>
                <w:i w:val="1"/>
                <w:iCs w:val="1"/>
                <w:color w:val="auto"/>
              </w:rPr>
              <w:t>(excluding depreciation and amortization unless otherwise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20"/>
                <w:szCs w:val="20"/>
                <w:color w:val="auto"/>
              </w:rPr>
            </w:pPr>
            <w:r>
              <w:rPr>
                <w:rFonts w:ascii="Arial" w:cs="Arial" w:eastAsia="Arial" w:hAnsi="Arial"/>
                <w:sz w:val="14"/>
                <w:szCs w:val="14"/>
                <w:i w:val="1"/>
                <w:iCs w:val="1"/>
                <w:color w:val="auto"/>
              </w:rPr>
              <w:t>indicated)</w:t>
            </w: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communication services and other</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80,367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78,949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237,125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229,821</w:t>
            </w:r>
          </w:p>
        </w:tc>
        <w:tc>
          <w:tcPr>
            <w:tcW w:w="0" w:type="dxa"/>
            <w:vAlign w:val="bottom"/>
          </w:tcPr>
          <w:p>
            <w:pPr>
              <w:spacing w:after="0"/>
              <w:rPr>
                <w:sz w:val="1"/>
                <w:szCs w:val="1"/>
                <w:color w:val="auto"/>
              </w:rPr>
            </w:pPr>
          </w:p>
        </w:tc>
      </w:tr>
      <w:tr>
        <w:trPr>
          <w:trHeight w:val="149"/>
        </w:trPr>
        <w:tc>
          <w:tcPr>
            <w:tcW w:w="5340" w:type="dxa"/>
            <w:vAlign w:val="bottom"/>
          </w:tcPr>
          <w:p>
            <w:pPr>
              <w:ind w:left="220"/>
              <w:spacing w:after="0" w:line="149" w:lineRule="exact"/>
              <w:rPr>
                <w:sz w:val="20"/>
                <w:szCs w:val="20"/>
                <w:color w:val="auto"/>
              </w:rPr>
            </w:pPr>
            <w:r>
              <w:rPr>
                <w:rFonts w:ascii="Arial" w:cs="Arial" w:eastAsia="Arial" w:hAnsi="Arial"/>
                <w:sz w:val="14"/>
                <w:szCs w:val="14"/>
                <w:color w:val="auto"/>
              </w:rPr>
              <w:t>Cost of construction revenue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3,321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3,635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8,640</w:t>
            </w:r>
          </w:p>
        </w:tc>
        <w:tc>
          <w:tcPr>
            <w:tcW w:w="0" w:type="dxa"/>
            <w:vAlign w:val="bottom"/>
          </w:tcPr>
          <w:p>
            <w:pPr>
              <w:spacing w:after="0"/>
              <w:rPr>
                <w:sz w:val="1"/>
                <w:szCs w:val="1"/>
                <w:color w:val="auto"/>
              </w:rPr>
            </w:pPr>
          </w:p>
        </w:tc>
      </w:tr>
      <w:tr>
        <w:trPr>
          <w:trHeight w:val="148"/>
        </w:trPr>
        <w:tc>
          <w:tcPr>
            <w:tcW w:w="5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60,792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56,387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184,055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167,879</w:t>
            </w:r>
          </w:p>
        </w:tc>
        <w:tc>
          <w:tcPr>
            <w:tcW w:w="0" w:type="dxa"/>
            <w:vAlign w:val="bottom"/>
          </w:tcPr>
          <w:p>
            <w:pPr>
              <w:spacing w:after="0"/>
              <w:rPr>
                <w:sz w:val="1"/>
                <w:szCs w:val="1"/>
                <w:color w:val="auto"/>
              </w:rPr>
            </w:pPr>
          </w:p>
        </w:tc>
      </w:tr>
      <w:tr>
        <w:trPr>
          <w:trHeight w:val="148"/>
        </w:trPr>
        <w:tc>
          <w:tcPr>
            <w:tcW w:w="534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6,473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5,696</w:t>
            </w:r>
          </w:p>
        </w:tc>
        <w:tc>
          <w:tcPr>
            <w:tcW w:w="0" w:type="dxa"/>
            <w:vAlign w:val="bottom"/>
          </w:tcPr>
          <w:p>
            <w:pPr>
              <w:spacing w:after="0"/>
              <w:rPr>
                <w:sz w:val="1"/>
                <w:szCs w:val="1"/>
                <w:color w:val="auto"/>
              </w:rPr>
            </w:pPr>
          </w:p>
        </w:tc>
      </w:tr>
      <w:tr>
        <w:trPr>
          <w:trHeight w:val="148"/>
        </w:trPr>
        <w:tc>
          <w:tcPr>
            <w:tcW w:w="5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Transaction-related charges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4,381</w:t>
            </w:r>
          </w:p>
        </w:tc>
        <w:tc>
          <w:tcPr>
            <w:tcW w:w="0" w:type="dxa"/>
            <w:vAlign w:val="bottom"/>
          </w:tcPr>
          <w:p>
            <w:pPr>
              <w:spacing w:after="0"/>
              <w:rPr>
                <w:sz w:val="1"/>
                <w:szCs w:val="1"/>
                <w:color w:val="auto"/>
              </w:rPr>
            </w:pPr>
          </w:p>
        </w:tc>
      </w:tr>
      <w:tr>
        <w:trPr>
          <w:trHeight w:val="148"/>
        </w:trPr>
        <w:tc>
          <w:tcPr>
            <w:tcW w:w="5340" w:type="dxa"/>
            <w:vAlign w:val="bottom"/>
          </w:tcPr>
          <w:p>
            <w:pPr>
              <w:ind w:left="220"/>
              <w:spacing w:after="0" w:line="149" w:lineRule="exact"/>
              <w:rPr>
                <w:sz w:val="20"/>
                <w:szCs w:val="20"/>
                <w:color w:val="auto"/>
              </w:rPr>
            </w:pPr>
            <w:r>
              <w:rPr>
                <w:rFonts w:ascii="Arial" w:cs="Arial" w:eastAsia="Arial" w:hAnsi="Arial"/>
                <w:sz w:val="14"/>
                <w:szCs w:val="14"/>
                <w:color w:val="auto"/>
              </w:rPr>
              <w:t>Restructuring expenses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1,383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4,640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34,370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33,312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106,991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100,421</w:t>
            </w:r>
          </w:p>
        </w:tc>
        <w:tc>
          <w:tcPr>
            <w:tcW w:w="0" w:type="dxa"/>
            <w:vAlign w:val="bottom"/>
          </w:tcPr>
          <w:p>
            <w:pPr>
              <w:spacing w:after="0"/>
              <w:rPr>
                <w:sz w:val="1"/>
                <w:szCs w:val="1"/>
                <w:color w:val="auto"/>
              </w:rPr>
            </w:pPr>
          </w:p>
        </w:tc>
      </w:tr>
      <w:tr>
        <w:trPr>
          <w:trHeight w:val="148"/>
        </w:trPr>
        <w:tc>
          <w:tcPr>
            <w:tcW w:w="534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intangibles from acquisitions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3,236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9,514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9,744</w:t>
            </w:r>
          </w:p>
        </w:tc>
        <w:tc>
          <w:tcPr>
            <w:tcW w:w="0" w:type="dxa"/>
            <w:vAlign w:val="bottom"/>
          </w:tcPr>
          <w:p>
            <w:pPr>
              <w:spacing w:after="0"/>
              <w:rPr>
                <w:sz w:val="1"/>
                <w:szCs w:val="1"/>
                <w:color w:val="auto"/>
              </w:rPr>
            </w:pPr>
          </w:p>
        </w:tc>
      </w:tr>
      <w:tr>
        <w:trPr>
          <w:trHeight w:val="148"/>
        </w:trPr>
        <w:tc>
          <w:tcPr>
            <w:tcW w:w="5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disposition of long-lived assets</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1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484</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3,876</w:t>
            </w: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Total operating expenses</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184,200</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180,774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553,339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530,458</w:t>
            </w:r>
          </w:p>
        </w:tc>
        <w:tc>
          <w:tcPr>
            <w:tcW w:w="0" w:type="dxa"/>
            <w:vAlign w:val="bottom"/>
          </w:tcPr>
          <w:p>
            <w:pPr>
              <w:spacing w:after="0"/>
              <w:rPr>
                <w:sz w:val="1"/>
                <w:szCs w:val="1"/>
                <w:color w:val="auto"/>
              </w:rPr>
            </w:pPr>
          </w:p>
        </w:tc>
      </w:tr>
      <w:tr>
        <w:trPr>
          <w:trHeight w:val="142"/>
        </w:trPr>
        <w:tc>
          <w:tcPr>
            <w:tcW w:w="534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Income from operations</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6,836</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1,439</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9,911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3,272</w:t>
            </w:r>
          </w:p>
        </w:tc>
        <w:tc>
          <w:tcPr>
            <w:tcW w:w="0" w:type="dxa"/>
            <w:vAlign w:val="bottom"/>
          </w:tcPr>
          <w:p>
            <w:pPr>
              <w:spacing w:after="0"/>
              <w:rPr>
                <w:sz w:val="1"/>
                <w:szCs w:val="1"/>
                <w:color w:val="auto"/>
              </w:rPr>
            </w:pPr>
          </w:p>
        </w:tc>
      </w:tr>
      <w:tr>
        <w:trPr>
          <w:trHeight w:val="142"/>
        </w:trPr>
        <w:tc>
          <w:tcPr>
            <w:tcW w:w="5340" w:type="dxa"/>
            <w:vAlign w:val="bottom"/>
          </w:tcPr>
          <w:p>
            <w:pPr>
              <w:spacing w:after="0" w:line="142" w:lineRule="exact"/>
              <w:rPr>
                <w:sz w:val="20"/>
                <w:szCs w:val="20"/>
                <w:color w:val="auto"/>
              </w:rPr>
            </w:pPr>
            <w:r>
              <w:rPr>
                <w:rFonts w:ascii="Arial" w:cs="Arial" w:eastAsia="Arial" w:hAnsi="Arial"/>
                <w:sz w:val="14"/>
                <w:szCs w:val="14"/>
                <w:b w:val="1"/>
                <w:bCs w:val="1"/>
                <w:color w:val="auto"/>
              </w:rPr>
              <w:t>OTHER INCOME (EXPENSE)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5340" w:type="dxa"/>
            <w:vAlign w:val="bottom"/>
          </w:tcPr>
          <w:p>
            <w:pPr>
              <w:ind w:left="220"/>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(11,445)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(30,700)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(13,107)</w:t>
            </w:r>
          </w:p>
        </w:tc>
        <w:tc>
          <w:tcPr>
            <w:tcW w:w="0" w:type="dxa"/>
            <w:vAlign w:val="bottom"/>
          </w:tcPr>
          <w:p>
            <w:pPr>
              <w:spacing w:after="0"/>
              <w:rPr>
                <w:sz w:val="1"/>
                <w:szCs w:val="1"/>
                <w:color w:val="auto"/>
              </w:rPr>
            </w:pPr>
          </w:p>
        </w:tc>
      </w:tr>
      <w:tr>
        <w:trPr>
          <w:trHeight w:val="148"/>
        </w:trPr>
        <w:tc>
          <w:tcPr>
            <w:tcW w:w="5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1,904</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3,379</w:t>
            </w: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Other income (expense)</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(11,096)</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(3,571)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(27,715)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(9,687)</w:t>
            </w:r>
          </w:p>
        </w:tc>
        <w:tc>
          <w:tcPr>
            <w:tcW w:w="0" w:type="dxa"/>
            <w:vAlign w:val="bottom"/>
          </w:tcPr>
          <w:p>
            <w:pPr>
              <w:spacing w:after="0"/>
              <w:rPr>
                <w:sz w:val="1"/>
                <w:szCs w:val="1"/>
                <w:color w:val="auto"/>
              </w:rPr>
            </w:pPr>
          </w:p>
        </w:tc>
      </w:tr>
      <w:tr>
        <w:trPr>
          <w:trHeight w:val="142"/>
        </w:trPr>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LOSS BEFORE INCOME TAXES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(4,260)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(2,132)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(17,804)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(6,415)</w:t>
            </w:r>
          </w:p>
        </w:tc>
        <w:tc>
          <w:tcPr>
            <w:tcW w:w="0" w:type="dxa"/>
            <w:vAlign w:val="bottom"/>
          </w:tcPr>
          <w:p>
            <w:pPr>
              <w:spacing w:after="0"/>
              <w:rPr>
                <w:sz w:val="1"/>
                <w:szCs w:val="1"/>
                <w:color w:val="auto"/>
              </w:rPr>
            </w:pPr>
          </w:p>
        </w:tc>
      </w:tr>
      <w:tr>
        <w:trPr>
          <w:trHeight w:val="148"/>
        </w:trPr>
        <w:tc>
          <w:tcPr>
            <w:tcW w:w="53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Income tax benefit</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(542)</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(360)</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(6,369)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142"/>
        </w:trPr>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(3,718)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(1,772)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(11,435)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(5,037)</w:t>
            </w:r>
          </w:p>
        </w:tc>
        <w:tc>
          <w:tcPr>
            <w:tcW w:w="0" w:type="dxa"/>
            <w:vAlign w:val="bottom"/>
          </w:tcPr>
          <w:p>
            <w:pPr>
              <w:spacing w:after="0"/>
              <w:rPr>
                <w:sz w:val="1"/>
                <w:szCs w:val="1"/>
                <w:color w:val="auto"/>
              </w:rPr>
            </w:pPr>
          </w:p>
        </w:tc>
      </w:tr>
      <w:tr>
        <w:trPr>
          <w:trHeight w:val="130"/>
        </w:trPr>
        <w:tc>
          <w:tcPr>
            <w:tcW w:w="5340" w:type="dxa"/>
            <w:vAlign w:val="bottom"/>
          </w:tcPr>
          <w:p>
            <w:pPr>
              <w:ind w:left="220"/>
              <w:spacing w:after="0" w:line="130" w:lineRule="exact"/>
              <w:rPr>
                <w:sz w:val="20"/>
                <w:szCs w:val="20"/>
                <w:color w:val="auto"/>
              </w:rPr>
            </w:pPr>
            <w:r>
              <w:rPr>
                <w:rFonts w:ascii="Arial" w:cs="Arial" w:eastAsia="Arial" w:hAnsi="Arial"/>
                <w:sz w:val="14"/>
                <w:szCs w:val="14"/>
                <w:color w:val="auto"/>
                <w:w w:val="94"/>
              </w:rPr>
              <w:t>Net (income) loss attributable to noncontrolling interests, net of tax (benefit) expense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$(0.6) million, $(0.8) million, $(1.8) million and $(1.3) million respectively</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06"/>
        </w:trPr>
        <w:tc>
          <w:tcPr>
            <w:tcW w:w="534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NET LOSS ATTRIBUTABLE TO ATN INTERNATIONAL, INC.</w:t>
            </w:r>
          </w:p>
        </w:tc>
        <w:tc>
          <w:tcPr>
            <w:tcW w:w="2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(2,783)</w:t>
            </w:r>
          </w:p>
        </w:tc>
        <w:tc>
          <w:tcPr>
            <w:tcW w:w="300" w:type="dxa"/>
            <w:vAlign w:val="bottom"/>
            <w:gridSpan w:val="2"/>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(8,702)</w:t>
            </w:r>
          </w:p>
        </w:tc>
        <w:tc>
          <w:tcPr>
            <w:tcW w:w="14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58"/>
        </w:trPr>
        <w:tc>
          <w:tcPr>
            <w:tcW w:w="53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STOCKHOLDERS</w:t>
            </w:r>
          </w:p>
        </w:tc>
        <w:tc>
          <w:tcPr>
            <w:tcW w:w="24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line="119" w:lineRule="exact"/>
              <w:rPr>
                <w:sz w:val="20"/>
                <w:szCs w:val="20"/>
                <w:color w:val="auto"/>
              </w:rPr>
            </w:pPr>
            <w:r>
              <w:rPr>
                <w:rFonts w:ascii="Arial" w:cs="Arial" w:eastAsia="Arial" w:hAnsi="Arial"/>
                <w:sz w:val="13"/>
                <w:szCs w:val="13"/>
                <w:b w:val="1"/>
                <w:bCs w:val="1"/>
                <w:color w:val="auto"/>
              </w:rPr>
              <w:t>NET LOSS PER WEIGHTED AVERAGE SHARE ATTRIBUTABLE TO ATN</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53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20"/>
                <w:szCs w:val="20"/>
                <w:color w:val="auto"/>
              </w:rPr>
            </w:pPr>
            <w:r>
              <w:rPr>
                <w:rFonts w:ascii="Arial" w:cs="Arial" w:eastAsia="Arial" w:hAnsi="Arial"/>
                <w:sz w:val="14"/>
                <w:szCs w:val="14"/>
                <w:b w:val="1"/>
                <w:bCs w:val="1"/>
                <w:color w:val="auto"/>
              </w:rPr>
              <w:t>INTERNATIONAL, INC. STOCKHOLDERS: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w:t>
            </w:r>
          </w:p>
        </w:tc>
        <w:tc>
          <w:tcPr>
            <w:tcW w:w="3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(0.80)</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4"/>
                <w:szCs w:val="14"/>
                <w:color w:val="auto"/>
              </w:rPr>
              <w:t>Diluted</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(0.31)</w:t>
            </w: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(0.25)</w:t>
            </w:r>
          </w:p>
        </w:tc>
        <w:tc>
          <w:tcPr>
            <w:tcW w:w="14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(0.80)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129"/>
        </w:trPr>
        <w:tc>
          <w:tcPr>
            <w:tcW w:w="53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WEIGHTED AVERAGE COMMON SHARES OUTSTANDING:</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3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Basic</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15,763</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15,666</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15,746</w:t>
            </w:r>
          </w:p>
        </w:tc>
        <w:tc>
          <w:tcPr>
            <w:tcW w:w="0" w:type="dxa"/>
            <w:vAlign w:val="bottom"/>
          </w:tcPr>
          <w:p>
            <w:pPr>
              <w:spacing w:after="0"/>
              <w:rPr>
                <w:sz w:val="1"/>
                <w:szCs w:val="1"/>
                <w:color w:val="auto"/>
              </w:rPr>
            </w:pPr>
          </w:p>
        </w:tc>
      </w:tr>
      <w:tr>
        <w:trPr>
          <w:trHeight w:val="129"/>
        </w:trPr>
        <w:tc>
          <w:tcPr>
            <w:tcW w:w="5340" w:type="dxa"/>
            <w:vAlign w:val="bottom"/>
            <w:tcBorders>
              <w:bottom w:val="single" w:sz="8" w:color="CCEEFF"/>
            </w:tcBorders>
            <w:shd w:val="clear" w:color="auto" w:fill="CCEEFF"/>
          </w:tcPr>
          <w:p>
            <w:pPr>
              <w:ind w:left="220"/>
              <w:spacing w:after="0" w:line="129" w:lineRule="exact"/>
              <w:rPr>
                <w:sz w:val="20"/>
                <w:szCs w:val="20"/>
                <w:color w:val="auto"/>
              </w:rPr>
            </w:pPr>
            <w:r>
              <w:rPr>
                <w:rFonts w:ascii="Arial" w:cs="Arial" w:eastAsia="Arial" w:hAnsi="Arial"/>
                <w:sz w:val="14"/>
                <w:szCs w:val="14"/>
                <w:color w:val="auto"/>
              </w:rPr>
              <w:t>Diluted</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15,601</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15,763</w:t>
            </w: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15,666</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15,746</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DIVIDENDS PER SHARE APPLICABLE TO COMMON STOCK</w:t>
            </w: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0.21</w:t>
            </w:r>
          </w:p>
        </w:tc>
        <w:tc>
          <w:tcPr>
            <w:tcW w:w="120" w:type="dxa"/>
            <w:vAlign w:val="bottom"/>
            <w:vMerge w:val="continue"/>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0.17</w:t>
            </w:r>
          </w:p>
        </w:tc>
        <w:tc>
          <w:tcPr>
            <w:tcW w:w="14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0.63</w:t>
            </w:r>
          </w:p>
        </w:tc>
        <w:tc>
          <w:tcPr>
            <w:tcW w:w="14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ATN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2023</w:t>
            </w:r>
          </w:p>
        </w:tc>
        <w:tc>
          <w:tcPr>
            <w:tcW w:w="8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6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(3,718)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(1,772)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(11,435)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(5,037)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Reclassification of foreign currency losses on investment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55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Reclassification of loss on pension settlement, net of $(0.2) and $(0.8)</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million of tax</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Comprehensive (income) loss attributable to noncontrolling interests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Comprehensive loss attributable to ATN International, Inc.</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(2,235)</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(3,174)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(5,188)</w:t>
            </w: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condensed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ATN INTERNATIONAL, INC. AND SUBSIDIARIES</w:t>
      </w:r>
    </w:p>
    <w:p>
      <w:pPr>
        <w:spacing w:after="0" w:line="69"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CONDENSED CONSOLIDATED STATEMENTS OF EQUITY</w:t>
      </w:r>
    </w:p>
    <w:p>
      <w:pPr>
        <w:spacing w:after="0" w:line="55"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FOR THE THREE MONTHS ENDED SEPTEMBER 30, 2023 AND 2022</w:t>
      </w:r>
    </w:p>
    <w:p>
      <w:pPr>
        <w:spacing w:after="0" w:line="55"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0"/>
                <w:szCs w:val="10"/>
                <w:b w:val="1"/>
                <w:bCs w:val="1"/>
                <w:color w:val="auto"/>
              </w:rPr>
              <w:t>Total Equity</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ind w:right="151"/>
              <w:spacing w:after="0"/>
              <w:rPr>
                <w:sz w:val="20"/>
                <w:szCs w:val="20"/>
                <w:color w:val="auto"/>
              </w:rPr>
            </w:pPr>
            <w:r>
              <w:rPr>
                <w:rFonts w:ascii="Arial" w:cs="Arial" w:eastAsia="Arial" w:hAnsi="Arial"/>
                <w:sz w:val="10"/>
                <w:szCs w:val="10"/>
                <w:b w:val="1"/>
                <w:bCs w:val="1"/>
                <w:color w:val="auto"/>
              </w:rPr>
              <w:t>Treasury</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Additional</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ATNI</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Non-</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Common</w:t>
            </w:r>
          </w:p>
        </w:tc>
        <w:tc>
          <w:tcPr>
            <w:tcW w:w="220" w:type="dxa"/>
            <w:vAlign w:val="bottom"/>
          </w:tcPr>
          <w:p>
            <w:pPr>
              <w:spacing w:after="0"/>
              <w:rPr>
                <w:sz w:val="10"/>
                <w:szCs w:val="10"/>
                <w:color w:val="auto"/>
              </w:rPr>
            </w:pPr>
          </w:p>
        </w:tc>
        <w:tc>
          <w:tcPr>
            <w:tcW w:w="720" w:type="dxa"/>
            <w:vAlign w:val="bottom"/>
          </w:tcPr>
          <w:p>
            <w:pPr>
              <w:jc w:val="right"/>
              <w:ind w:right="151"/>
              <w:spacing w:after="0"/>
              <w:rPr>
                <w:sz w:val="20"/>
                <w:szCs w:val="20"/>
                <w:color w:val="auto"/>
              </w:rPr>
            </w:pPr>
            <w:r>
              <w:rPr>
                <w:rFonts w:ascii="Arial" w:cs="Arial" w:eastAsia="Arial" w:hAnsi="Arial"/>
                <w:sz w:val="10"/>
                <w:szCs w:val="10"/>
                <w:b w:val="1"/>
                <w:bCs w:val="1"/>
                <w:color w:val="auto"/>
              </w:rPr>
              <w:t>Stock,</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Paid In</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w w:val="93"/>
              </w:rPr>
              <w:t>Comprehensive</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w w:val="96"/>
              </w:rPr>
              <w:t>Stockholders’</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Controlling</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Stock</w:t>
            </w: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at cost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Capital</w:t>
            </w: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Earnings</w:t>
            </w: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Income/(Loss)</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Equity</w:t>
            </w: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Interests</w:t>
            </w:r>
          </w:p>
        </w:tc>
        <w:tc>
          <w:tcPr>
            <w:tcW w:w="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Balance, June 30, 2023</w:t>
            </w:r>
          </w:p>
        </w:tc>
        <w:tc>
          <w:tcPr>
            <w:tcW w:w="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173</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(82,086)$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202,623</w:t>
            </w:r>
          </w:p>
        </w:tc>
        <w:tc>
          <w:tcPr>
            <w:tcW w:w="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429,909</w:t>
            </w:r>
          </w:p>
        </w:tc>
        <w:tc>
          <w:tcPr>
            <w:tcW w:w="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6,634</w:t>
            </w:r>
          </w:p>
        </w:tc>
        <w:tc>
          <w:tcPr>
            <w:tcW w:w="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557,253</w:t>
            </w:r>
          </w:p>
        </w:tc>
        <w:tc>
          <w:tcPr>
            <w:tcW w:w="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97,723</w:t>
            </w:r>
          </w:p>
        </w:tc>
        <w:tc>
          <w:tcPr>
            <w:tcW w:w="2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654,976</w:t>
            </w:r>
          </w:p>
        </w:tc>
        <w:tc>
          <w:tcPr>
            <w:tcW w:w="0" w:type="dxa"/>
            <w:vAlign w:val="bottom"/>
          </w:tcPr>
          <w:p>
            <w:pPr>
              <w:spacing w:after="0"/>
              <w:rPr>
                <w:sz w:val="1"/>
                <w:szCs w:val="1"/>
                <w:color w:val="auto"/>
              </w:rPr>
            </w:pPr>
          </w:p>
        </w:tc>
      </w:tr>
      <w:tr>
        <w:trPr>
          <w:trHeight w:val="115"/>
        </w:trPr>
        <w:tc>
          <w:tcPr>
            <w:tcW w:w="290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Purchase of 141,923 shares of common stock</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20" w:type="dxa"/>
            <w:vAlign w:val="bottom"/>
          </w:tcPr>
          <w:p>
            <w:pPr>
              <w:jc w:val="right"/>
              <w:ind w:right="131"/>
              <w:spacing w:after="0"/>
              <w:rPr>
                <w:sz w:val="20"/>
                <w:szCs w:val="20"/>
                <w:color w:val="auto"/>
              </w:rPr>
            </w:pPr>
            <w:r>
              <w:rPr>
                <w:rFonts w:ascii="Arial" w:cs="Arial" w:eastAsia="Arial" w:hAnsi="Arial"/>
                <w:sz w:val="10"/>
                <w:szCs w:val="10"/>
                <w:color w:val="auto"/>
              </w:rPr>
              <w:t>(4,891)</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(4,891)</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(4,891)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Stock-based compensation</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1,802</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1,802</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10"/>
                <w:szCs w:val="10"/>
                <w:color w:val="auto"/>
                <w:w w:val="99"/>
              </w:rPr>
              <w:t>Dividends declared on common stock ($0.21 per common share)</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2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(3,260)</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(3,260)</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(3,260)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Repurchase of noncontrolling interests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Accrued dividend - redeemable preferred units</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2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(1,303)</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(1,303)</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(1,303)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Deemed dividend - redeemable common units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(1,612)</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(1,612)</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1,612</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10"/>
                <w:szCs w:val="10"/>
                <w:i w:val="1"/>
                <w:iCs w:val="1"/>
                <w:color w:val="auto"/>
              </w:rPr>
              <w:t>Comprehensive income:</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0"/>
                <w:szCs w:val="10"/>
                <w:color w:val="auto"/>
              </w:rPr>
              <w:t>Net loss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(3,584)</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(3,584)</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bottom w:val="single" w:sz="8" w:color="CCEEFF"/>
              <w:right w:val="single" w:sz="8" w:color="auto"/>
            </w:tcBorders>
          </w:tcPr>
          <w:p>
            <w:pPr>
              <w:ind w:left="200"/>
              <w:spacing w:after="0"/>
              <w:rPr>
                <w:sz w:val="20"/>
                <w:szCs w:val="20"/>
                <w:color w:val="auto"/>
              </w:rPr>
            </w:pPr>
            <w:r>
              <w:rPr>
                <w:rFonts w:ascii="Arial" w:cs="Arial" w:eastAsia="Arial" w:hAnsi="Arial"/>
                <w:sz w:val="10"/>
                <w:szCs w:val="10"/>
                <w:color w:val="auto"/>
              </w:rPr>
              <w:t>Other comprehensive income</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1,349</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1,349</w:t>
            </w: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Total comprehensive income (loss)</w:t>
            </w:r>
          </w:p>
        </w:tc>
        <w:tc>
          <w:tcPr>
            <w:tcW w:w="8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(3,584)</w:t>
            </w:r>
          </w:p>
        </w:tc>
        <w:tc>
          <w:tcPr>
            <w:tcW w:w="1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1,349</w:t>
            </w: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(2,235)</w:t>
            </w: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(134)</w:t>
            </w:r>
          </w:p>
        </w:tc>
        <w:tc>
          <w:tcPr>
            <w:tcW w:w="2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(2,369)</w:t>
            </w:r>
          </w:p>
        </w:tc>
        <w:tc>
          <w:tcPr>
            <w:tcW w:w="0" w:type="dxa"/>
            <w:vAlign w:val="bottom"/>
          </w:tcPr>
          <w:p>
            <w:pPr>
              <w:spacing w:after="0"/>
              <w:rPr>
                <w:sz w:val="1"/>
                <w:szCs w:val="1"/>
                <w:color w:val="auto"/>
              </w:rPr>
            </w:pPr>
          </w:p>
        </w:tc>
      </w:tr>
      <w:tr>
        <w:trPr>
          <w:trHeight w:val="155"/>
        </w:trPr>
        <w:tc>
          <w:tcPr>
            <w:tcW w:w="290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Balance, September 30, 2023</w:t>
            </w:r>
          </w:p>
        </w:tc>
        <w:tc>
          <w:tcPr>
            <w:tcW w:w="8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173</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(86,977)$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204,425</w:t>
            </w:r>
          </w:p>
        </w:tc>
        <w:tc>
          <w:tcPr>
            <w:tcW w:w="200" w:type="dxa"/>
            <w:vAlign w:val="bottom"/>
            <w:tcBorders>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420,150</w:t>
            </w:r>
          </w:p>
        </w:tc>
        <w:tc>
          <w:tcPr>
            <w:tcW w:w="100" w:type="dxa"/>
            <w:vAlign w:val="bottom"/>
            <w:tcBorders>
              <w:bottom w:val="single" w:sz="8" w:color="auto"/>
            </w:tcBorders>
          </w:tcPr>
          <w:p>
            <w:pPr>
              <w:jc w:val="right"/>
              <w:ind w:right="3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7,983</w:t>
            </w:r>
          </w:p>
        </w:tc>
        <w:tc>
          <w:tcPr>
            <w:tcW w:w="100" w:type="dxa"/>
            <w:vAlign w:val="bottom"/>
            <w:tcBorders>
              <w:bottom w:val="single" w:sz="8" w:color="auto"/>
            </w:tcBorders>
          </w:tcPr>
          <w:p>
            <w:pPr>
              <w:jc w:val="right"/>
              <w:ind w:right="35"/>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545,754</w:t>
            </w: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99,359</w:t>
            </w:r>
          </w:p>
        </w:tc>
        <w:tc>
          <w:tcPr>
            <w:tcW w:w="240" w:type="dxa"/>
            <w:vAlign w:val="bottom"/>
            <w:tcBorders>
              <w:bottom w:val="single" w:sz="8" w:color="auto"/>
            </w:tcBorders>
          </w:tcPr>
          <w:p>
            <w:pPr>
              <w:jc w:val="right"/>
              <w:ind w:right="175"/>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645,113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88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80" w:type="dxa"/>
            <w:vAlign w:val="bottom"/>
            <w:tcBorders>
              <w:bottom w:val="single" w:sz="8" w:color="CCEEFF"/>
              <w:right w:val="single" w:sz="8" w:color="auto"/>
            </w:tcBorders>
          </w:tcPr>
          <w:p>
            <w:pPr>
              <w:spacing w:after="0"/>
              <w:rPr>
                <w:sz w:val="20"/>
                <w:szCs w:val="20"/>
                <w:color w:val="auto"/>
              </w:rPr>
            </w:pPr>
            <w:r>
              <w:rPr>
                <w:rFonts w:ascii="Arial" w:cs="Arial" w:eastAsia="Arial" w:hAnsi="Arial"/>
                <w:sz w:val="10"/>
                <w:szCs w:val="10"/>
                <w:color w:val="auto"/>
              </w:rPr>
              <w:t>Balance, June 30, 2022</w:t>
            </w:r>
          </w:p>
        </w:tc>
        <w:tc>
          <w:tcPr>
            <w:tcW w:w="8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(73,828)$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195,432</w:t>
            </w:r>
          </w:p>
        </w:tc>
        <w:tc>
          <w:tcPr>
            <w:tcW w:w="200" w:type="dxa"/>
            <w:vAlign w:val="bottom"/>
            <w:tcBorders>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465,112</w:t>
            </w:r>
          </w:p>
        </w:tc>
        <w:tc>
          <w:tcPr>
            <w:tcW w:w="100" w:type="dxa"/>
            <w:vAlign w:val="bottom"/>
            <w:tcBorders>
              <w:bottom w:val="single" w:sz="8" w:color="auto"/>
            </w:tcBorders>
          </w:tcPr>
          <w:p>
            <w:pPr>
              <w:jc w:val="right"/>
              <w:ind w:right="3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4,231</w:t>
            </w:r>
          </w:p>
        </w:tc>
        <w:tc>
          <w:tcPr>
            <w:tcW w:w="100" w:type="dxa"/>
            <w:vAlign w:val="bottom"/>
            <w:tcBorders>
              <w:bottom w:val="single" w:sz="8" w:color="auto"/>
            </w:tcBorders>
          </w:tcPr>
          <w:p>
            <w:pPr>
              <w:jc w:val="right"/>
              <w:ind w:right="35"/>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591,119</w:t>
            </w: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95,752</w:t>
            </w:r>
          </w:p>
        </w:tc>
        <w:tc>
          <w:tcPr>
            <w:tcW w:w="240" w:type="dxa"/>
            <w:vAlign w:val="bottom"/>
            <w:tcBorders>
              <w:bottom w:val="single" w:sz="8" w:color="auto"/>
            </w:tcBorders>
          </w:tcPr>
          <w:p>
            <w:pPr>
              <w:jc w:val="right"/>
              <w:ind w:right="175"/>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686,871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Stock-based compensation</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1,481</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186</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10"/>
                <w:szCs w:val="10"/>
                <w:color w:val="auto"/>
                <w:w w:val="99"/>
              </w:rPr>
              <w:t>Dividends declared on common stock ($0.17 per common share)</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2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(2,681)</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(2,681)</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(2,681)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w w:val="93"/>
              </w:rPr>
              <w:t>Investments made by minority shareholders in consolidated affiliates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Repurchase of noncontrolling interests</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2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(10)</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(10)</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(120)</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Accrued dividend - redeemable preferred units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(1,192)</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(1,192)</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Deemed dividend - redeemable common units</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2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(1,083)</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(1,083)</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1,083</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i w:val="1"/>
                <w:iCs w:val="1"/>
                <w:color w:val="auto"/>
              </w:rPr>
              <w:t>Comprehensive income:</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80" w:type="dxa"/>
            <w:vAlign w:val="bottom"/>
            <w:tcBorders>
              <w:right w:val="single" w:sz="8" w:color="auto"/>
            </w:tcBorders>
          </w:tcPr>
          <w:p>
            <w:pPr>
              <w:ind w:left="200"/>
              <w:spacing w:after="0"/>
              <w:rPr>
                <w:sz w:val="20"/>
                <w:szCs w:val="20"/>
                <w:color w:val="auto"/>
              </w:rPr>
            </w:pPr>
            <w:r>
              <w:rPr>
                <w:rFonts w:ascii="Arial" w:cs="Arial" w:eastAsia="Arial" w:hAnsi="Arial"/>
                <w:sz w:val="10"/>
                <w:szCs w:val="10"/>
                <w:color w:val="auto"/>
              </w:rPr>
              <w:t>Net income (loss)</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2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(2,783)</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(2,783)</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1,011</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(1,772)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0"/>
                <w:szCs w:val="10"/>
                <w:color w:val="auto"/>
              </w:rPr>
              <w:t>Other comprehensive income (loss)</w:t>
            </w:r>
          </w:p>
        </w:tc>
        <w:tc>
          <w:tcPr>
            <w:tcW w:w="8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(391)</w:t>
            </w: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(391)</w:t>
            </w: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(391)</w:t>
            </w:r>
          </w:p>
        </w:tc>
        <w:tc>
          <w:tcPr>
            <w:tcW w:w="0" w:type="dxa"/>
            <w:vAlign w:val="bottom"/>
          </w:tcPr>
          <w:p>
            <w:pPr>
              <w:spacing w:after="0"/>
              <w:rPr>
                <w:sz w:val="1"/>
                <w:szCs w:val="1"/>
                <w:color w:val="auto"/>
              </w:rPr>
            </w:pPr>
          </w:p>
        </w:tc>
      </w:tr>
      <w:tr>
        <w:trPr>
          <w:trHeight w:val="115"/>
        </w:trPr>
        <w:tc>
          <w:tcPr>
            <w:tcW w:w="290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Total comprehensive income (loss)</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2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(2,783)</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(391)</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(3,174)</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1,011</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(2,163)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8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Balance, September 30, 2022</w:t>
            </w:r>
          </w:p>
        </w:tc>
        <w:tc>
          <w:tcPr>
            <w:tcW w:w="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172</w:t>
            </w: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(73,828)$</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196,903</w:t>
            </w:r>
          </w:p>
        </w:tc>
        <w:tc>
          <w:tcPr>
            <w:tcW w:w="2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457,373</w:t>
            </w: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3,840</w:t>
            </w: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584,460</w:t>
            </w:r>
          </w:p>
        </w:tc>
        <w:tc>
          <w:tcPr>
            <w:tcW w:w="1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97,923</w:t>
            </w: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682,383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condensed consolidated financial statements</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ATN INTERNATIONAL, INC. AND SUBSIDIARIES</w:t>
      </w:r>
    </w:p>
    <w:p>
      <w:pPr>
        <w:spacing w:after="0" w:line="69"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CONDENSED CONSOLIDATED STATEMENTS OF EQUITY</w:t>
      </w:r>
    </w:p>
    <w:p>
      <w:pPr>
        <w:spacing w:after="0" w:line="55"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FOR THE NINE MONTHS ENDED SEPTEMBER 30, 2023 AND 2022</w:t>
      </w:r>
    </w:p>
    <w:p>
      <w:pPr>
        <w:spacing w:after="0" w:line="55"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Per Share Data)</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2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0"/>
                <w:szCs w:val="10"/>
                <w:b w:val="1"/>
                <w:bCs w:val="1"/>
                <w:color w:val="auto"/>
              </w:rPr>
              <w:t>Total Equity</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18"/>
        </w:trPr>
        <w:tc>
          <w:tcPr>
            <w:tcW w:w="2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ind w:right="171"/>
              <w:spacing w:after="0"/>
              <w:rPr>
                <w:sz w:val="20"/>
                <w:szCs w:val="20"/>
                <w:color w:val="auto"/>
              </w:rPr>
            </w:pPr>
            <w:r>
              <w:rPr>
                <w:rFonts w:ascii="Arial" w:cs="Arial" w:eastAsia="Arial" w:hAnsi="Arial"/>
                <w:sz w:val="10"/>
                <w:szCs w:val="10"/>
                <w:b w:val="1"/>
                <w:bCs w:val="1"/>
                <w:color w:val="auto"/>
              </w:rPr>
              <w:t>Treasury</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Additional</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ATNI</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Non-</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Common</w:t>
            </w:r>
          </w:p>
        </w:tc>
        <w:tc>
          <w:tcPr>
            <w:tcW w:w="220" w:type="dxa"/>
            <w:vAlign w:val="bottom"/>
          </w:tcPr>
          <w:p>
            <w:pPr>
              <w:spacing w:after="0"/>
              <w:rPr>
                <w:sz w:val="10"/>
                <w:szCs w:val="10"/>
                <w:color w:val="auto"/>
              </w:rPr>
            </w:pPr>
          </w:p>
        </w:tc>
        <w:tc>
          <w:tcPr>
            <w:tcW w:w="740" w:type="dxa"/>
            <w:vAlign w:val="bottom"/>
          </w:tcPr>
          <w:p>
            <w:pPr>
              <w:jc w:val="right"/>
              <w:ind w:right="171"/>
              <w:spacing w:after="0"/>
              <w:rPr>
                <w:sz w:val="20"/>
                <w:szCs w:val="20"/>
                <w:color w:val="auto"/>
              </w:rPr>
            </w:pPr>
            <w:r>
              <w:rPr>
                <w:rFonts w:ascii="Arial" w:cs="Arial" w:eastAsia="Arial" w:hAnsi="Arial"/>
                <w:sz w:val="10"/>
                <w:szCs w:val="10"/>
                <w:b w:val="1"/>
                <w:bCs w:val="1"/>
                <w:color w:val="auto"/>
              </w:rPr>
              <w:t>Stock,</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Paid In</w:t>
            </w:r>
          </w:p>
        </w:tc>
        <w:tc>
          <w:tcPr>
            <w:tcW w:w="2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w w:val="90"/>
              </w:rPr>
              <w:t>Comprehensive</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w w:val="93"/>
              </w:rPr>
              <w:t>Stockholders’</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Controlling</w:t>
            </w:r>
          </w:p>
        </w:tc>
        <w:tc>
          <w:tcPr>
            <w:tcW w:w="240" w:type="dxa"/>
            <w:vAlign w:val="bottom"/>
          </w:tcPr>
          <w:p>
            <w:pPr>
              <w:spacing w:after="0"/>
              <w:rPr>
                <w:sz w:val="10"/>
                <w:szCs w:val="1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Total</w:t>
            </w:r>
          </w:p>
        </w:tc>
      </w:tr>
      <w:tr>
        <w:trPr>
          <w:trHeight w:val="125"/>
        </w:trPr>
        <w:tc>
          <w:tcPr>
            <w:tcW w:w="2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Stock</w:t>
            </w:r>
          </w:p>
        </w:tc>
        <w:tc>
          <w:tcPr>
            <w:tcW w:w="220" w:type="dxa"/>
            <w:vAlign w:val="bottom"/>
          </w:tcPr>
          <w:p>
            <w:pPr>
              <w:spacing w:after="0"/>
              <w:rPr>
                <w:sz w:val="10"/>
                <w:szCs w:val="10"/>
                <w:color w:val="auto"/>
              </w:rPr>
            </w:pPr>
          </w:p>
        </w:tc>
        <w:tc>
          <w:tcPr>
            <w:tcW w:w="740" w:type="dxa"/>
            <w:vAlign w:val="bottom"/>
          </w:tcPr>
          <w:p>
            <w:pPr>
              <w:jc w:val="right"/>
              <w:ind w:right="171"/>
              <w:spacing w:after="0"/>
              <w:rPr>
                <w:sz w:val="20"/>
                <w:szCs w:val="20"/>
                <w:color w:val="auto"/>
              </w:rPr>
            </w:pPr>
            <w:r>
              <w:rPr>
                <w:rFonts w:ascii="Arial" w:cs="Arial" w:eastAsia="Arial" w:hAnsi="Arial"/>
                <w:sz w:val="10"/>
                <w:szCs w:val="10"/>
                <w:b w:val="1"/>
                <w:bCs w:val="1"/>
                <w:color w:val="auto"/>
              </w:rPr>
              <w:t>at cost</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Capital</w:t>
            </w:r>
          </w:p>
        </w:tc>
        <w:tc>
          <w:tcPr>
            <w:tcW w:w="2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Income/(Loss)</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Equity</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Interests</w:t>
            </w:r>
          </w:p>
        </w:tc>
        <w:tc>
          <w:tcPr>
            <w:tcW w:w="240" w:type="dxa"/>
            <w:vAlign w:val="bottom"/>
          </w:tcPr>
          <w:p>
            <w:pPr>
              <w:spacing w:after="0"/>
              <w:rPr>
                <w:sz w:val="10"/>
                <w:szCs w:val="1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Equity</w:t>
            </w:r>
          </w:p>
        </w:tc>
      </w:tr>
      <w:tr>
        <w:trPr>
          <w:trHeight w:val="115"/>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Balance, December 31, 2022</w:t>
            </w:r>
          </w:p>
        </w:tc>
        <w:tc>
          <w:tcPr>
            <w:tcW w:w="1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173</w:t>
            </w: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(73,825)$</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198,449</w:t>
            </w:r>
          </w:p>
        </w:tc>
        <w:tc>
          <w:tcPr>
            <w:tcW w:w="2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449,806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6,210</w:t>
            </w: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580,813</w:t>
            </w: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96,016</w:t>
            </w:r>
          </w:p>
        </w:tc>
        <w:tc>
          <w:tcPr>
            <w:tcW w:w="2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676,829</w:t>
            </w:r>
          </w:p>
        </w:tc>
        <w:tc>
          <w:tcPr>
            <w:tcW w:w="20" w:type="dxa"/>
            <w:vAlign w:val="bottom"/>
          </w:tcPr>
          <w:p>
            <w:pPr>
              <w:spacing w:after="0"/>
              <w:rPr>
                <w:sz w:val="10"/>
                <w:szCs w:val="10"/>
                <w:color w:val="auto"/>
              </w:rPr>
            </w:pPr>
          </w:p>
        </w:tc>
      </w:tr>
      <w:tr>
        <w:trPr>
          <w:trHeight w:val="115"/>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Purchase of 359,620 shares of common stock</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40" w:type="dxa"/>
            <w:vAlign w:val="bottom"/>
          </w:tcPr>
          <w:p>
            <w:pPr>
              <w:jc w:val="right"/>
              <w:ind w:right="131"/>
              <w:spacing w:after="0"/>
              <w:rPr>
                <w:sz w:val="20"/>
                <w:szCs w:val="20"/>
                <w:color w:val="auto"/>
              </w:rPr>
            </w:pPr>
            <w:r>
              <w:rPr>
                <w:rFonts w:ascii="Arial" w:cs="Arial" w:eastAsia="Arial" w:hAnsi="Arial"/>
                <w:sz w:val="10"/>
                <w:szCs w:val="10"/>
                <w:color w:val="auto"/>
              </w:rPr>
              <w:t>(13,152)</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(13,152)</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(13,152)</w:t>
            </w: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6,057</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6,057</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416</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6,473</w:t>
            </w: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w w:val="97"/>
              </w:rPr>
              <w:t>Dividends declared on common stock ($0.63 per common share)</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(9,864)</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(9,864)</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(1,447)</w:t>
            </w:r>
          </w:p>
        </w:tc>
        <w:tc>
          <w:tcPr>
            <w:tcW w:w="2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(11,311)</w:t>
            </w:r>
          </w:p>
        </w:tc>
        <w:tc>
          <w:tcPr>
            <w:tcW w:w="20" w:type="dxa"/>
            <w:vAlign w:val="bottom"/>
          </w:tcPr>
          <w:p>
            <w:pPr>
              <w:spacing w:after="0"/>
              <w:rPr>
                <w:sz w:val="10"/>
                <w:szCs w:val="10"/>
                <w:color w:val="auto"/>
              </w:rPr>
            </w:pPr>
          </w:p>
        </w:tc>
      </w:tr>
      <w:tr>
        <w:trPr>
          <w:trHeight w:val="121"/>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Repurchase of noncontrolling interests</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(681)</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(762)</w:t>
            </w: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Accrued dividend - redeemable preferred units</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(3,593)</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(3,593)</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(3,593)</w:t>
            </w: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Deemed dividend - redeemable common units</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(7,497)</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(7,497)</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7,788</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291</w:t>
            </w: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0"/>
                <w:szCs w:val="10"/>
                <w:i w:val="1"/>
                <w:iCs w:val="1"/>
                <w:color w:val="auto"/>
              </w:rPr>
              <w:t>Comprehensive income:</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rPr>
              <w:t>Net income (loss)</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(8,702)</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(8,702)</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(2,733)</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(11,435)</w:t>
            </w:r>
          </w:p>
        </w:tc>
        <w:tc>
          <w:tcPr>
            <w:tcW w:w="20" w:type="dxa"/>
            <w:vAlign w:val="bottom"/>
          </w:tcPr>
          <w:p>
            <w:pPr>
              <w:spacing w:after="0"/>
              <w:rPr>
                <w:sz w:val="10"/>
                <w:szCs w:val="10"/>
                <w:color w:val="auto"/>
              </w:rPr>
            </w:pPr>
          </w:p>
        </w:tc>
      </w:tr>
      <w:tr>
        <w:trPr>
          <w:trHeight w:val="121"/>
        </w:trPr>
        <w:tc>
          <w:tcPr>
            <w:tcW w:w="2860" w:type="dxa"/>
            <w:vAlign w:val="bottom"/>
            <w:tcBorders>
              <w:bottom w:val="single" w:sz="8" w:color="CCEEFF"/>
              <w:right w:val="single" w:sz="8" w:color="auto"/>
            </w:tcBorders>
          </w:tcPr>
          <w:p>
            <w:pPr>
              <w:ind w:left="220"/>
              <w:spacing w:after="0"/>
              <w:rPr>
                <w:sz w:val="20"/>
                <w:szCs w:val="20"/>
                <w:color w:val="auto"/>
              </w:rPr>
            </w:pPr>
            <w:r>
              <w:rPr>
                <w:rFonts w:ascii="Arial" w:cs="Arial" w:eastAsia="Arial" w:hAnsi="Arial"/>
                <w:sz w:val="10"/>
                <w:szCs w:val="10"/>
                <w:color w:val="auto"/>
              </w:rPr>
              <w:t>Other comprehensive income (loss)</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1,773</w:t>
            </w: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1,773</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1,773</w:t>
            </w:r>
          </w:p>
        </w:tc>
        <w:tc>
          <w:tcPr>
            <w:tcW w:w="20" w:type="dxa"/>
            <w:vAlign w:val="bottom"/>
          </w:tcPr>
          <w:p>
            <w:pPr>
              <w:spacing w:after="0"/>
              <w:rPr>
                <w:sz w:val="10"/>
                <w:szCs w:val="10"/>
                <w:color w:val="auto"/>
              </w:rPr>
            </w:pPr>
          </w:p>
        </w:tc>
      </w:tr>
      <w:tr>
        <w:trPr>
          <w:trHeight w:val="115"/>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comprehensive income</w:t>
            </w:r>
          </w:p>
        </w:tc>
        <w:tc>
          <w:tcPr>
            <w:tcW w:w="12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(8,702)</w:t>
            </w:r>
          </w:p>
        </w:tc>
        <w:tc>
          <w:tcPr>
            <w:tcW w:w="10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1,773</w:t>
            </w:r>
          </w:p>
        </w:tc>
        <w:tc>
          <w:tcPr>
            <w:tcW w:w="12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(6,929)</w:t>
            </w: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(2,733)</w:t>
            </w:r>
          </w:p>
        </w:tc>
        <w:tc>
          <w:tcPr>
            <w:tcW w:w="2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(9,662)</w:t>
            </w:r>
          </w:p>
        </w:tc>
        <w:tc>
          <w:tcPr>
            <w:tcW w:w="20" w:type="dxa"/>
            <w:vAlign w:val="bottom"/>
          </w:tcPr>
          <w:p>
            <w:pPr>
              <w:spacing w:after="0"/>
              <w:rPr>
                <w:sz w:val="10"/>
                <w:szCs w:val="10"/>
                <w:color w:val="auto"/>
              </w:rPr>
            </w:pPr>
          </w:p>
        </w:tc>
      </w:tr>
      <w:tr>
        <w:trPr>
          <w:trHeight w:val="155"/>
        </w:trPr>
        <w:tc>
          <w:tcPr>
            <w:tcW w:w="286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0"/>
                <w:szCs w:val="10"/>
                <w:color w:val="auto"/>
              </w:rPr>
              <w:t>Balance, September 30, 2023</w:t>
            </w: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173</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(86,977)$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204,425</w:t>
            </w:r>
          </w:p>
        </w:tc>
        <w:tc>
          <w:tcPr>
            <w:tcW w:w="200" w:type="dxa"/>
            <w:vAlign w:val="bottom"/>
            <w:tcBorders>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420,150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7,983</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545,754</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99,359</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645,113</w:t>
            </w:r>
          </w:p>
        </w:tc>
        <w:tc>
          <w:tcPr>
            <w:tcW w:w="20" w:type="dxa"/>
            <w:vAlign w:val="bottom"/>
          </w:tcPr>
          <w:p>
            <w:pPr>
              <w:spacing w:after="0"/>
              <w:rPr>
                <w:sz w:val="13"/>
                <w:szCs w:val="13"/>
                <w:color w:val="auto"/>
              </w:rPr>
            </w:pPr>
          </w:p>
        </w:tc>
      </w:tr>
      <w:tr>
        <w:trPr>
          <w:trHeight w:val="102"/>
        </w:trPr>
        <w:tc>
          <w:tcPr>
            <w:tcW w:w="2860" w:type="dxa"/>
            <w:vAlign w:val="bottom"/>
            <w:tcBorders>
              <w:right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286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0"/>
                <w:szCs w:val="10"/>
                <w:color w:val="auto"/>
              </w:rPr>
              <w:t>Balance, December 31, 2021</w:t>
            </w: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(71,714)$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192,132</w:t>
            </w:r>
          </w:p>
        </w:tc>
        <w:tc>
          <w:tcPr>
            <w:tcW w:w="200" w:type="dxa"/>
            <w:vAlign w:val="bottom"/>
            <w:tcBorders>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475,887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4,773</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601,250</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101,003</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702,253</w:t>
            </w:r>
          </w:p>
        </w:tc>
        <w:tc>
          <w:tcPr>
            <w:tcW w:w="20" w:type="dxa"/>
            <w:vAlign w:val="bottom"/>
          </w:tcPr>
          <w:p>
            <w:pPr>
              <w:spacing w:after="0"/>
              <w:rPr>
                <w:sz w:val="10"/>
                <w:szCs w:val="10"/>
                <w:color w:val="auto"/>
              </w:rPr>
            </w:pPr>
          </w:p>
        </w:tc>
      </w:tr>
      <w:tr>
        <w:trPr>
          <w:trHeight w:val="115"/>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Purchase of 57,115 shares of common stock</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(2,114)</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(2,114)</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(2,114)</w:t>
            </w: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Stock-based compensation</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5,225</w:t>
            </w:r>
          </w:p>
        </w:tc>
        <w:tc>
          <w:tcPr>
            <w:tcW w:w="2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5,225</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471</w:t>
            </w:r>
          </w:p>
        </w:tc>
        <w:tc>
          <w:tcPr>
            <w:tcW w:w="2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5,696</w:t>
            </w: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97"/>
              </w:rPr>
              <w:t>Dividends declared on common stock ($0.51 per common share)</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(8,035)</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(8,035)</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(1,375)</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(9,410)</w:t>
            </w: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w w:val="92"/>
              </w:rPr>
              <w:t>Investments made by minority shareholders in consolidated affiliates</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22</w:t>
            </w:r>
          </w:p>
        </w:tc>
        <w:tc>
          <w:tcPr>
            <w:tcW w:w="2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22</w:t>
            </w: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Repurchase of noncontrolling interests</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(4,178)</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(4,632)</w:t>
            </w:r>
          </w:p>
        </w:tc>
        <w:tc>
          <w:tcPr>
            <w:tcW w:w="20" w:type="dxa"/>
            <w:vAlign w:val="bottom"/>
          </w:tcPr>
          <w:p>
            <w:pPr>
              <w:spacing w:after="0"/>
              <w:rPr>
                <w:sz w:val="10"/>
                <w:szCs w:val="10"/>
                <w:color w:val="auto"/>
              </w:rPr>
            </w:pPr>
          </w:p>
        </w:tc>
      </w:tr>
      <w:tr>
        <w:trPr>
          <w:trHeight w:val="121"/>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Accrued dividend - redeemable preferred units</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(3,462)</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(3,462)</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(3,462)</w:t>
            </w: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Deemed dividend - redeemable common units</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(2,762)</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(2,762)</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2,762</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0"/>
                <w:szCs w:val="10"/>
                <w:i w:val="1"/>
                <w:iCs w:val="1"/>
                <w:color w:val="auto"/>
              </w:rPr>
              <w:t>Comprehensive income:</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86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rPr>
              <w:t>Net income (loss)</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(4,255)</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(4,255)</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(782)</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(5,037)</w:t>
            </w:r>
          </w:p>
        </w:tc>
        <w:tc>
          <w:tcPr>
            <w:tcW w:w="20" w:type="dxa"/>
            <w:vAlign w:val="bottom"/>
          </w:tcPr>
          <w:p>
            <w:pPr>
              <w:spacing w:after="0"/>
              <w:rPr>
                <w:sz w:val="10"/>
                <w:szCs w:val="10"/>
                <w:color w:val="auto"/>
              </w:rPr>
            </w:pPr>
          </w:p>
        </w:tc>
      </w:tr>
      <w:tr>
        <w:trPr>
          <w:trHeight w:val="122"/>
        </w:trPr>
        <w:tc>
          <w:tcPr>
            <w:tcW w:w="2860" w:type="dxa"/>
            <w:vAlign w:val="bottom"/>
            <w:tcBorders>
              <w:bottom w:val="single" w:sz="8" w:color="CCEEFF"/>
              <w:right w:val="single" w:sz="8" w:color="auto"/>
            </w:tcBorders>
          </w:tcPr>
          <w:p>
            <w:pPr>
              <w:ind w:left="220"/>
              <w:spacing w:after="0"/>
              <w:rPr>
                <w:sz w:val="20"/>
                <w:szCs w:val="20"/>
                <w:color w:val="auto"/>
              </w:rPr>
            </w:pPr>
            <w:r>
              <w:rPr>
                <w:rFonts w:ascii="Arial" w:cs="Arial" w:eastAsia="Arial" w:hAnsi="Arial"/>
                <w:sz w:val="10"/>
                <w:szCs w:val="10"/>
                <w:color w:val="auto"/>
              </w:rPr>
              <w:t>Other comprehensive income (loss)</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(933)</w:t>
            </w: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(933)</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(933)</w:t>
            </w:r>
          </w:p>
        </w:tc>
        <w:tc>
          <w:tcPr>
            <w:tcW w:w="20" w:type="dxa"/>
            <w:vAlign w:val="bottom"/>
          </w:tcPr>
          <w:p>
            <w:pPr>
              <w:spacing w:after="0"/>
              <w:rPr>
                <w:sz w:val="10"/>
                <w:szCs w:val="10"/>
                <w:color w:val="auto"/>
              </w:rPr>
            </w:pPr>
          </w:p>
        </w:tc>
      </w:tr>
      <w:tr>
        <w:trPr>
          <w:trHeight w:val="115"/>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comprehensive income</w:t>
            </w:r>
          </w:p>
        </w:tc>
        <w:tc>
          <w:tcPr>
            <w:tcW w:w="12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(4,255)</w:t>
            </w:r>
          </w:p>
        </w:tc>
        <w:tc>
          <w:tcPr>
            <w:tcW w:w="10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(933)</w:t>
            </w:r>
          </w:p>
        </w:tc>
        <w:tc>
          <w:tcPr>
            <w:tcW w:w="12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(5,188)</w:t>
            </w: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(782)</w:t>
            </w:r>
          </w:p>
        </w:tc>
        <w:tc>
          <w:tcPr>
            <w:tcW w:w="2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(5,970)</w:t>
            </w:r>
          </w:p>
        </w:tc>
        <w:tc>
          <w:tcPr>
            <w:tcW w:w="20" w:type="dxa"/>
            <w:vAlign w:val="bottom"/>
          </w:tcPr>
          <w:p>
            <w:pPr>
              <w:spacing w:after="0"/>
              <w:rPr>
                <w:sz w:val="10"/>
                <w:szCs w:val="10"/>
                <w:color w:val="auto"/>
              </w:rPr>
            </w:pPr>
          </w:p>
        </w:tc>
      </w:tr>
      <w:tr>
        <w:trPr>
          <w:trHeight w:val="115"/>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Balance, September 30, 2022</w:t>
            </w: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(73,828)$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196,903</w:t>
            </w:r>
          </w:p>
        </w:tc>
        <w:tc>
          <w:tcPr>
            <w:tcW w:w="200" w:type="dxa"/>
            <w:vAlign w:val="bottom"/>
            <w:tcBorders>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457,373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3,840</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584,460</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97,923</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682,383</w:t>
            </w:r>
          </w:p>
        </w:tc>
        <w:tc>
          <w:tcPr>
            <w:tcW w:w="20" w:type="dxa"/>
            <w:vAlign w:val="bottom"/>
          </w:tcPr>
          <w:p>
            <w:pPr>
              <w:spacing w:after="0"/>
              <w:rPr>
                <w:sz w:val="10"/>
                <w:szCs w:val="10"/>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54" w:lineRule="auto"/>
        <w:rPr>
          <w:sz w:val="20"/>
          <w:szCs w:val="20"/>
          <w:color w:val="auto"/>
        </w:rPr>
      </w:pPr>
      <w:r>
        <w:rPr>
          <w:rFonts w:ascii="Arial" w:cs="Arial" w:eastAsia="Arial" w:hAnsi="Arial"/>
          <w:sz w:val="18"/>
          <w:szCs w:val="18"/>
          <w:b w:val="1"/>
          <w:bCs w:val="1"/>
          <w:color w:val="auto"/>
        </w:rPr>
        <w:t>ATN INTERNATIONAL, INC. AND SUBSIDIARIES CONDENSED CONSOLIDATED STATEMENTS OF CASH FLOWS FOR THE NINE MONTHS ENDED SEPTEMBER 30, 2023 AND 2022</w:t>
      </w:r>
    </w:p>
    <w:p>
      <w:pPr>
        <w:jc w:val="center"/>
        <w:spacing w:after="0" w:line="225" w:lineRule="auto"/>
        <w:rPr>
          <w:sz w:val="20"/>
          <w:szCs w:val="20"/>
          <w:color w:val="auto"/>
        </w:rPr>
      </w:pPr>
      <w:r>
        <w:rPr>
          <w:rFonts w:ascii="Arial" w:cs="Arial" w:eastAsia="Arial" w:hAnsi="Arial"/>
          <w:sz w:val="14"/>
          <w:szCs w:val="14"/>
          <w:b w:val="1"/>
          <w:bCs w:val="1"/>
          <w:color w:val="auto"/>
        </w:rPr>
        <w:t>(Unaudited)</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33"/>
        </w:trPr>
        <w:tc>
          <w:tcPr>
            <w:tcW w:w="6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1"/>
                <w:szCs w:val="11"/>
                <w:b w:val="1"/>
                <w:bCs w:val="1"/>
                <w:color w:val="auto"/>
                <w:w w:val="92"/>
              </w:rPr>
              <w:t>Nine Months Ended September 30,</w:t>
            </w:r>
          </w:p>
        </w:tc>
      </w:tr>
      <w:tr>
        <w:trPr>
          <w:trHeight w:val="115"/>
        </w:trPr>
        <w:tc>
          <w:tcPr>
            <w:tcW w:w="608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17"/>
              <w:spacing w:after="0" w:line="115" w:lineRule="exact"/>
              <w:rPr>
                <w:sz w:val="20"/>
                <w:szCs w:val="20"/>
                <w:color w:val="auto"/>
              </w:rPr>
            </w:pPr>
            <w:r>
              <w:rPr>
                <w:rFonts w:ascii="Arial" w:cs="Arial" w:eastAsia="Arial" w:hAnsi="Arial"/>
                <w:sz w:val="11"/>
                <w:szCs w:val="11"/>
                <w:b w:val="1"/>
                <w:bCs w:val="1"/>
                <w:color w:val="auto"/>
              </w:rPr>
              <w:t>2023</w:t>
            </w:r>
          </w:p>
        </w:tc>
        <w:tc>
          <w:tcPr>
            <w:tcW w:w="2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17"/>
              <w:spacing w:after="0" w:line="115" w:lineRule="exact"/>
              <w:rPr>
                <w:sz w:val="20"/>
                <w:szCs w:val="20"/>
                <w:color w:val="auto"/>
              </w:rPr>
            </w:pPr>
            <w:r>
              <w:rPr>
                <w:rFonts w:ascii="Arial" w:cs="Arial" w:eastAsia="Arial" w:hAnsi="Arial"/>
                <w:sz w:val="11"/>
                <w:szCs w:val="11"/>
                <w:b w:val="1"/>
                <w:bCs w:val="1"/>
                <w:color w:val="auto"/>
              </w:rPr>
              <w:t>2022</w:t>
            </w:r>
          </w:p>
        </w:tc>
      </w:tr>
      <w:tr>
        <w:trPr>
          <w:trHeight w:val="128"/>
        </w:trPr>
        <w:tc>
          <w:tcPr>
            <w:tcW w:w="60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flows from operating activities: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Net loss</w:t>
            </w:r>
          </w:p>
        </w:tc>
        <w:tc>
          <w:tcPr>
            <w:tcW w:w="860" w:type="dxa"/>
            <w:vAlign w:val="bottom"/>
            <w:gridSpan w:val="2"/>
          </w:tcPr>
          <w:p>
            <w:pPr>
              <w:jc w:val="right"/>
              <w:ind w:right="74"/>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(11,435)</w:t>
            </w:r>
          </w:p>
        </w:tc>
        <w:tc>
          <w:tcPr>
            <w:tcW w:w="400" w:type="dxa"/>
            <w:vAlign w:val="bottom"/>
            <w:gridSpan w:val="2"/>
          </w:tcPr>
          <w:p>
            <w:pPr>
              <w:jc w:val="right"/>
              <w:ind w:right="8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(5,037)</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Adjustments to reconcile net loss to net cash flows provided by operating activities: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Depreciation and amortization</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106,991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100,421</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Amortization of intangibles from acquisitions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9,514</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9,744</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Provision for doubtful accounts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4,014</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4,969</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Amortization of debt discount and debt issuance costs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1,806</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1,512</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Loss on disposition of long-lived assets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410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3,876</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6,473</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5,696</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Deferred income taxes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(9,452)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(6,619)</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Loss on pension settlement</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369</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1,725</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Gain on investments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(2,752)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(5,617)</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Changes in operating assets and liabilities, excluding the effects of acquisitions and dispositions: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35"/>
        </w:trPr>
        <w:tc>
          <w:tcPr>
            <w:tcW w:w="6080" w:type="dxa"/>
            <w:vAlign w:val="bottom"/>
          </w:tcPr>
          <w:p>
            <w:pPr>
              <w:ind w:left="320"/>
              <w:spacing w:after="0" w:line="135" w:lineRule="exact"/>
              <w:rPr>
                <w:sz w:val="20"/>
                <w:szCs w:val="20"/>
                <w:color w:val="auto"/>
              </w:rPr>
            </w:pPr>
            <w:r>
              <w:rPr>
                <w:rFonts w:ascii="Arial" w:cs="Arial" w:eastAsia="Arial" w:hAnsi="Arial"/>
                <w:sz w:val="13"/>
                <w:szCs w:val="13"/>
                <w:color w:val="auto"/>
              </w:rPr>
              <w:t>Accounts receivable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(2,881)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(1,401)</w:t>
            </w:r>
          </w:p>
        </w:tc>
      </w:tr>
      <w:tr>
        <w:trPr>
          <w:trHeight w:val="135"/>
        </w:trPr>
        <w:tc>
          <w:tcPr>
            <w:tcW w:w="60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Customer receivable</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1,185</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(4,399)</w:t>
            </w:r>
          </w:p>
        </w:tc>
      </w:tr>
      <w:tr>
        <w:trPr>
          <w:trHeight w:val="135"/>
        </w:trPr>
        <w:tc>
          <w:tcPr>
            <w:tcW w:w="6080" w:type="dxa"/>
            <w:vAlign w:val="bottom"/>
          </w:tcPr>
          <w:p>
            <w:pPr>
              <w:ind w:left="320"/>
              <w:spacing w:after="0" w:line="135" w:lineRule="exact"/>
              <w:rPr>
                <w:sz w:val="20"/>
                <w:szCs w:val="20"/>
                <w:color w:val="auto"/>
              </w:rPr>
            </w:pPr>
            <w:r>
              <w:rPr>
                <w:rFonts w:ascii="Arial" w:cs="Arial" w:eastAsia="Arial" w:hAnsi="Arial"/>
                <w:sz w:val="13"/>
                <w:szCs w:val="13"/>
                <w:color w:val="auto"/>
              </w:rPr>
              <w:t>Prepaid income taxes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739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6,206</w:t>
            </w:r>
          </w:p>
        </w:tc>
      </w:tr>
      <w:tr>
        <w:trPr>
          <w:trHeight w:val="135"/>
        </w:trPr>
        <w:tc>
          <w:tcPr>
            <w:tcW w:w="60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Accrued taxes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2,863</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2,163</w:t>
            </w:r>
          </w:p>
        </w:tc>
      </w:tr>
      <w:tr>
        <w:trPr>
          <w:trHeight w:val="135"/>
        </w:trPr>
        <w:tc>
          <w:tcPr>
            <w:tcW w:w="6080" w:type="dxa"/>
            <w:vAlign w:val="bottom"/>
          </w:tcPr>
          <w:p>
            <w:pPr>
              <w:ind w:left="320"/>
              <w:spacing w:after="0" w:line="135" w:lineRule="exact"/>
              <w:rPr>
                <w:sz w:val="20"/>
                <w:szCs w:val="20"/>
                <w:color w:val="auto"/>
              </w:rPr>
            </w:pPr>
            <w:r>
              <w:rPr>
                <w:rFonts w:ascii="Arial" w:cs="Arial" w:eastAsia="Arial" w:hAnsi="Arial"/>
                <w:sz w:val="13"/>
                <w:szCs w:val="13"/>
                <w:color w:val="auto"/>
              </w:rPr>
              <w:t>Materials and supplies, prepayments, and other current assets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424</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(16,358)</w:t>
            </w:r>
          </w:p>
        </w:tc>
      </w:tr>
      <w:tr>
        <w:trPr>
          <w:trHeight w:val="135"/>
        </w:trPr>
        <w:tc>
          <w:tcPr>
            <w:tcW w:w="60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w w:val="99"/>
              </w:rPr>
              <w:t>Accounts payable and accrued liabilities, advance payments and deposits and other current liabilities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(6,769)</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(4,724)</w:t>
            </w:r>
          </w:p>
        </w:tc>
      </w:tr>
      <w:tr>
        <w:trPr>
          <w:trHeight w:val="135"/>
        </w:trPr>
        <w:tc>
          <w:tcPr>
            <w:tcW w:w="6080" w:type="dxa"/>
            <w:vAlign w:val="bottom"/>
          </w:tcPr>
          <w:p>
            <w:pPr>
              <w:ind w:left="320"/>
              <w:spacing w:after="0" w:line="135" w:lineRule="exact"/>
              <w:rPr>
                <w:sz w:val="20"/>
                <w:szCs w:val="20"/>
                <w:color w:val="auto"/>
              </w:rPr>
            </w:pPr>
            <w:r>
              <w:rPr>
                <w:rFonts w:ascii="Arial" w:cs="Arial" w:eastAsia="Arial" w:hAnsi="Arial"/>
                <w:sz w:val="13"/>
                <w:szCs w:val="13"/>
                <w:color w:val="auto"/>
              </w:rPr>
              <w:t>Other assets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(4,683)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(4,016)</w:t>
            </w:r>
          </w:p>
        </w:tc>
      </w:tr>
      <w:tr>
        <w:trPr>
          <w:trHeight w:val="135"/>
        </w:trPr>
        <w:tc>
          <w:tcPr>
            <w:tcW w:w="60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Other liabilities</w:t>
            </w:r>
          </w:p>
        </w:tc>
        <w:tc>
          <w:tcPr>
            <w:tcW w:w="7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(7,332)</w:t>
            </w: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(9,166)</w:t>
            </w:r>
          </w:p>
        </w:tc>
      </w:tr>
      <w:tr>
        <w:trPr>
          <w:trHeight w:val="128"/>
        </w:trPr>
        <w:tc>
          <w:tcPr>
            <w:tcW w:w="608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3"/>
                <w:szCs w:val="13"/>
                <w:color w:val="auto"/>
              </w:rPr>
              <w:t>Net cash provided by operating activities</w:t>
            </w:r>
          </w:p>
        </w:tc>
        <w:tc>
          <w:tcPr>
            <w:tcW w:w="7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89,484</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78,975</w:t>
            </w:r>
          </w:p>
        </w:tc>
      </w:tr>
      <w:tr>
        <w:trPr>
          <w:trHeight w:val="129"/>
        </w:trPr>
        <w:tc>
          <w:tcPr>
            <w:tcW w:w="60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flows from investing activities: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Capital expenditures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(126,640)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(109,944)</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Government capital programs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35"/>
        </w:trPr>
        <w:tc>
          <w:tcPr>
            <w:tcW w:w="6080" w:type="dxa"/>
            <w:vAlign w:val="bottom"/>
          </w:tcPr>
          <w:p>
            <w:pPr>
              <w:ind w:left="320"/>
              <w:spacing w:after="0" w:line="135" w:lineRule="exact"/>
              <w:rPr>
                <w:sz w:val="20"/>
                <w:szCs w:val="20"/>
                <w:color w:val="auto"/>
              </w:rPr>
            </w:pPr>
            <w:r>
              <w:rPr>
                <w:rFonts w:ascii="Arial" w:cs="Arial" w:eastAsia="Arial" w:hAnsi="Arial"/>
                <w:sz w:val="13"/>
                <w:szCs w:val="13"/>
                <w:color w:val="auto"/>
              </w:rPr>
              <w:t>Amounts disbursed</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(14,261)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(4,015)</w:t>
            </w:r>
          </w:p>
        </w:tc>
      </w:tr>
      <w:tr>
        <w:trPr>
          <w:trHeight w:val="135"/>
        </w:trPr>
        <w:tc>
          <w:tcPr>
            <w:tcW w:w="60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Amounts received</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16,065</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2,668</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Purchases of strategic investments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(1,055)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(2,750)</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Sale of businesses, net of transferred cash of $0</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1,835</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Spectrum deposit refund</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1,136</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Proceeds from strategic investments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15,745</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Acquisition of businesses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1,314</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Proceeds from sale of assets</w:t>
            </w:r>
          </w:p>
        </w:tc>
        <w:tc>
          <w:tcPr>
            <w:tcW w:w="7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683</w:t>
            </w:r>
          </w:p>
        </w:tc>
      </w:tr>
      <w:tr>
        <w:trPr>
          <w:trHeight w:val="128"/>
        </w:trPr>
        <w:tc>
          <w:tcPr>
            <w:tcW w:w="6080" w:type="dxa"/>
            <w:vAlign w:val="bottom"/>
            <w:tcBorders>
              <w:bottom w:val="single" w:sz="8" w:color="CCEEFF"/>
            </w:tcBorders>
          </w:tcPr>
          <w:p>
            <w:pPr>
              <w:ind w:left="220"/>
              <w:spacing w:after="0" w:line="129" w:lineRule="exact"/>
              <w:rPr>
                <w:sz w:val="20"/>
                <w:szCs w:val="20"/>
                <w:color w:val="auto"/>
              </w:rPr>
            </w:pPr>
            <w:r>
              <w:rPr>
                <w:rFonts w:ascii="Arial" w:cs="Arial" w:eastAsia="Arial" w:hAnsi="Arial"/>
                <w:sz w:val="13"/>
                <w:szCs w:val="13"/>
                <w:color w:val="auto"/>
              </w:rPr>
              <w:t>Net cash used in investing activities</w:t>
            </w:r>
          </w:p>
        </w:tc>
        <w:tc>
          <w:tcPr>
            <w:tcW w:w="7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(124,577)</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(94,642)</w:t>
            </w:r>
          </w:p>
        </w:tc>
      </w:tr>
      <w:tr>
        <w:trPr>
          <w:trHeight w:val="129"/>
        </w:trPr>
        <w:tc>
          <w:tcPr>
            <w:tcW w:w="60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flows from financing activities: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Dividends paid on common stock</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(9,918)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(8,028)</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Distributions to noncontrolling interests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(1,447)</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(1,375)</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Payment of debt issuance costs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(3,708)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Finance lease payments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(932)</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(820)</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Term loan - repayments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(3,532)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(953)</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Term loan - borrowings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130,000</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711</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Revolving credit facility – borrowings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126,893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68,000</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Revolving credit facility – repayments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(174,292)</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(45,000)</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Proceeds from customer receivable credit facility</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4,300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12,225</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Repayment of customer receivable credit facility</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(4,998)</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(3,543)</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Purchases of common stock – stock- based compensation</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(1,473)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(1,169)</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Purchases of common stock – share repurchase plan</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(11,679)</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(942)</w:t>
            </w: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Investments made by minority shareholders in consolidated affiliates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r>
      <w:tr>
        <w:trPr>
          <w:trHeight w:val="135"/>
        </w:trPr>
        <w:tc>
          <w:tcPr>
            <w:tcW w:w="6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Repurchases of noncontrolling interests</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(762)</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(4,631)</w:t>
            </w:r>
          </w:p>
        </w:tc>
      </w:tr>
      <w:tr>
        <w:trPr>
          <w:trHeight w:val="135"/>
        </w:trPr>
        <w:tc>
          <w:tcPr>
            <w:tcW w:w="608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3"/>
                <w:szCs w:val="13"/>
                <w:color w:val="auto"/>
              </w:rPr>
              <w:t>Contingent consideration paid for business acquisition</w:t>
            </w:r>
          </w:p>
        </w:tc>
        <w:tc>
          <w:tcPr>
            <w:tcW w:w="7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(1,718)</w:t>
            </w:r>
          </w:p>
        </w:tc>
      </w:tr>
      <w:tr>
        <w:trPr>
          <w:trHeight w:val="129"/>
        </w:trPr>
        <w:tc>
          <w:tcPr>
            <w:tcW w:w="608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Net cash provided by financing activities</w:t>
            </w:r>
          </w:p>
        </w:tc>
        <w:tc>
          <w:tcPr>
            <w:tcW w:w="7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48,452</w:t>
            </w: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12,779</w:t>
            </w:r>
          </w:p>
        </w:tc>
      </w:tr>
      <w:tr>
        <w:trPr>
          <w:trHeight w:val="128"/>
        </w:trPr>
        <w:tc>
          <w:tcPr>
            <w:tcW w:w="6080" w:type="dxa"/>
            <w:vAlign w:val="bottom"/>
          </w:tcPr>
          <w:p>
            <w:pPr>
              <w:spacing w:after="0" w:line="129" w:lineRule="exact"/>
              <w:rPr>
                <w:sz w:val="20"/>
                <w:szCs w:val="20"/>
                <w:color w:val="auto"/>
              </w:rPr>
            </w:pPr>
            <w:r>
              <w:rPr>
                <w:rFonts w:ascii="Arial" w:cs="Arial" w:eastAsia="Arial" w:hAnsi="Arial"/>
                <w:sz w:val="13"/>
                <w:szCs w:val="13"/>
                <w:color w:val="auto"/>
              </w:rPr>
              <w:t>Net change in cash, cash equivalents, and restricted cash</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13,359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(2,888)</w:t>
            </w:r>
          </w:p>
        </w:tc>
      </w:tr>
      <w:tr>
        <w:trPr>
          <w:trHeight w:val="135"/>
        </w:trPr>
        <w:tc>
          <w:tcPr>
            <w:tcW w:w="6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cash, cash equivalents, and restricted cash, beginning of period</w:t>
            </w:r>
          </w:p>
        </w:tc>
        <w:tc>
          <w:tcPr>
            <w:tcW w:w="7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59,728</w:t>
            </w: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80,697</w:t>
            </w:r>
          </w:p>
        </w:tc>
      </w:tr>
      <w:tr>
        <w:trPr>
          <w:trHeight w:val="168"/>
        </w:trPr>
        <w:tc>
          <w:tcPr>
            <w:tcW w:w="6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Total cash, cash equivalents, and restricted cash, end of period</w:t>
            </w: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73,087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77,809</w:t>
            </w:r>
          </w:p>
        </w:tc>
      </w:tr>
      <w:tr>
        <w:trPr>
          <w:trHeight w:val="116"/>
        </w:trPr>
        <w:tc>
          <w:tcPr>
            <w:tcW w:w="608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Noncash investing activity:</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35"/>
        </w:trPr>
        <w:tc>
          <w:tcPr>
            <w:tcW w:w="6080" w:type="dxa"/>
            <w:vAlign w:val="bottom"/>
          </w:tcPr>
          <w:p>
            <w:pPr>
              <w:ind w:left="220"/>
              <w:spacing w:after="0" w:line="135" w:lineRule="exact"/>
              <w:rPr>
                <w:sz w:val="20"/>
                <w:szCs w:val="20"/>
                <w:color w:val="auto"/>
              </w:rPr>
            </w:pPr>
            <w:r>
              <w:rPr>
                <w:rFonts w:ascii="Arial" w:cs="Arial" w:eastAsia="Arial" w:hAnsi="Arial"/>
                <w:sz w:val="13"/>
                <w:szCs w:val="13"/>
                <w:color w:val="auto"/>
              </w:rPr>
              <w:t>Purchases of property, plant and equipment included in accounts payable and accrued expenses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43"/>
        </w:trPr>
        <w:tc>
          <w:tcPr>
            <w:tcW w:w="60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Amounts accrued for reimbursable capital expenditures from government capital programs</w:t>
            </w:r>
          </w:p>
        </w:tc>
        <w:tc>
          <w:tcPr>
            <w:tcW w:w="86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25,244</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6080" w:type="dxa"/>
            <w:vAlign w:val="bottom"/>
          </w:tcPr>
          <w:p>
            <w:pPr>
              <w:ind w:left="500"/>
              <w:spacing w:after="0"/>
              <w:rPr>
                <w:sz w:val="20"/>
                <w:szCs w:val="20"/>
                <w:color w:val="auto"/>
              </w:rPr>
            </w:pPr>
            <w:r>
              <w:rPr>
                <w:rFonts w:ascii="Arial" w:cs="Arial" w:eastAsia="Arial" w:hAnsi="Arial"/>
                <w:sz w:val="13"/>
                <w:szCs w:val="13"/>
                <w:color w:val="auto"/>
              </w:rPr>
              <w:t>Amounts accrued for non-reimbursable capital expenditures</w:t>
            </w:r>
          </w:p>
        </w:tc>
        <w:tc>
          <w:tcPr>
            <w:tcW w:w="86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19,107</w:t>
            </w:r>
          </w:p>
        </w:tc>
        <w:tc>
          <w:tcPr>
            <w:tcW w:w="40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21,491</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ATN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BUSINESS OPERATIONS</w:t>
      </w:r>
    </w:p>
    <w:p>
      <w:pPr>
        <w:spacing w:after="0" w:line="270" w:lineRule="exact"/>
        <w:rPr>
          <w:sz w:val="20"/>
          <w:szCs w:val="20"/>
          <w:color w:val="auto"/>
        </w:rPr>
      </w:pPr>
    </w:p>
    <w:p>
      <w:pPr>
        <w:jc w:val="both"/>
        <w:ind w:left="80" w:right="159" w:firstLine="476"/>
        <w:spacing w:after="0" w:line="254" w:lineRule="auto"/>
        <w:rPr>
          <w:sz w:val="20"/>
          <w:szCs w:val="20"/>
          <w:color w:val="auto"/>
        </w:rPr>
      </w:pPr>
      <w:r>
        <w:rPr>
          <w:rFonts w:ascii="Arial" w:cs="Arial" w:eastAsia="Arial" w:hAnsi="Arial"/>
          <w:sz w:val="18"/>
          <w:szCs w:val="18"/>
          <w:color w:val="auto"/>
        </w:rPr>
        <w:t>The Company provides digital infrastructure and communications services in the United States and internationally, including in the Caribbean region, with a focus on smaller markets, many of which are rural or remote, with a growing demand for infrastructure investments. Through its operating subsidiaries, the Company primarily provides: (i) carrier and enterprise communications services, such as terrestrial and submarine fiber optic transport, and communications tower facilities; and (ii) fixed and mobile telecommunications connectivity to residential, business and government customers, including a range of high-speed internet and data services, fixed and mobile wireless solutions, and video and voice services.</w:t>
      </w:r>
    </w:p>
    <w:p>
      <w:pPr>
        <w:spacing w:after="0" w:line="222" w:lineRule="exact"/>
        <w:rPr>
          <w:sz w:val="20"/>
          <w:szCs w:val="20"/>
          <w:color w:val="auto"/>
        </w:rPr>
      </w:pPr>
    </w:p>
    <w:p>
      <w:pPr>
        <w:jc w:val="both"/>
        <w:ind w:left="80" w:right="299" w:firstLine="476"/>
        <w:spacing w:after="0" w:line="268" w:lineRule="auto"/>
        <w:rPr>
          <w:sz w:val="20"/>
          <w:szCs w:val="20"/>
          <w:color w:val="auto"/>
        </w:rPr>
      </w:pPr>
      <w:r>
        <w:rPr>
          <w:rFonts w:ascii="Arial" w:cs="Arial" w:eastAsia="Arial" w:hAnsi="Arial"/>
          <w:sz w:val="17"/>
          <w:szCs w:val="17"/>
          <w:color w:val="auto"/>
        </w:rPr>
        <w:t>At the holding company level, the Company oversees the allocation of capital within and among its subsidiaries, affiliates, new investments, and stockholders. The Company has developed significant operational expertise and resources that it uses to augment the capabilities of its individual operating subsidiaries in its local markets. The Company has built a platform of resources and expertise to support its operating subsidiaries and to improve their quality of service with greater economies of scale and expertise than would typically be available at the operating subsidiary level. The Company provides management, technical, financial, regulatory, and marketing services to its operating subsidiaries and typically receives a management fee calculated as a percentage of their revenues, which is eliminated in consolidation. The Company also actively evaluates potential acquisitions, investment opportunities and other strategic transactions, both domestic and international, and generally looks for those that it believes fit the Company’s profile of telecommunications businesses and have the potential to complement its “glass and steel” and “first to fiber” approach in markets while generating steady excess cash flows over extended periods of time. The Company uses the cash generated from its operations to re-invest in organic growth in its existing businesses, to make strategic investments in additional businesses, and to return cash to its investors through dividends or stock repurchases.</w:t>
      </w:r>
    </w:p>
    <w:p>
      <w:pPr>
        <w:spacing w:after="0" w:line="225"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color w:val="auto"/>
        </w:rPr>
        <w:t>For further information about the Company’s financial segments and geographical information about its operating revenues and assets, see Notes 1 and 13 to the Consolidated Financial Statements included in this Report.</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September 30, 2023, the Company offered the following types of services to its customers:</w:t>
      </w:r>
    </w:p>
    <w:p>
      <w:pPr>
        <w:spacing w:after="0" w:line="221" w:lineRule="exact"/>
        <w:rPr>
          <w:sz w:val="20"/>
          <w:szCs w:val="20"/>
          <w:color w:val="auto"/>
        </w:rPr>
      </w:pPr>
    </w:p>
    <w:p>
      <w:pPr>
        <w:ind w:left="1220" w:right="159" w:hanging="319"/>
        <w:spacing w:after="0" w:line="347" w:lineRule="auto"/>
        <w:tabs>
          <w:tab w:leader="none" w:pos="12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Mobility Telecommunications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offers mobile communications services over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wireless networks and related equipment, such as handsets, to both its business and consumer customers.</w:t>
      </w:r>
    </w:p>
    <w:p>
      <w:pPr>
        <w:spacing w:after="0" w:line="119" w:lineRule="exact"/>
        <w:rPr>
          <w:rFonts w:ascii="Arial" w:cs="Arial" w:eastAsia="Arial" w:hAnsi="Arial"/>
          <w:sz w:val="16"/>
          <w:szCs w:val="16"/>
          <w:color w:val="auto"/>
        </w:rPr>
      </w:pPr>
    </w:p>
    <w:p>
      <w:pPr>
        <w:jc w:val="both"/>
        <w:ind w:left="1220" w:right="179" w:hanging="319"/>
        <w:spacing w:after="0" w:line="301" w:lineRule="auto"/>
        <w:tabs>
          <w:tab w:leader="none" w:pos="12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Fixed Telecommunications Services</w:t>
      </w:r>
      <w:r>
        <w:rPr>
          <w:rFonts w:ascii="Arial" w:cs="Arial" w:eastAsia="Arial" w:hAnsi="Arial"/>
          <w:sz w:val="16"/>
          <w:szCs w:val="16"/>
          <w:color w:val="auto"/>
        </w:rPr>
        <w:t>. The Company provides fixed data and voice telecommunications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business and consumer customers. These services include consumer broadband and high-speed data solutions for businesses. For some markets, fixed services also include video services and revenue derived from support under certain government programs.</w:t>
      </w:r>
    </w:p>
    <w:p>
      <w:pPr>
        <w:spacing w:after="0" w:line="153" w:lineRule="exact"/>
        <w:rPr>
          <w:rFonts w:ascii="Arial" w:cs="Arial" w:eastAsia="Arial" w:hAnsi="Arial"/>
          <w:sz w:val="16"/>
          <w:szCs w:val="16"/>
          <w:color w:val="auto"/>
        </w:rPr>
      </w:pPr>
    </w:p>
    <w:p>
      <w:pPr>
        <w:jc w:val="both"/>
        <w:ind w:left="1220" w:right="159" w:hanging="319"/>
        <w:spacing w:after="0" w:line="289" w:lineRule="auto"/>
        <w:tabs>
          <w:tab w:leader="none" w:pos="122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Carrier Telecommunication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delivers services to other telecommunications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providers, including the leasing of critical network infrastructure, such as tower and transport facilities, wholesale roaming, site maintenance and international long-distance services.</w:t>
      </w:r>
    </w:p>
    <w:p>
      <w:pPr>
        <w:spacing w:after="0" w:line="157" w:lineRule="exact"/>
        <w:rPr>
          <w:rFonts w:ascii="Arial" w:cs="Arial" w:eastAsia="Arial" w:hAnsi="Arial"/>
          <w:sz w:val="17"/>
          <w:szCs w:val="17"/>
          <w:color w:val="auto"/>
        </w:rPr>
      </w:pPr>
    </w:p>
    <w:p>
      <w:pPr>
        <w:ind w:left="1220" w:right="159" w:hanging="319"/>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Managed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information technology services such as network,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and hosting services to both its business and consumer customers to complement its fixed services in its existing markets.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839" w:firstLine="648"/>
        <w:spacing w:after="0" w:line="277" w:lineRule="auto"/>
        <w:rPr>
          <w:sz w:val="20"/>
          <w:szCs w:val="20"/>
          <w:color w:val="auto"/>
        </w:rPr>
      </w:pPr>
      <w:r>
        <w:rPr>
          <w:rFonts w:ascii="Arial" w:cs="Arial" w:eastAsia="Arial" w:hAnsi="Arial"/>
          <w:sz w:val="18"/>
          <w:szCs w:val="18"/>
          <w:color w:val="auto"/>
        </w:rPr>
        <w:t>The Company has two operating segments to manage and review its operations and to facilitate investor presentations of its results. These two operating segments are as follows:</w:t>
      </w:r>
    </w:p>
    <w:p>
      <w:pPr>
        <w:spacing w:after="0" w:line="170" w:lineRule="exact"/>
        <w:rPr>
          <w:sz w:val="20"/>
          <w:szCs w:val="20"/>
          <w:color w:val="auto"/>
        </w:rPr>
      </w:pPr>
    </w:p>
    <w:p>
      <w:pPr>
        <w:ind w:left="1240" w:right="99" w:hanging="326"/>
        <w:spacing w:after="0" w:line="263"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International Telecom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Company’s international markets, it offers fixed services, mobility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carrier services and managed services to customers in Bermuda, the Cayman Islands, Guyana and the US Virgin Islands.</w:t>
      </w:r>
    </w:p>
    <w:p>
      <w:pPr>
        <w:spacing w:after="0" w:line="183" w:lineRule="exact"/>
        <w:rPr>
          <w:rFonts w:ascii="Arial" w:cs="Arial" w:eastAsia="Arial" w:hAnsi="Arial"/>
          <w:sz w:val="18"/>
          <w:szCs w:val="18"/>
          <w:color w:val="auto"/>
        </w:rPr>
      </w:pPr>
    </w:p>
    <w:p>
      <w:pPr>
        <w:ind w:left="1240" w:right="279" w:hanging="326"/>
        <w:spacing w:after="0" w:line="342"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US Telecom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United States, the Company offers mobility services, fixed services, carrier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managed services to business and consumer customers in Alaska and the western United States.</w:t>
      </w:r>
    </w:p>
    <w:p>
      <w:pPr>
        <w:spacing w:after="0" w:line="124"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The following chart summarizes the operating activities of the Company’s principal subsidiaries, the segments in which it reports its revenue and the markets it served during the three months ended September 30, 2023:</w:t>
      </w:r>
    </w:p>
    <w:p>
      <w:pPr>
        <w:spacing w:after="0" w:line="129" w:lineRule="exact"/>
        <w:rPr>
          <w:sz w:val="20"/>
          <w:szCs w:val="20"/>
          <w:color w:val="auto"/>
        </w:rPr>
      </w:pPr>
    </w:p>
    <w:tbl>
      <w:tblPr>
        <w:tblLayout w:type="fixed"/>
        <w:tblInd w:w="280" w:type="dxa"/>
        <w:tblCellMar>
          <w:top w:w="0" w:type="dxa"/>
          <w:left w:w="0" w:type="dxa"/>
          <w:bottom w:w="0" w:type="dxa"/>
          <w:right w:w="0" w:type="dxa"/>
        </w:tblCellMar>
      </w:tblPr>
      <w:tr>
        <w:trPr>
          <w:trHeight w:val="171"/>
        </w:trPr>
        <w:tc>
          <w:tcPr>
            <w:tcW w:w="1840" w:type="dxa"/>
            <w:vAlign w:val="bottom"/>
            <w:gridSpan w:val="2"/>
          </w:tcPr>
          <w:p>
            <w:pPr>
              <w:ind w:left="600"/>
              <w:spacing w:after="0"/>
              <w:rPr>
                <w:sz w:val="20"/>
                <w:szCs w:val="20"/>
                <w:color w:val="auto"/>
              </w:rPr>
            </w:pPr>
            <w:r>
              <w:rPr>
                <w:rFonts w:ascii="Arial" w:cs="Arial" w:eastAsia="Arial" w:hAnsi="Arial"/>
                <w:sz w:val="14"/>
                <w:szCs w:val="14"/>
                <w:b w:val="1"/>
                <w:bCs w:val="1"/>
                <w:color w:val="auto"/>
              </w:rPr>
              <w:t>Segment</w:t>
            </w: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Services</w:t>
            </w:r>
          </w:p>
        </w:tc>
        <w:tc>
          <w:tcPr>
            <w:tcW w:w="2420" w:type="dxa"/>
            <w:vAlign w:val="bottom"/>
            <w:gridSpan w:val="2"/>
          </w:tcPr>
          <w:p>
            <w:pPr>
              <w:ind w:left="900"/>
              <w:spacing w:after="0"/>
              <w:rPr>
                <w:sz w:val="20"/>
                <w:szCs w:val="20"/>
                <w:color w:val="auto"/>
              </w:rPr>
            </w:pPr>
            <w:r>
              <w:rPr>
                <w:rFonts w:ascii="Arial" w:cs="Arial" w:eastAsia="Arial" w:hAnsi="Arial"/>
                <w:sz w:val="14"/>
                <w:szCs w:val="14"/>
                <w:b w:val="1"/>
                <w:bCs w:val="1"/>
                <w:color w:val="auto"/>
              </w:rPr>
              <w:t>Markets</w:t>
            </w:r>
          </w:p>
        </w:tc>
        <w:tc>
          <w:tcPr>
            <w:tcW w:w="20" w:type="dxa"/>
            <w:vAlign w:val="bottom"/>
          </w:tcPr>
          <w:p>
            <w:pPr>
              <w:spacing w:after="0"/>
              <w:rPr>
                <w:sz w:val="14"/>
                <w:szCs w:val="14"/>
                <w:color w:val="auto"/>
              </w:rPr>
            </w:pPr>
          </w:p>
        </w:tc>
        <w:tc>
          <w:tcPr>
            <w:tcW w:w="2640" w:type="dxa"/>
            <w:vAlign w:val="bottom"/>
          </w:tcPr>
          <w:p>
            <w:pPr>
              <w:ind w:left="940"/>
              <w:spacing w:after="0"/>
              <w:rPr>
                <w:sz w:val="20"/>
                <w:szCs w:val="20"/>
                <w:color w:val="auto"/>
              </w:rPr>
            </w:pPr>
            <w:r>
              <w:rPr>
                <w:rFonts w:ascii="Arial" w:cs="Arial" w:eastAsia="Arial" w:hAnsi="Arial"/>
                <w:sz w:val="14"/>
                <w:szCs w:val="14"/>
                <w:b w:val="1"/>
                <w:bCs w:val="1"/>
                <w:color w:val="auto"/>
              </w:rPr>
              <w:t>Tradenames</w:t>
            </w:r>
          </w:p>
        </w:tc>
      </w:tr>
      <w:tr>
        <w:trPr>
          <w:trHeight w:val="195"/>
        </w:trPr>
        <w:tc>
          <w:tcPr>
            <w:tcW w:w="17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2"/>
              </w:rPr>
              <w:t>International Telecom</w:t>
            </w: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Mobility Services</w:t>
            </w:r>
          </w:p>
        </w:tc>
        <w:tc>
          <w:tcPr>
            <w:tcW w:w="10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Bermuda, Guyana, US Virgin</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One, GTT, Viya</w:t>
            </w:r>
          </w:p>
        </w:tc>
      </w:tr>
      <w:tr>
        <w:trPr>
          <w:trHeight w:val="230"/>
        </w:trPr>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Islands</w:t>
            </w:r>
          </w:p>
        </w:tc>
        <w:tc>
          <w:tcPr>
            <w:tcW w:w="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r>
      <w:tr>
        <w:trPr>
          <w:trHeight w:val="202"/>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spacing w:after="0" w:line="201" w:lineRule="exact"/>
              <w:rPr>
                <w:sz w:val="20"/>
                <w:szCs w:val="20"/>
                <w:color w:val="auto"/>
              </w:rPr>
            </w:pPr>
            <w:r>
              <w:rPr>
                <w:rFonts w:ascii="Arial" w:cs="Arial" w:eastAsia="Arial" w:hAnsi="Arial"/>
                <w:sz w:val="18"/>
                <w:szCs w:val="18"/>
                <w:color w:val="auto"/>
              </w:rPr>
              <w:t>Fixed Services</w:t>
            </w: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Bermuda, Cayman Islands,</w:t>
            </w:r>
          </w:p>
        </w:tc>
        <w:tc>
          <w:tcPr>
            <w:tcW w:w="2660" w:type="dxa"/>
            <w:vAlign w:val="bottom"/>
            <w:gridSpan w:val="2"/>
          </w:tcPr>
          <w:p>
            <w:pPr>
              <w:spacing w:after="0" w:line="201" w:lineRule="exact"/>
              <w:rPr>
                <w:sz w:val="20"/>
                <w:szCs w:val="20"/>
                <w:color w:val="auto"/>
              </w:rPr>
            </w:pPr>
            <w:r>
              <w:rPr>
                <w:rFonts w:ascii="Arial" w:cs="Arial" w:eastAsia="Arial" w:hAnsi="Arial"/>
                <w:sz w:val="18"/>
                <w:szCs w:val="18"/>
                <w:color w:val="auto"/>
              </w:rPr>
              <w:t>One, Logic, GTT, Viya</w:t>
            </w: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Guyana, US Virgin Islands</w:t>
            </w:r>
          </w:p>
        </w:tc>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02"/>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Carrier Services</w:t>
            </w: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Bermuda, Guyana, US Virgin</w:t>
            </w:r>
          </w:p>
        </w:tc>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One, GTT, Viya, Logic</w:t>
            </w:r>
          </w:p>
        </w:tc>
      </w:tr>
      <w:tr>
        <w:trPr>
          <w:trHeight w:val="230"/>
        </w:trPr>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Islands</w:t>
            </w:r>
          </w:p>
        </w:tc>
        <w:tc>
          <w:tcPr>
            <w:tcW w:w="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r>
      <w:tr>
        <w:trPr>
          <w:trHeight w:val="202"/>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spacing w:after="0" w:line="201" w:lineRule="exact"/>
              <w:rPr>
                <w:sz w:val="20"/>
                <w:szCs w:val="20"/>
                <w:color w:val="auto"/>
              </w:rPr>
            </w:pPr>
            <w:r>
              <w:rPr>
                <w:rFonts w:ascii="Arial" w:cs="Arial" w:eastAsia="Arial" w:hAnsi="Arial"/>
                <w:sz w:val="18"/>
                <w:szCs w:val="18"/>
                <w:color w:val="auto"/>
              </w:rPr>
              <w:t>Managed Services</w:t>
            </w: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w w:val="97"/>
              </w:rPr>
              <w:t>Bermuda, Cayman Islands, US</w:t>
            </w:r>
          </w:p>
        </w:tc>
        <w:tc>
          <w:tcPr>
            <w:tcW w:w="2660" w:type="dxa"/>
            <w:vAlign w:val="bottom"/>
            <w:gridSpan w:val="2"/>
          </w:tcPr>
          <w:p>
            <w:pPr>
              <w:spacing w:after="0" w:line="201" w:lineRule="exact"/>
              <w:rPr>
                <w:sz w:val="20"/>
                <w:szCs w:val="20"/>
                <w:color w:val="auto"/>
              </w:rPr>
            </w:pPr>
            <w:r>
              <w:rPr>
                <w:rFonts w:ascii="Arial" w:cs="Arial" w:eastAsia="Arial" w:hAnsi="Arial"/>
                <w:sz w:val="18"/>
                <w:szCs w:val="18"/>
                <w:color w:val="auto"/>
                <w:w w:val="98"/>
              </w:rPr>
              <w:t>Fireminds, One, Logic, GTT, Viya</w:t>
            </w: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Virgin Islands, Guyana</w:t>
            </w:r>
          </w:p>
        </w:tc>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10"/>
        </w:trPr>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US Telecom</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Mobility Services</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United States (rural markets)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Choice NTUA Wireless</w:t>
            </w:r>
          </w:p>
        </w:tc>
      </w:tr>
      <w:tr>
        <w:trPr>
          <w:trHeight w:val="202"/>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spacing w:after="0" w:line="201" w:lineRule="exact"/>
              <w:rPr>
                <w:sz w:val="20"/>
                <w:szCs w:val="20"/>
                <w:color w:val="auto"/>
              </w:rPr>
            </w:pPr>
            <w:r>
              <w:rPr>
                <w:rFonts w:ascii="Arial" w:cs="Arial" w:eastAsia="Arial" w:hAnsi="Arial"/>
                <w:sz w:val="18"/>
                <w:szCs w:val="18"/>
                <w:color w:val="auto"/>
              </w:rPr>
              <w:t>Fixed Services</w:t>
            </w: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United States</w:t>
            </w:r>
          </w:p>
        </w:tc>
        <w:tc>
          <w:tcPr>
            <w:tcW w:w="2660" w:type="dxa"/>
            <w:vAlign w:val="bottom"/>
            <w:gridSpan w:val="2"/>
          </w:tcPr>
          <w:p>
            <w:pPr>
              <w:spacing w:after="0" w:line="201" w:lineRule="exact"/>
              <w:rPr>
                <w:sz w:val="20"/>
                <w:szCs w:val="20"/>
                <w:color w:val="auto"/>
              </w:rPr>
            </w:pPr>
            <w:r>
              <w:rPr>
                <w:rFonts w:ascii="Arial" w:cs="Arial" w:eastAsia="Arial" w:hAnsi="Arial"/>
                <w:sz w:val="18"/>
                <w:szCs w:val="18"/>
                <w:color w:val="auto"/>
                <w:w w:val="93"/>
              </w:rPr>
              <w:t>Alaska Communications, Commnet</w:t>
            </w: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91"/>
              </w:rPr>
              <w:t>Broadband, Choice NTUA Wireless,</w:t>
            </w: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Sacred Wind Communications,</w:t>
            </w: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Ethos</w:t>
            </w:r>
          </w:p>
        </w:tc>
      </w:tr>
      <w:tr>
        <w:trPr>
          <w:trHeight w:val="202"/>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Carrier Services</w:t>
            </w: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United States</w:t>
            </w:r>
          </w:p>
        </w:tc>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Alaska Communications, Commnet,</w:t>
            </w:r>
          </w:p>
        </w:tc>
      </w:tr>
      <w:tr>
        <w:trPr>
          <w:trHeight w:val="216"/>
        </w:trPr>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Essextel, Sacred Wind</w:t>
            </w:r>
          </w:p>
        </w:tc>
      </w:tr>
      <w:tr>
        <w:trPr>
          <w:trHeight w:val="230"/>
        </w:trPr>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r>
      <w:tr>
        <w:trPr>
          <w:trHeight w:val="216"/>
        </w:trPr>
        <w:tc>
          <w:tcPr>
            <w:tcW w:w="1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Managed Services</w:t>
            </w:r>
          </w:p>
        </w:tc>
        <w:tc>
          <w:tcPr>
            <w:tcW w:w="100" w:type="dxa"/>
            <w:vAlign w:val="bottom"/>
          </w:tcPr>
          <w:p>
            <w:pPr>
              <w:spacing w:after="0"/>
              <w:rPr>
                <w:sz w:val="18"/>
                <w:szCs w:val="18"/>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18"/>
                <w:szCs w:val="18"/>
                <w:color w:val="auto"/>
              </w:rPr>
            </w:pPr>
          </w:p>
        </w:tc>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Alaska Communications, Fireminds</w:t>
            </w:r>
          </w:p>
        </w:tc>
      </w:tr>
    </w:tbl>
    <w:p>
      <w:pPr>
        <w:spacing w:after="0" w:line="200" w:lineRule="exact"/>
        <w:rPr>
          <w:sz w:val="20"/>
          <w:szCs w:val="20"/>
          <w:color w:val="auto"/>
        </w:rPr>
      </w:pPr>
    </w:p>
    <w:p>
      <w:pPr>
        <w:spacing w:after="0" w:line="258"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For further information about the Company’s financial segments and geographical information about its operating revenues and assets, see Note 13 to the Unaudited Condensed Consolidated Financial Statements included in this Report.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Restructuring Expense</w:t>
      </w:r>
    </w:p>
    <w:p>
      <w:pPr>
        <w:spacing w:after="0" w:line="25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In order to reduce the Company’s US Telecom cost structure to an optimal level needed to support the segment’s operations going forward, the Company incurred certain network termination and reduction in force costs totaling $1.4 million and $4.6 million in the three and nine months ended September 30, 2023, respectively. The charge is recorded in Restructuring Expense on the Company’s statements of operations. During the nine months ended September 30, 2023, the Company paid $2.6 million, recorded a gain of $0.3 million on lease termination, and accrued $2.3 million of the restructuring expenses. In conjunction with the restructuring, the Company terminated $5.6 million of lease right of use assets and $5.9 million of lease liabilities from its balance sheet.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w:t>
      </w:r>
    </w:p>
    <w:p>
      <w:pPr>
        <w:spacing w:after="0" w:line="270"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The financial information included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Results of interim periods may not be indicative of results for the full year. These condensed consolidated financial statements and related notes should be read in conjunction with the Company’s Annual Report on Form 10-K for the year ended December 31, 2022, filed with the SEC on March 15, 2023.</w:t>
      </w:r>
    </w:p>
    <w:p>
      <w:pPr>
        <w:spacing w:after="0" w:line="219"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 RECOGNITION AND RECEIVABLES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Accounted for in Accordance with Other Guidance</w:t>
      </w:r>
    </w:p>
    <w:p>
      <w:pPr>
        <w:spacing w:after="0" w:line="266"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The Company records revenue in accordance with ASC 606 from contracts with customers and ASC 842 from lease agreements, as well as government grants. Lease revenue recognized under ASC 842 is disclosed in Note 4 and government grant revenue is disclosed in Note 9.</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Timing of Revenue Recognition</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accounted for in accordance with ASC 606 consisted of the following for the periods presented below.</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0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114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September 30,</w:t>
            </w:r>
          </w:p>
        </w:tc>
        <w:tc>
          <w:tcPr>
            <w:tcW w:w="10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r>
      <w:tr>
        <w:trPr>
          <w:trHeight w:val="171"/>
        </w:trPr>
        <w:tc>
          <w:tcPr>
            <w:tcW w:w="4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r>
      <w:tr>
        <w:trPr>
          <w:trHeight w:val="21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260" w:type="dxa"/>
            <w:vAlign w:val="bottom"/>
          </w:tcPr>
          <w:p>
            <w:pPr>
              <w:ind w:left="240"/>
              <w:spacing w:after="0"/>
              <w:rPr>
                <w:sz w:val="20"/>
                <w:szCs w:val="20"/>
                <w:color w:val="auto"/>
              </w:rPr>
            </w:pPr>
            <w:r>
              <w:rPr>
                <w:rFonts w:ascii="Arial" w:cs="Arial" w:eastAsia="Arial" w:hAnsi="Arial"/>
                <w:sz w:val="18"/>
                <w:szCs w:val="18"/>
                <w:color w:val="auto"/>
              </w:rPr>
              <w:t>US Telecom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81,459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76,542</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242,862</w:t>
            </w:r>
          </w:p>
        </w:tc>
        <w:tc>
          <w:tcPr>
            <w:tcW w:w="12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221,033</w:t>
            </w:r>
          </w:p>
        </w:tc>
      </w:tr>
      <w:tr>
        <w:trPr>
          <w:trHeight w:val="216"/>
        </w:trPr>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 Telecom</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87,657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248,552</w:t>
            </w:r>
          </w:p>
        </w:tc>
      </w:tr>
      <w:tr>
        <w:trPr>
          <w:trHeight w:val="210"/>
        </w:trPr>
        <w:tc>
          <w:tcPr>
            <w:tcW w:w="426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169,116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161,312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502,928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469,585</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260" w:type="dxa"/>
            <w:vAlign w:val="bottom"/>
          </w:tcPr>
          <w:p>
            <w:pPr>
              <w:ind w:left="240"/>
              <w:spacing w:after="0"/>
              <w:rPr>
                <w:sz w:val="20"/>
                <w:szCs w:val="20"/>
                <w:color w:val="auto"/>
              </w:rPr>
            </w:pPr>
            <w:r>
              <w:rPr>
                <w:rFonts w:ascii="Arial" w:cs="Arial" w:eastAsia="Arial" w:hAnsi="Arial"/>
                <w:sz w:val="18"/>
                <w:szCs w:val="18"/>
                <w:color w:val="auto"/>
              </w:rPr>
              <w:t>US Telecom</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18,140</w:t>
            </w:r>
          </w:p>
        </w:tc>
      </w:tr>
      <w:tr>
        <w:trPr>
          <w:trHeight w:val="216"/>
        </w:trPr>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 Telecom</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w:t>
            </w:r>
          </w:p>
        </w:tc>
      </w:tr>
      <w:tr>
        <w:trPr>
          <w:trHeight w:val="210"/>
        </w:trPr>
        <w:tc>
          <w:tcPr>
            <w:tcW w:w="4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28,321</w:t>
            </w:r>
          </w:p>
        </w:tc>
      </w:tr>
      <w:tr>
        <w:trPr>
          <w:trHeight w:val="21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accounted for under ASC 606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177,979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523,975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497,906</w:t>
            </w:r>
          </w:p>
        </w:tc>
      </w:tr>
      <w:tr>
        <w:trPr>
          <w:trHeight w:val="20"/>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Assets and Liabilities</w:t>
      </w:r>
    </w:p>
    <w:p>
      <w:pPr>
        <w:spacing w:after="0" w:line="266"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sheets.</w:t>
      </w:r>
    </w:p>
    <w:p>
      <w:pPr>
        <w:spacing w:after="0" w:line="228"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Contract liabilities consist of advance payments and billings in excess of revenue recognized. Mobility and Fixed revenue for postpaid customers is generally billed one month in advance and recognized over the period that the corresponding service is rendered to customers. To the extent the service is not provided by the reporting date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amount is recognized as a contract liability. Prepaid service, including Mobility services, sold to customers is recorded as deferred revenue prior to the commencement of services. Contract liabilities also include certain long term fixed business and carrier service customer contracts. Contract liabilities are recorded in advanced payments and deposits and other liabilities on the Company’s balance sheets.</w:t>
      </w:r>
    </w:p>
    <w:p>
      <w:pPr>
        <w:spacing w:after="0" w:line="227"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In July 2019, the Company entered into a Network Build and Maintenance Agreement with AT&amp;T Mobility, LLC (“AT&amp;T”) and subsequently entered into amendments in August 2020, May 2021 and August 2022 (the “FirstNet Agreement”). In connection with the FirstNet Agreement, the Company is building a portion of AT&amp;T’s network for the First Responder Network Authority in or near the Company’s current operating areas in the western United States (the “FirstNet Transaction”). The FirstNet Transaction includes construction and service performance obligations. The current portion of receivables under this agreement is recorded in customer receivable and the long-term portion is recorded in customer receivable long-term on the Company’s balance sheet. In May 2023, the Company amended its current roaming agreement and entered into a carrier management services agreement with Verizon Wireless (“Verizon CMS Agreement”). The transaction includes service performance obligations under which revenue is recognized over time. The Company allocates the transaction price of these agreements to each performance obligation based on the relative standalone selling price of each performance obligation in the contracts. The standalone selling price is the estimated price the Company would charge for the good or service in a separate transaction with similar customers in similar circumstances.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Contract assets and liabilities consisted of the following (amounts in thousands):</w:t>
      </w:r>
    </w:p>
    <w:p>
      <w:pPr>
        <w:spacing w:after="0" w:line="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5"/>
              <w:spacing w:after="0"/>
              <w:rPr>
                <w:sz w:val="20"/>
                <w:szCs w:val="20"/>
                <w:color w:val="auto"/>
              </w:rPr>
            </w:pPr>
            <w:r>
              <w:rPr>
                <w:rFonts w:ascii="Arial" w:cs="Arial" w:eastAsia="Arial" w:hAnsi="Arial"/>
                <w:sz w:val="14"/>
                <w:szCs w:val="14"/>
                <w:b w:val="1"/>
                <w:bCs w:val="1"/>
                <w:color w:val="auto"/>
                <w:w w:val="91"/>
              </w:rPr>
              <w:t>September</w:t>
            </w: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30, 2023</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3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Contract asset – current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Contract asset – noncurrent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liability – current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(2,588)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liability – noncurrent</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liability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contract asset – current is included in prepayments and other current assets and the contract asset – noncurrent is included in other assets on the Company’s balance sheet. The contract liability – current is included in advance payments and deposits and the contract liability – noncurrent is included in other liabilities on the Company’s balance sheet. The decrease in the Company’s net contract liability was due to the timing of customer prepayments, contract billings, and recognition of deferred revenue. During the nine months ended September 30, 2023, the Company recognized revenue of $24.3 million related to its December 31, 2022 contract liability and amortized $2.2 million of the December 31, 2022 contract asset to revenue.</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Acquisition Costs</w:t>
      </w:r>
    </w:p>
    <w:p>
      <w:pPr>
        <w:spacing w:after="0" w:line="266"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September 30, 2023 balance sheet includes contract acquisition costs of $10.7 million in other assets. During the three and nine months ended September 30, 2023, the Company amortized $1.4 million and $4.1 million, respectively, of contract acquisition costs. During the three and nine months ended September 30, 2022, the Company amortized $0.9 million and $2.5 million, respectively, of contract acquisition costs.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Remaining Performance Obligations</w:t>
      </w:r>
    </w:p>
    <w:p>
      <w:pPr>
        <w:spacing w:after="0" w:line="26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Remaining performance obligations represent the transaction price allocated to unsatisfied performance obligations of certain multiyear Mobility contracts, which include a promotional discount, Managed Services contracts, and the Company’s Carrier Services construction and service contracts. The transaction price allocated to unsatisfied performance obligations was $474 million and $312 million at September 30, 2023 and December 31, 2022, respectively. The increase during 2023 was related to the Verizon agreement discussed above. The Company expects to satisfy approximately 37% of the remaining performance obligations and recognize the transaction price within 24 months and the remainder thereafter.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The Company has certain Mobility, Fixed, and Carrier Services contracts where the transaction price is allocated to remaining performance obligations. However, the Company omits these contracts from its disclosure by applying the right to invoice, one year or less, and wholly unsatisfied performance obligation practical expedients.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Disaggregation</w:t>
      </w:r>
    </w:p>
    <w:p>
      <w:pPr>
        <w:spacing w:after="0" w:line="266"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The Company's revenue is presented on a disaggregated basis in Note 13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Managed Services revenue.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Receivables</w:t>
      </w:r>
    </w:p>
    <w:p>
      <w:pPr>
        <w:spacing w:after="0" w:line="266"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Company records an estimate of future credit losses in conjunction with the revenue transaction based on the information available including historical experience and management’s expectations of future conditions. Those estimates will be updated as additional information becomes available. The Company’s allowance for uncollectible accounts receivable is based on management’s assessment of the collectability of assets pooled together with similar risk characteristics.</w:t>
      </w:r>
    </w:p>
    <w:p>
      <w:pPr>
        <w:spacing w:after="0" w:line="228"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had gross accounts receivable of $180.2 million, including a receivable under the FirstNet Agreement totaling $51.3 million, of which $44.6 million was long-term, and an allowance for credit losses of $16.6 million as of September 30, 2023. The Company had gross accounts receivable of $154.5 million and a receivable under the FirstNet Agreement totaling $52.5 million, of which $46.7 million was long-term, and an allowance for credit losses of $15.2 million as of December 31, 2022. The Company monitors receivables through the use of historical operating data adjusted for the expectation of future performance as appropriate. Activity in the allowance for credit losses is below:</w:t>
      </w:r>
    </w:p>
    <w:p>
      <w:pPr>
        <w:spacing w:after="0" w:line="237"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w w:val="98"/>
              </w:rPr>
              <w:t>September</w:t>
            </w:r>
          </w:p>
        </w:tc>
        <w:tc>
          <w:tcPr>
            <w:tcW w:w="140" w:type="dxa"/>
            <w:vAlign w:val="bottom"/>
          </w:tcPr>
          <w:p>
            <w:pPr>
              <w:spacing w:after="0"/>
              <w:rPr>
                <w:sz w:val="10"/>
                <w:szCs w:val="10"/>
                <w:color w:val="auto"/>
              </w:rPr>
            </w:pPr>
          </w:p>
        </w:tc>
        <w:tc>
          <w:tcPr>
            <w:tcW w:w="10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30, 2023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3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Current period provision for expected losses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Write-offs charged against the allowance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Recoveries collected</w:t>
            </w: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16,582</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LEASES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 Disclosure</w:t>
      </w:r>
    </w:p>
    <w:p>
      <w:pPr>
        <w:spacing w:after="0" w:line="266"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The Company has operating and financing leases for towers, land, corporate offices, retail facilities, and data transport capacity. The lease terms are generally between three and 10 years, some of which include additional renewal options.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Supplemental lease information</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40" w:type="dxa"/>
            <w:vAlign w:val="bottom"/>
          </w:tcPr>
          <w:p>
            <w:pPr>
              <w:spacing w:after="0"/>
              <w:rPr>
                <w:sz w:val="10"/>
                <w:szCs w:val="10"/>
                <w:color w:val="auto"/>
              </w:rPr>
            </w:pP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320"/>
              <w:spacing w:after="0"/>
              <w:rPr>
                <w:sz w:val="20"/>
                <w:szCs w:val="20"/>
                <w:color w:val="auto"/>
              </w:rPr>
            </w:pPr>
            <w:r>
              <w:rPr>
                <w:rFonts w:ascii="Arial" w:cs="Arial" w:eastAsia="Arial" w:hAnsi="Arial"/>
                <w:sz w:val="18"/>
                <w:szCs w:val="18"/>
                <w:color w:val="auto"/>
              </w:rPr>
              <w:t>Operating lease cost</w:t>
            </w:r>
          </w:p>
        </w:tc>
        <w:tc>
          <w:tcPr>
            <w:tcW w:w="30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5,975</w:t>
            </w:r>
          </w:p>
        </w:tc>
        <w:tc>
          <w:tcPr>
            <w:tcW w:w="36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6,061</w:t>
            </w:r>
          </w:p>
        </w:tc>
        <w:tc>
          <w:tcPr>
            <w:tcW w:w="2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17,719</w:t>
            </w:r>
          </w:p>
        </w:tc>
        <w:tc>
          <w:tcPr>
            <w:tcW w:w="36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lease cost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Variable lease cost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cost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22,988</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320"/>
              <w:spacing w:after="0"/>
              <w:rPr>
                <w:sz w:val="20"/>
                <w:szCs w:val="20"/>
                <w:color w:val="auto"/>
              </w:rPr>
            </w:pPr>
            <w:r>
              <w:rPr>
                <w:rFonts w:ascii="Arial" w:cs="Arial" w:eastAsia="Arial" w:hAnsi="Arial"/>
                <w:sz w:val="18"/>
                <w:szCs w:val="18"/>
                <w:color w:val="auto"/>
                <w:w w:val="93"/>
              </w:rPr>
              <w:t>Amortization of right-of-use asset</w:t>
            </w:r>
          </w:p>
        </w:tc>
        <w:tc>
          <w:tcPr>
            <w:tcW w:w="30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735</w:t>
            </w:r>
          </w:p>
        </w:tc>
        <w:tc>
          <w:tcPr>
            <w:tcW w:w="36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742</w:t>
            </w:r>
          </w:p>
        </w:tc>
        <w:tc>
          <w:tcPr>
            <w:tcW w:w="2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2,239</w:t>
            </w:r>
          </w:p>
        </w:tc>
        <w:tc>
          <w:tcPr>
            <w:tcW w:w="36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Variable costs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Interest costs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finance lease cost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During the nine months ended September 30, 2023 and 2022, the Company paid $14.6 million and $16.0 million, respectively, for operating lease liabilities. During the nine months ended September 30, 2023 and 2022, the Company recorded $15.8 million and $6.1 million, respectively, of operating lease liabilities arising from ROU assets. During the nine months ended September 30, 2023, in conjunction with the restructuring activities the Company terminated $5.6 million of lease right of use assets, $5.9 million of lease liabilities from its balance sheet, and recorded a gain of $0.3 million in the restructuring expense line of its statement of operations.</w:t>
      </w:r>
    </w:p>
    <w:p>
      <w:pPr>
        <w:spacing w:after="0" w:line="218"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At September 30, 2023, finance leases with a cost of $31.6 million and accumulated amortization of $15.7 million were included in property, plant and equipment. During the nine months ended September 30, 2023, the Company paid $0.9 million of financing cash flows, $3.5 million of investing cash flows and $0.3 million of operating cash flows for finance lease liabilities. During the nine months ended September 30, 2022, the Company paid $0.8 million of financing cash flows and $0.3 million of operating cash flows for finance lease liabilities. Additionally, during the nine months ended September 30, 2022, the Company disposed of a finance lease with a net book value of $2.3 million recording a loss for $1.0 million. At September 30, 2023, finance leases had a lease liability of $6.0 million, of which $1.8 million was current.</w:t>
      </w:r>
    </w:p>
    <w:p>
      <w:pPr>
        <w:spacing w:after="0" w:line="21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At December 31, 2022, finance leases with a cost of $26.6 million and accumulated amortization of $13.5 million were included in property, plant and equipment.</w:t>
      </w:r>
    </w:p>
    <w:p>
      <w:pPr>
        <w:spacing w:after="0" w:line="211"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weighted average remaining lease terms and discount rates as of September 30, 2023 and December 31, 2022 are noted in the table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1280" w:right="520" w:hanging="323"/>
        <w:spacing w:after="0" w:line="289" w:lineRule="auto"/>
        <w:rPr>
          <w:sz w:val="20"/>
          <w:szCs w:val="20"/>
          <w:color w:val="auto"/>
        </w:rPr>
      </w:pPr>
      <w:r>
        <w:rPr>
          <w:rFonts w:ascii="Arial" w:cs="Arial" w:eastAsia="Arial" w:hAnsi="Arial"/>
          <w:sz w:val="18"/>
          <w:szCs w:val="18"/>
          <w:color w:val="auto"/>
        </w:rPr>
        <w:t>Weighted-average remaining lease term Operating leases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Financing leases</w:t>
      </w:r>
    </w:p>
    <w:p>
      <w:pPr>
        <w:spacing w:after="0" w:line="27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Weighted-average discount rate</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Operating leases</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Financing leases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1360" w:type="dxa"/>
            <w:vAlign w:val="bottom"/>
          </w:tcPr>
          <w:p>
            <w:pPr>
              <w:jc w:val="right"/>
              <w:ind w:right="14"/>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80"/>
        </w:trPr>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13.0 years</w:t>
            </w:r>
          </w:p>
        </w:tc>
        <w:tc>
          <w:tcPr>
            <w:tcW w:w="1360" w:type="dxa"/>
            <w:vAlign w:val="bottom"/>
          </w:tcPr>
          <w:p>
            <w:pPr>
              <w:jc w:val="right"/>
              <w:spacing w:after="0"/>
              <w:rPr>
                <w:sz w:val="20"/>
                <w:szCs w:val="20"/>
                <w:color w:val="auto"/>
              </w:rPr>
            </w:pPr>
            <w:r>
              <w:rPr>
                <w:rFonts w:ascii="Arial" w:cs="Arial" w:eastAsia="Arial" w:hAnsi="Arial"/>
                <w:sz w:val="18"/>
                <w:szCs w:val="18"/>
                <w:color w:val="auto"/>
              </w:rPr>
              <w:t>12.4 years</w:t>
            </w:r>
          </w:p>
        </w:tc>
      </w:tr>
      <w:tr>
        <w:trPr>
          <w:trHeight w:val="243"/>
        </w:trPr>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9.3 years</w:t>
            </w:r>
          </w:p>
        </w:tc>
        <w:tc>
          <w:tcPr>
            <w:tcW w:w="1360" w:type="dxa"/>
            <w:vAlign w:val="bottom"/>
          </w:tcPr>
          <w:p>
            <w:pPr>
              <w:jc w:val="right"/>
              <w:spacing w:after="0"/>
              <w:rPr>
                <w:sz w:val="20"/>
                <w:szCs w:val="20"/>
                <w:color w:val="auto"/>
              </w:rPr>
            </w:pPr>
            <w:r>
              <w:rPr>
                <w:rFonts w:ascii="Arial" w:cs="Arial" w:eastAsia="Arial" w:hAnsi="Arial"/>
                <w:sz w:val="18"/>
                <w:szCs w:val="18"/>
                <w:color w:val="auto"/>
              </w:rPr>
              <w:t>9.3 years</w:t>
            </w:r>
          </w:p>
        </w:tc>
      </w:tr>
      <w:tr>
        <w:trPr>
          <w:trHeight w:val="729"/>
        </w:trPr>
        <w:tc>
          <w:tcPr>
            <w:tcW w:w="144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-1088390</wp:posOffset>
            </wp:positionV>
            <wp:extent cx="45173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17390" cy="16319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-770890</wp:posOffset>
            </wp:positionV>
            <wp:extent cx="451739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17390" cy="15430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-462280</wp:posOffset>
            </wp:positionV>
            <wp:extent cx="451739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17390" cy="15430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-153670</wp:posOffset>
            </wp:positionV>
            <wp:extent cx="451739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3979"/>
          </w:cols>
          <w:pgMar w:left="1440" w:top="517"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Maturities of lease liabilities as of September 30, 2023 were as follows (in thousands):</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Operating Leases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Financing Leases</w:t>
            </w:r>
          </w:p>
        </w:tc>
      </w:tr>
      <w:tr>
        <w:trPr>
          <w:trHeight w:val="26"/>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4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0"/>
              </w:rPr>
              <w:t>2023 (excluding the nine months ended September 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2,153</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88,052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r>
      <w:tr>
        <w:trPr>
          <w:trHeight w:val="209"/>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Maturities of lease liabilities as of December 31, 2022 were as follows (in thousands):</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Operating Leases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Financing Leases</w:t>
            </w:r>
          </w:p>
        </w:tc>
      </w:tr>
      <w:tr>
        <w:trPr>
          <w:trHeight w:val="26"/>
        </w:trPr>
        <w:tc>
          <w:tcPr>
            <w:tcW w:w="2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2024</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2026</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76,452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r>
      <w:tr>
        <w:trPr>
          <w:trHeight w:val="243"/>
        </w:trPr>
        <w:tc>
          <w:tcPr>
            <w:tcW w:w="20" w:type="dxa"/>
            <w:vAlign w:val="bottom"/>
          </w:tcPr>
          <w:p>
            <w:pPr>
              <w:spacing w:after="0"/>
              <w:rPr>
                <w:sz w:val="21"/>
                <w:szCs w:val="21"/>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12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(53,794)</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r>
      <w:tr>
        <w:trPr>
          <w:trHeight w:val="209"/>
        </w:trPr>
        <w:tc>
          <w:tcPr>
            <w:tcW w:w="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As of September 30, 2023, the Company did not have any material operating or finance leases that have not yet commenced.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Disclosure</w:t>
      </w:r>
    </w:p>
    <w:p>
      <w:pPr>
        <w:spacing w:after="0" w:line="252"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The Company is the lessor in agreements to lease the use of its network assets including its wireless cell sites and buildings. For the nine months ended September 30, 2023 and 2022, the Company recorded $5.8 million and $4.4 million, respectively, of lease income from agreements in which the Company is the lessor. For the three months ended September 30, 2023 and 2022, the Company recorded $1.9 million and $1.5 million, respectively, of lease income. Lease income is classified as Carrier Services revenue in the statement of operations.</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presents the maturities of future undiscounted lease payments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7"/>
              </w:rPr>
              <w:t>2023 (excluding the nine months ended September 30, 2023)</w:t>
            </w:r>
          </w:p>
        </w:tc>
        <w:tc>
          <w:tcPr>
            <w:tcW w:w="114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4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jc w:val="right"/>
              <w:ind w:right="107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7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USE OF ESTIMATES</w:t>
      </w:r>
    </w:p>
    <w:p>
      <w:pPr>
        <w:spacing w:after="0" w:line="270"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on trade receivables, useful lives of the Company’s fixed and finite-lived intangible assets, allocation of purchase price to assets acquired and liabilities assumed in business combinations, fair value of indefinite-lived intangible assets, goodwill and income taxes. Actual results could differ significantly from those estimates.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ACQUISITIONS AND DISPOSITIONS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Telecom</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 of Sacred Wind Enterprises</w:t>
      </w:r>
    </w:p>
    <w:p>
      <w:pPr>
        <w:spacing w:after="0" w:line="26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On November 7, 2022, the Company’s newly formed wholly owned subsidiary Alloy, Inc. (Alloy”) acquired all of the issued and outstanding stock of Sacred Wind Enterprises, Inc. (“Sacred Wind”), a rural telecommunications provider in New Mexico for $44.6 million of consideration (“Sacred Wind Transaction”). The purchase price allocation was finalized during the nine months ended September 30, 2023. As part of the Sacred Wind Transaction, the Company transferred consideration of $16.7 million of cash, net of $9.4 million of cash acquired, $14.8 million of redeemable noncontrolling interests, and $3.7 million of contingent consideration. During the nine months ended September 30, 2023, the Company received $1.3 million as final settlement of working capital amounts. Upon completion of the Sacred Wind Transaction, the former Sacred Wind shareholders own 6% of the Alloy equity. This equity is classified as redeemable noncontrolling interests in the Company’s financial statements because the holders have an option, beginning in 2026, to put the equity interest to a subsidiary of the Company at the then fair market value. The redeemable noncontrolling interests do not have preference relative to other equity units and participate in gains and losses in Alloy. The contingent consideration is earned based on certain operating metrics of Sacred Wind beginning in 2025 through 2027. The fair value of the contingent consideration was calculated using discounted cash flow analysis based on a range of probability weighted outcomes. The Company funded the acquisition with borrowings under its CoBank Credit Facility and assumed $31.6 million of Sacred Wind debt, to the United States of America administered through the Rural Utilities Service.</w:t>
      </w:r>
    </w:p>
    <w:p>
      <w:pPr>
        <w:spacing w:after="0" w:line="194"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table below represents the purchase price allocation of the total consideration transferred to the acquired assets and assumed liabilities based on management’s estimate of their acquisition date fair values (amounts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gridSpan w:val="2"/>
          </w:tcPr>
          <w:p>
            <w:pPr>
              <w:ind w:left="900"/>
              <w:spacing w:after="0"/>
              <w:rPr>
                <w:sz w:val="20"/>
                <w:szCs w:val="20"/>
                <w:color w:val="auto"/>
              </w:rPr>
            </w:pPr>
            <w:r>
              <w:rPr>
                <w:rFonts w:ascii="Arial" w:cs="Arial" w:eastAsia="Arial" w:hAnsi="Arial"/>
                <w:sz w:val="18"/>
                <w:szCs w:val="18"/>
                <w:b w:val="1"/>
                <w:bCs w:val="1"/>
                <w:color w:val="auto"/>
              </w:rPr>
              <w:t>Consideration Transferred</w:t>
            </w:r>
          </w:p>
        </w:tc>
        <w:tc>
          <w:tcPr>
            <w:tcW w:w="282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44,560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price allocation:</w:t>
            </w:r>
          </w:p>
        </w:tc>
        <w:tc>
          <w:tcPr>
            <w:tcW w:w="20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2,619</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20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4,888</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right of use assets</w:t>
            </w:r>
          </w:p>
        </w:tc>
        <w:tc>
          <w:tcPr>
            <w:tcW w:w="20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Fixed assets</w:t>
            </w: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85,255</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w:t>
            </w:r>
          </w:p>
        </w:tc>
        <w:tc>
          <w:tcPr>
            <w:tcW w:w="20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(10,176)</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w:t>
            </w:r>
          </w:p>
        </w:tc>
        <w:tc>
          <w:tcPr>
            <w:tcW w:w="20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Deferred taxes</w:t>
            </w: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(14,388)</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Debt</w:t>
            </w:r>
          </w:p>
        </w:tc>
        <w:tc>
          <w:tcPr>
            <w:tcW w:w="206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(31,639)</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Net assets acquired</w:t>
            </w:r>
          </w:p>
        </w:tc>
        <w:tc>
          <w:tcPr>
            <w:tcW w:w="2060" w:type="dxa"/>
            <w:vAlign w:val="bottom"/>
          </w:tcPr>
          <w:p>
            <w:pPr>
              <w:spacing w:after="0"/>
              <w:rPr>
                <w:sz w:val="18"/>
                <w:szCs w:val="18"/>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60" w:type="dxa"/>
            <w:vAlign w:val="bottom"/>
            <w:vMerge w:val="restart"/>
          </w:tcPr>
          <w:p>
            <w:pPr>
              <w:jc w:val="right"/>
              <w:ind w:right="1330"/>
              <w:spacing w:after="0"/>
              <w:rPr>
                <w:sz w:val="20"/>
                <w:szCs w:val="20"/>
                <w:color w:val="auto"/>
              </w:rPr>
            </w:pPr>
            <w:r>
              <w:rPr>
                <w:rFonts w:ascii="Arial" w:cs="Arial" w:eastAsia="Arial" w:hAnsi="Arial"/>
                <w:sz w:val="18"/>
                <w:szCs w:val="18"/>
                <w:color w:val="auto"/>
              </w:rPr>
              <w:t>17</w:t>
            </w: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acquired fixed assets are comprised of telecommunication equipment located in the Southwest United States. The fixed assets were valued using the income and cost approaches. Cash flows were discounted between 7% and 12% based on the risk associated with the cash flows to determine fair value under the income approach. The fixed assets have useful lives ranging from 1 to 25 years. The intangible assets include a $0.6 million trade name. The estimated fair value of the trade name was determined using the relief from royalty method. The useful life of the trade name is 5 years. The acquired receivables consist of trade receivables incurred in the ordinary course of business. The Company expects to collect the full amount of the receivables. Current liabilities includes $6.5 million of deposits received under government grant programs that will be used to construct fixed assets.</w:t>
      </w:r>
    </w:p>
    <w:p>
      <w:pPr>
        <w:spacing w:after="0" w:line="219" w:lineRule="exact"/>
        <w:rPr>
          <w:sz w:val="20"/>
          <w:szCs w:val="20"/>
          <w:color w:val="auto"/>
        </w:rPr>
      </w:pPr>
    </w:p>
    <w:p>
      <w:pPr>
        <w:ind w:left="60" w:right="479" w:firstLine="648"/>
        <w:spacing w:after="0" w:line="342" w:lineRule="auto"/>
        <w:rPr>
          <w:sz w:val="20"/>
          <w:szCs w:val="20"/>
          <w:color w:val="auto"/>
        </w:rPr>
      </w:pPr>
      <w:r>
        <w:rPr>
          <w:rFonts w:ascii="Arial" w:cs="Arial" w:eastAsia="Arial" w:hAnsi="Arial"/>
          <w:sz w:val="16"/>
          <w:szCs w:val="16"/>
          <w:color w:val="auto"/>
        </w:rPr>
        <w:t>The Company incurred $0.8 million of transaction-related charges pertaining to legal, accounting, consulting services, and employee related costs associated with the transaction during the year ended December 31, 2022.</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FAIR VALUE MEASUREMENTS AND INVESTMENTS</w:t>
      </w:r>
    </w:p>
    <w:p>
      <w:pPr>
        <w:spacing w:after="0" w:line="256"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89" w:lineRule="exact"/>
        <w:rPr>
          <w:sz w:val="20"/>
          <w:szCs w:val="20"/>
          <w:color w:val="auto"/>
        </w:rPr>
      </w:pPr>
    </w:p>
    <w:p>
      <w:pPr>
        <w:jc w:val="both"/>
        <w:ind w:left="60" w:right="219" w:firstLine="648"/>
        <w:spacing w:after="0" w:line="255" w:lineRule="auto"/>
        <w:rPr>
          <w:sz w:val="20"/>
          <w:szCs w:val="20"/>
          <w:color w:val="auto"/>
        </w:rPr>
      </w:pPr>
      <w:r>
        <w:rPr>
          <w:rFonts w:ascii="Arial" w:cs="Arial" w:eastAsia="Arial" w:hAnsi="Arial"/>
          <w:sz w:val="18"/>
          <w:szCs w:val="18"/>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3" w:lineRule="exact"/>
        <w:rPr>
          <w:sz w:val="20"/>
          <w:szCs w:val="20"/>
          <w:color w:val="auto"/>
        </w:rPr>
      </w:pPr>
    </w:p>
    <w:p>
      <w:pPr>
        <w:ind w:left="1980" w:right="1679" w:hanging="634"/>
        <w:spacing w:after="0" w:line="273" w:lineRule="auto"/>
        <w:rPr>
          <w:sz w:val="20"/>
          <w:szCs w:val="20"/>
          <w:color w:val="auto"/>
        </w:rPr>
      </w:pPr>
      <w:r>
        <w:rPr>
          <w:rFonts w:ascii="Arial" w:cs="Arial" w:eastAsia="Arial" w:hAnsi="Arial"/>
          <w:sz w:val="17"/>
          <w:szCs w:val="17"/>
          <w:color w:val="auto"/>
        </w:rPr>
        <w:t>Level 1 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393" w:lineRule="exact"/>
        <w:rPr>
          <w:sz w:val="20"/>
          <w:szCs w:val="20"/>
          <w:color w:val="auto"/>
        </w:rPr>
      </w:pPr>
    </w:p>
    <w:p>
      <w:pPr>
        <w:ind w:left="1980" w:right="1739" w:hanging="634"/>
        <w:spacing w:after="0" w:line="286" w:lineRule="auto"/>
        <w:rPr>
          <w:sz w:val="20"/>
          <w:szCs w:val="20"/>
          <w:color w:val="auto"/>
        </w:rPr>
      </w:pPr>
      <w:r>
        <w:rPr>
          <w:rFonts w:ascii="Arial" w:cs="Arial" w:eastAsia="Arial" w:hAnsi="Arial"/>
          <w:sz w:val="16"/>
          <w:szCs w:val="16"/>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sz w:val="20"/>
          <w:szCs w:val="20"/>
          <w:color w:val="auto"/>
        </w:rPr>
      </w:pPr>
    </w:p>
    <w:p>
      <w:pPr>
        <w:ind w:left="1980" w:right="1659"/>
        <w:spacing w:after="0" w:line="290" w:lineRule="auto"/>
        <w:rPr>
          <w:sz w:val="20"/>
          <w:szCs w:val="20"/>
          <w:color w:val="auto"/>
        </w:rPr>
      </w:pPr>
      <w:r>
        <w:rPr>
          <w:rFonts w:ascii="Arial" w:cs="Arial" w:eastAsia="Arial" w:hAnsi="Arial"/>
          <w:sz w:val="16"/>
          <w:szCs w:val="16"/>
          <w:color w:val="auto"/>
        </w:rPr>
        <w:t>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380" w:lineRule="exact"/>
        <w:rPr>
          <w:sz w:val="20"/>
          <w:szCs w:val="20"/>
          <w:color w:val="auto"/>
        </w:rPr>
      </w:pPr>
    </w:p>
    <w:p>
      <w:pPr>
        <w:ind w:left="1980" w:right="1579" w:hanging="634"/>
        <w:spacing w:after="0" w:line="272" w:lineRule="auto"/>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Assets and liabilities of the Company measured at fair value on a recurring basis as of September 30, 2023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are summarized as follows (in thousands):</w:t>
      </w:r>
    </w:p>
    <w:p>
      <w:pPr>
        <w:spacing w:after="0" w:line="94"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2023</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Short term investments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Alaska Communications redeemable common units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(22,266)</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Alloy redeemable common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(14,760)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(14,760)</w:t>
            </w: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Warrants on Alaska Communications redeemable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8"/>
                <w:szCs w:val="18"/>
                <w:b w:val="1"/>
                <w:bCs w:val="1"/>
                <w:color w:val="auto"/>
              </w:rPr>
              <w:t>Total assets and liabilities measured at fair 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Significant Other</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Short term investments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Alaska Communications redeemable common units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(22,557)</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Alloy redeemable common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(14,760)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(14,760)</w:t>
            </w: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Warrants on Alaska Communications redeemable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b w:val="1"/>
                <w:bCs w:val="1"/>
                <w:color w:val="auto"/>
              </w:rPr>
              <w:t>Total assets and liabilities measured at fair 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Investments</w:t>
      </w:r>
    </w:p>
    <w:p>
      <w:pPr>
        <w:spacing w:after="0" w:line="266"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The Company holds investments in equity securities consisting of noncontrolling investments in privately held companies. The investments are accounted for using equity method accounting, the measurement alternative for investments without a readily determinable fair value, or fair value. The fair value investments are valued using level 3 inputs and the Company used the income approach to fair value the investment. The inputs consisted of a discount rate and future cash flows calculated based on the investment attributes. A roll forward of the investments is below:</w:t>
      </w:r>
    </w:p>
    <w:p>
      <w:pPr>
        <w:spacing w:after="0" w:line="200" w:lineRule="exact"/>
        <w:rPr>
          <w:sz w:val="20"/>
          <w:szCs w:val="20"/>
          <w:color w:val="auto"/>
        </w:rPr>
      </w:pPr>
    </w:p>
    <w:p>
      <w:pPr>
        <w:spacing w:after="0" w:line="30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without a</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readily</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Fair value</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determinable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method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fair value</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investments</w:t>
            </w: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investments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Income recognized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Foreign currency gain</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Reclassification of foreign currency losses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Transfers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(16,264)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2023</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restart"/>
          </w:tcPr>
          <w:p>
            <w:pPr>
              <w:spacing w:after="0"/>
              <w:rPr>
                <w:sz w:val="19"/>
                <w:szCs w:val="19"/>
                <w:color w:val="auto"/>
              </w:rPr>
            </w:pP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Sale of Investments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(13,212)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recognized</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Contributions / (distributions)</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loss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Gain recognized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2022</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359" w:firstLine="648"/>
        <w:spacing w:after="0" w:line="296" w:lineRule="auto"/>
        <w:rPr>
          <w:sz w:val="20"/>
          <w:szCs w:val="20"/>
          <w:color w:val="auto"/>
        </w:rPr>
      </w:pPr>
      <w:r>
        <w:rPr>
          <w:rFonts w:ascii="Arial" w:cs="Arial" w:eastAsia="Arial" w:hAnsi="Arial"/>
          <w:sz w:val="16"/>
          <w:szCs w:val="16"/>
          <w:color w:val="auto"/>
        </w:rPr>
        <w:t>During the nine months ended September 30, 2023, the Company lost the ability to exert significant influence over its India solar investment. As a result, the Company transferred $16.3 million from equity method investments to investments without a readily determinable fair value and the accounting for the investment changed to the cost method from the equity method of accounting. Before transitioning to the cost method, the Company recorded income of $0.1 million and reclassified $1.3 million from accumulated other comprehensive income into income.</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investments are included with other assets on the consolidated balance sheets.</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Redeemable Common Units and Warrants</w:t>
      </w:r>
    </w:p>
    <w:p>
      <w:pPr>
        <w:spacing w:after="0" w:line="252"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 Company has issued redeemable common units, and warrants to purchase additional common units, in consolidated subsidiaries of the Company. The instruments are redeemable at the option of the holder. Both the common units and warrants to purchase common units are recorded at fair value in the Company’s financial statements. The common units are recorded in redeemable noncontrolling interest and the warrants are recorded in other liabilities on the Company’s balance sheets. The put options for the Alloy redeemable common units begin in 2026. The put options for the Alaska Communications redeemable common units begin the earlier of a public offering or 2028. The Company calculates the fair value of the instruments using a combination of market and discounted cash flows approaches with Level 3 inputs.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66" w:lineRule="exact"/>
        <w:rPr>
          <w:sz w:val="20"/>
          <w:szCs w:val="20"/>
          <w:color w:val="auto"/>
        </w:rPr>
      </w:pPr>
    </w:p>
    <w:p>
      <w:pPr>
        <w:jc w:val="both"/>
        <w:ind w:left="60" w:right="599" w:firstLine="648"/>
        <w:spacing w:after="0" w:line="381" w:lineRule="auto"/>
        <w:rPr>
          <w:sz w:val="20"/>
          <w:szCs w:val="20"/>
          <w:color w:val="auto"/>
        </w:rPr>
      </w:pPr>
      <w:r>
        <w:rPr>
          <w:rFonts w:ascii="Arial" w:cs="Arial" w:eastAsia="Arial" w:hAnsi="Arial"/>
          <w:sz w:val="15"/>
          <w:szCs w:val="15"/>
          <w:color w:val="auto"/>
        </w:rPr>
        <w:t>The carrying amounts of cash and cash equivalents, accounts receivable, and accounts payable and accrued expenses approximate their fair values because of the relatively short-term maturities of these financial instruments.</w:t>
      </w:r>
    </w:p>
    <w:p>
      <w:pPr>
        <w:spacing w:after="0" w:line="141" w:lineRule="exact"/>
        <w:rPr>
          <w:sz w:val="20"/>
          <w:szCs w:val="20"/>
          <w:color w:val="auto"/>
        </w:rPr>
      </w:pPr>
    </w:p>
    <w:p>
      <w:pPr>
        <w:jc w:val="both"/>
        <w:ind w:left="60" w:right="99" w:firstLine="648"/>
        <w:spacing w:after="0" w:line="311" w:lineRule="auto"/>
        <w:rPr>
          <w:sz w:val="20"/>
          <w:szCs w:val="20"/>
          <w:color w:val="auto"/>
        </w:rPr>
      </w:pPr>
      <w:r>
        <w:rPr>
          <w:rFonts w:ascii="Arial" w:cs="Arial" w:eastAsia="Arial" w:hAnsi="Arial"/>
          <w:sz w:val="16"/>
          <w:szCs w:val="16"/>
          <w:color w:val="auto"/>
        </w:rPr>
        <w:t>The fair value of long-term debt is estimated using Level 2 inputs. At September 30, 2023, the fair value of long-term debt, including the current portion, was $552.2 million and its book value was $543.1 million. At December 31, 2022, the fair value of long-term debt, including the current portion, was $473.7 million and its book value was $467.2 million.</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LONG-TERM DEBT</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2023 CoBank Credit Facility</w:t>
      </w:r>
    </w:p>
    <w:p>
      <w:pPr>
        <w:spacing w:after="0" w:line="266"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On July 13, 2023, the Company, along with certain of its subsidiaries as guarantors, entered into a new Credit Agreement with CoBank, ACB and a syndicate of other lenders (as may be amended from time to time, the “2023 CoBank Credit Facility”).</w:t>
      </w:r>
    </w:p>
    <w:p>
      <w:pPr>
        <w:spacing w:after="0" w:line="211"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Credit Facility for letters of credit, and (ii) up to $20 million under a swingline sub-facility. Upon the closing of the 2023 CoBank Credit Facility, the Company drew all of the 2023 CoBank Term Loan and approximately $13.6 million of the 2023 CoBank Revolving Loan. These borrowings were used to repay $139.5 million of debt outstanding under the 2019 CoBank Credit Facility at close.</w:t>
      </w:r>
    </w:p>
    <w:p>
      <w:pPr>
        <w:spacing w:after="0" w:line="218"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2023 CoBank Term Loan must be repaid in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96" w:lineRule="exact"/>
        <w:rPr>
          <w:sz w:val="20"/>
          <w:szCs w:val="20"/>
          <w:color w:val="auto"/>
        </w:rPr>
      </w:pPr>
    </w:p>
    <w:tbl>
      <w:tblPr>
        <w:tblLayout w:type="fixed"/>
        <w:tblInd w:w="730" w:type="dxa"/>
        <w:tblCellMar>
          <w:top w:w="0" w:type="dxa"/>
          <w:left w:w="0" w:type="dxa"/>
          <w:bottom w:w="0" w:type="dxa"/>
          <w:right w:w="0" w:type="dxa"/>
        </w:tblCellMar>
      </w:tblPr>
      <w:tr>
        <w:trPr>
          <w:trHeight w:val="283"/>
        </w:trPr>
        <w:tc>
          <w:tcPr>
            <w:tcW w:w="3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2023 CoBank Term Loan Quarterly Payment</w:t>
            </w:r>
          </w:p>
        </w:tc>
        <w:tc>
          <w:tcPr>
            <w:tcW w:w="3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2023 CoBank Term Loan Quarterly Repayments</w:t>
            </w:r>
          </w:p>
        </w:tc>
      </w:tr>
      <w:tr>
        <w:trPr>
          <w:trHeight w:val="169"/>
        </w:trPr>
        <w:tc>
          <w:tcPr>
            <w:tcW w:w="366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85"/>
              </w:rPr>
              <w:t>Dates</w:t>
            </w:r>
          </w:p>
        </w:tc>
        <w:tc>
          <w:tcPr>
            <w:tcW w:w="3920" w:type="dxa"/>
            <w:vAlign w:val="bottom"/>
            <w:tcBorders>
              <w:bottom w:val="single" w:sz="8" w:color="auto"/>
              <w:right w:val="single" w:sz="8" w:color="auto"/>
            </w:tcBorders>
          </w:tcPr>
          <w:p>
            <w:pPr>
              <w:spacing w:after="0"/>
              <w:rPr>
                <w:sz w:val="14"/>
                <w:szCs w:val="14"/>
                <w:color w:val="auto"/>
              </w:rPr>
            </w:pP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December 31, 2023 – June 30, 2025</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$812,500 (2.5% per annum)</w:t>
            </w: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September 30, 2025 – June 30, 2026</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$1,625,000 (5% per annum)</w:t>
            </w:r>
          </w:p>
        </w:tc>
      </w:tr>
      <w:tr>
        <w:trPr>
          <w:trHeight w:val="223"/>
        </w:trPr>
        <w:tc>
          <w:tcPr>
            <w:tcW w:w="366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September 30, 2026 – June 30, 2029</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$2,437,500 (7.5% per annum)</w:t>
            </w:r>
          </w:p>
        </w:tc>
      </w:tr>
    </w:tbl>
    <w:p>
      <w:pPr>
        <w:spacing w:after="0" w:line="242"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Amounts borrowed under the 2023 CoBank Credit Facility bear interest at a rate equal to, at the Company’s option, either (i) the secured overnight financing rate as administered by the Federal Reserve Bank of New York (SOFR) 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the Company’s indebtedness to EBITDA. Under the terms of the 2023 CoBank Credit Agreement, the Company must also pay a fee ranging from 0.25% to 0.50% on the average daily unused portion of the 2023 CoBank Credit Facility over each calendar quarter.</w:t>
      </w:r>
    </w:p>
    <w:p>
      <w:pPr>
        <w:spacing w:after="0" w:line="199"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The 2023 CoBank Credit Agreement contains a financial covenant (as further defined in the 2023 CoBank Credit Agreement) that imposes a maximum ratio of indebtedness to EBITDA, as well as customary representations,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warranties and covenants, including covenants limiting additional indebtedness, liens, guaranties, mergers and consolidations, substantial asset sales, investments and loans, sale and leasebacks, transactions with affiliates and fundamental changes. The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33"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Company capitalized $4.0 million of fees associated with the 2023 CoBank Credit Facility which are being amortized over the life of the debt and $3.8 million were unamortized as of September 30, 2023.</w:t>
      </w:r>
    </w:p>
    <w:p>
      <w:pPr>
        <w:spacing w:after="0" w:line="211"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Company had $130.0 million outstanding under the 2023 CoBank Term Loan as of September 30, 2023. Under the 2023 CoBank Revolving Loan, the Company had $23.1 million outstanding and $146.9 million of availability as of September 30, 2023. There were no outstanding interest rate hedge agreements under the 2023 CoBank Credit Facility as of September 30, 2023 and the Company was in compliance with all financial covenants as of that date.</w:t>
      </w:r>
    </w:p>
    <w:p>
      <w:pPr>
        <w:spacing w:after="0" w:line="198"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In October 2023, the Company entered a two year, forward starting 1-month floating to fixed SOFR interest rate swap agreement. The swap becomes effective November 13, 2023 in a notional amount of $50.0 million, has a fixed SOFR rate of 4.896% and matures on November 13, 2025.</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2019 CoBank Credit Facility</w:t>
      </w:r>
    </w:p>
    <w:p>
      <w:pPr>
        <w:spacing w:after="0" w:line="26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On April 10, 2019, the Company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above, outstanding borrowings under the 2019 CoBank Credit Facility were repaid in full.</w:t>
      </w:r>
    </w:p>
    <w:p>
      <w:pPr>
        <w:spacing w:after="0" w:line="215" w:lineRule="exact"/>
        <w:rPr>
          <w:sz w:val="20"/>
          <w:szCs w:val="20"/>
          <w:color w:val="auto"/>
        </w:rPr>
      </w:pPr>
    </w:p>
    <w:p>
      <w:pPr>
        <w:ind w:left="60" w:right="519" w:firstLine="648"/>
        <w:spacing w:after="0" w:line="291" w:lineRule="auto"/>
        <w:rPr>
          <w:sz w:val="20"/>
          <w:szCs w:val="20"/>
          <w:color w:val="auto"/>
        </w:rPr>
      </w:pPr>
      <w:r>
        <w:rPr>
          <w:rFonts w:ascii="Arial" w:cs="Arial" w:eastAsia="Arial" w:hAnsi="Arial"/>
          <w:sz w:val="16"/>
          <w:szCs w:val="16"/>
          <w:color w:val="auto"/>
        </w:rPr>
        <w:t>Amounts borrowed under the 2019 CoBank Credit Facility bore interest at a rate equal to, at the Company’s option, either (i) the London Interbank Offered Rate (“LIBOR”) plus an applicable margin ranging between 1.25% to</w:t>
      </w:r>
    </w:p>
    <w:p>
      <w:pPr>
        <w:ind w:left="60" w:right="99"/>
        <w:spacing w:after="0" w:line="251" w:lineRule="auto"/>
        <w:rPr>
          <w:sz w:val="20"/>
          <w:szCs w:val="20"/>
          <w:color w:val="auto"/>
        </w:rPr>
      </w:pPr>
      <w:r>
        <w:rPr>
          <w:rFonts w:ascii="Arial" w:cs="Arial" w:eastAsia="Arial" w:hAnsi="Arial"/>
          <w:sz w:val="18"/>
          <w:szCs w:val="18"/>
          <w:color w:val="auto"/>
        </w:rPr>
        <w:t>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the Company also paid a commitment fee ranging from 0.150% to 0.375% of the average daily unused portion of the 2019 CoBank Credit Facility over each calendar quarter.</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 of Credit Facility</w:t>
      </w:r>
    </w:p>
    <w:p>
      <w:pPr>
        <w:spacing w:after="0" w:line="266" w:lineRule="exact"/>
        <w:rPr>
          <w:sz w:val="20"/>
          <w:szCs w:val="20"/>
          <w:color w:val="auto"/>
        </w:rPr>
      </w:pPr>
    </w:p>
    <w:p>
      <w:pPr>
        <w:jc w:val="both"/>
        <w:ind w:left="60" w:right="539" w:firstLine="648"/>
        <w:spacing w:after="0" w:line="263" w:lineRule="auto"/>
        <w:rPr>
          <w:sz w:val="20"/>
          <w:szCs w:val="20"/>
          <w:color w:val="auto"/>
        </w:rPr>
      </w:pPr>
      <w:r>
        <w:rPr>
          <w:rFonts w:ascii="Arial" w:cs="Arial" w:eastAsia="Arial" w:hAnsi="Arial"/>
          <w:sz w:val="18"/>
          <w:szCs w:val="18"/>
          <w:color w:val="auto"/>
        </w:rPr>
        <w:t>On November 14, 2022, the Company entered into a General Agreement of Indemnity to issue performance Standby Letters of Credit on behalf of the Company and its subsidiaries. As of September 30, 2023, $31.6 million of Standby Letters of Credit had been issued under this agreement.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Alaska Credit Facility</w:t>
      </w:r>
    </w:p>
    <w:p>
      <w:pPr>
        <w:spacing w:after="0" w:line="266"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On December 23, 2022, Alaska Communications entered into a First Amendment Agreement (the “ACS Amendment”). The ACS Amendment amends the Alaska Credit Facility to increase its Revolving Credit Commitment from $35.0 million to $75.0 million and Term Loan Commitment from $210.0 million to $230.0 million. As a part of the transaction, the Term Loan commitment was fully funded as the outstanding Revolving Credit Commitment balance was transferred.</w:t>
      </w:r>
    </w:p>
    <w:p>
      <w:pPr>
        <w:spacing w:after="0" w:line="228"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As of September 30, 2023, Alaska Communications had drawn $25.0 million on its Revolving Credit Commitment and had $50.0 million available to draw. The Term Loan balance was $230.0 million and principal payments commence in the fourth quarter of 2023. Both facilities mature on July 22, 2026.</w:t>
      </w:r>
    </w:p>
    <w:p>
      <w:pPr>
        <w:spacing w:after="0" w:line="224" w:lineRule="exact"/>
        <w:rPr>
          <w:sz w:val="20"/>
          <w:szCs w:val="20"/>
          <w:color w:val="auto"/>
        </w:rPr>
      </w:pPr>
    </w:p>
    <w:p>
      <w:pPr>
        <w:jc w:val="both"/>
        <w:ind w:left="60" w:right="399" w:firstLine="648"/>
        <w:spacing w:after="0" w:line="263" w:lineRule="auto"/>
        <w:rPr>
          <w:sz w:val="20"/>
          <w:szCs w:val="20"/>
          <w:color w:val="auto"/>
        </w:rPr>
      </w:pPr>
      <w:r>
        <w:rPr>
          <w:rFonts w:ascii="Arial" w:cs="Arial" w:eastAsia="Arial" w:hAnsi="Arial"/>
          <w:sz w:val="18"/>
          <w:szCs w:val="18"/>
          <w:color w:val="auto"/>
        </w:rPr>
        <w:t>In addition to the above changes, the ACS Amendment replaced the calculation of interest from an applicable margin applied to LIBOR with the same applicable margin applied to the Secured Overnight Financing Rate (“SOFR”) plus a 10-basis point adjustment.</w:t>
      </w:r>
    </w:p>
    <w:p>
      <w:pPr>
        <w:spacing w:after="0" w:line="211" w:lineRule="exact"/>
        <w:rPr>
          <w:sz w:val="20"/>
          <w:szCs w:val="20"/>
          <w:color w:val="auto"/>
        </w:rPr>
      </w:pPr>
    </w:p>
    <w:p>
      <w:pPr>
        <w:ind w:left="60" w:right="779" w:firstLine="648"/>
        <w:spacing w:after="0" w:line="308" w:lineRule="auto"/>
        <w:rPr>
          <w:sz w:val="20"/>
          <w:szCs w:val="20"/>
          <w:color w:val="auto"/>
        </w:rPr>
      </w:pPr>
      <w:r>
        <w:rPr>
          <w:rFonts w:ascii="Arial" w:cs="Arial" w:eastAsia="Arial" w:hAnsi="Arial"/>
          <w:sz w:val="17"/>
          <w:szCs w:val="17"/>
          <w:color w:val="auto"/>
        </w:rPr>
        <w:t>The Company capitalized $7.3 million of fees associated with the Alaska Credit Facility which are being amortized over the life of the debt and $4.2 million were unamortized as of September 30, 2023.</w:t>
      </w:r>
    </w:p>
    <w:p>
      <w:pPr>
        <w:spacing w:after="0" w:line="187" w:lineRule="exact"/>
        <w:rPr>
          <w:sz w:val="20"/>
          <w:szCs w:val="20"/>
          <w:color w:val="auto"/>
        </w:rPr>
      </w:pPr>
    </w:p>
    <w:p>
      <w:pPr>
        <w:jc w:val="both"/>
        <w:ind w:left="60" w:right="479" w:firstLine="648"/>
        <w:spacing w:after="0" w:line="263" w:lineRule="auto"/>
        <w:rPr>
          <w:sz w:val="20"/>
          <w:szCs w:val="20"/>
          <w:color w:val="auto"/>
        </w:rPr>
      </w:pPr>
      <w:r>
        <w:rPr>
          <w:rFonts w:ascii="Arial" w:cs="Arial" w:eastAsia="Arial" w:hAnsi="Arial"/>
          <w:sz w:val="18"/>
          <w:szCs w:val="18"/>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terms and conditions of the Alaska Credit Facility include the following:</w:t>
      </w:r>
    </w:p>
    <w:p>
      <w:pPr>
        <w:spacing w:after="0" w:line="252" w:lineRule="exact"/>
        <w:rPr>
          <w:sz w:val="20"/>
          <w:szCs w:val="20"/>
          <w:color w:val="auto"/>
        </w:rPr>
      </w:pPr>
    </w:p>
    <w:p>
      <w:pPr>
        <w:ind w:left="1380" w:right="259" w:hanging="331"/>
        <w:spacing w:after="0" w:line="291"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outstanding bear an interest rate of the forward-looking SOFR rate with a one-month interest period, plus the SOFR Spread Adjustment of 10 basis points, plus a margin ranging from 3.00% to</w:t>
      </w:r>
    </w:p>
    <w:p>
      <w:pPr>
        <w:ind w:left="1380" w:right="479"/>
        <w:spacing w:after="0" w:line="255" w:lineRule="auto"/>
        <w:rPr>
          <w:rFonts w:ascii="Arial" w:cs="Arial" w:eastAsia="Arial" w:hAnsi="Arial"/>
          <w:sz w:val="16"/>
          <w:szCs w:val="16"/>
          <w:color w:val="auto"/>
        </w:rPr>
      </w:pPr>
      <w:r>
        <w:rPr>
          <w:rFonts w:ascii="Arial" w:cs="Arial" w:eastAsia="Arial" w:hAnsi="Arial"/>
          <w:sz w:val="18"/>
          <w:szCs w:val="18"/>
          <w:color w:val="auto"/>
        </w:rPr>
        <w:t>4.00% based on Alaska Communications’ Consolidated Total Net Leverage Ratio (as defined in the Credit Agreement) or an alternate base rate may be selected at a margin that is 1% lower than the counterpart SOFR margin;</w:t>
      </w:r>
    </w:p>
    <w:p>
      <w:pPr>
        <w:spacing w:after="0" w:line="189" w:lineRule="exact"/>
        <w:rPr>
          <w:rFonts w:ascii="Arial" w:cs="Arial" w:eastAsia="Arial" w:hAnsi="Arial"/>
          <w:sz w:val="16"/>
          <w:szCs w:val="16"/>
          <w:color w:val="auto"/>
        </w:rPr>
      </w:pPr>
    </w:p>
    <w:p>
      <w:pPr>
        <w:ind w:left="1380" w:right="179" w:hanging="331"/>
        <w:spacing w:after="0" w:line="259"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Principal repayments are due quarterly commencing in the fourth quarter of 2023 in quarterly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86" w:lineRule="exact"/>
        <w:rPr>
          <w:rFonts w:ascii="Arial" w:cs="Arial" w:eastAsia="Arial" w:hAnsi="Arial"/>
          <w:sz w:val="18"/>
          <w:szCs w:val="18"/>
          <w:color w:val="auto"/>
        </w:rPr>
      </w:pPr>
    </w:p>
    <w:p>
      <w:pPr>
        <w:ind w:left="1380" w:right="79" w:hanging="331"/>
        <w:spacing w:after="0" w:line="259"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86" w:lineRule="exact"/>
        <w:rPr>
          <w:rFonts w:ascii="Arial" w:cs="Arial" w:eastAsia="Arial" w:hAnsi="Arial"/>
          <w:sz w:val="18"/>
          <w:szCs w:val="18"/>
          <w:color w:val="auto"/>
        </w:rPr>
      </w:pPr>
    </w:p>
    <w:p>
      <w:pPr>
        <w:ind w:left="1380" w:right="459" w:hanging="331"/>
        <w:spacing w:after="0" w:line="308"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Alaska Credit Facility is non-recourse to the Company and is secured by substantially all of the personal property and certain material real property owned by Alaska Communications.</w:t>
      </w:r>
    </w:p>
    <w:p>
      <w:pPr>
        <w:spacing w:after="0" w:line="187"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Alaska Communication’s interest rate swap, which had been designated as a cash flow hedge with an interest rate of 1.6735%, expired on June 30, 2022. As of September 30, 2023, there are no outstanding interest rate hedge agreements associated with the Alaska Credit Facility. In November 2023, Alaska Communications entered two forward starting 1-month floating to fixed SOFR interest rate swap agreements. The total notional amount of the agreements is $200.0 million, with fixed SOFR rates of 4.8695% and 4.8980% and both agreements mature on November 7, 2025.</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Alaska Term Facility</w:t>
      </w:r>
    </w:p>
    <w:p>
      <w:pPr>
        <w:spacing w:after="0" w:line="266"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On June 15, 2022, Alaska Communications Systems Holdings, the parent company of Alaska Communications, entered into a secured lending arrangement with Bristol Bay Industrial, LLC (the “Alaska Term Facility”).</w:t>
      </w:r>
    </w:p>
    <w:p>
      <w:pPr>
        <w:spacing w:after="0" w:line="16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and is payable commencing on March 31, 2023. Scheduled quarterly payments of principal commenced on March 31, 2023. The Alaska Term Facility matures on June 30, 2024.</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Alaska Term Facility contains events of default customary for facilities of this type.</w:t>
      </w:r>
    </w:p>
    <w:p>
      <w:pPr>
        <w:spacing w:after="0" w:line="266"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As of September 30, 2023, the Company had $6.4 million outstanding and no available borrowings under the Alaska Term Facility.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FirstNet Receivables Credit Facility</w:t>
      </w:r>
    </w:p>
    <w:p>
      <w:pPr>
        <w:spacing w:after="0" w:line="252"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On March 26, 2020, Commnet Finance, a wholly owned subsidiary of Commnet Wireless, entered into a receivables credit facility with the Company, Commnet Wireless, and CoBank, ACB (the “Receivables Credit Facility”).</w:t>
      </w:r>
    </w:p>
    <w:p>
      <w:pPr>
        <w:spacing w:after="0" w:line="164"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22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On December 23, 2022, CoBank amended the Receivables Credit Facility and extended the delayed draw period to December 31, 2023.</w:t>
      </w:r>
    </w:p>
    <w:p>
      <w:pPr>
        <w:spacing w:after="0" w:line="197"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maturity date for each loan will be set by CoBank and will match the weighted average maturity of the certain receivables financed.</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on the loans accrue at a fixed annual interest rate to be quoted by CoBank.</w:t>
      </w:r>
    </w:p>
    <w:p>
      <w:pPr>
        <w:spacing w:after="0" w:line="266"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197"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As of September 30, 2023, the Company had $45.3 million outstanding, of which $6.7 million was current, and $18.0 million of availability under the Receivables Credit Facility. The Company capitalized $0.8 million in fees associated with the Receivables Credit Facility which are being amortized over the life of the debt and $0.5 million were unamortized as of September 30, 2023.</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GTT Credit Facilities</w:t>
      </w:r>
    </w:p>
    <w:p>
      <w:pPr>
        <w:spacing w:after="0" w:line="266" w:lineRule="exact"/>
        <w:rPr>
          <w:sz w:val="20"/>
          <w:szCs w:val="20"/>
          <w:color w:val="auto"/>
        </w:rPr>
      </w:pPr>
    </w:p>
    <w:p>
      <w:pPr>
        <w:jc w:val="both"/>
        <w:ind w:left="60" w:right="499" w:firstLine="648"/>
        <w:spacing w:after="0" w:line="263" w:lineRule="auto"/>
        <w:rPr>
          <w:sz w:val="20"/>
          <w:szCs w:val="20"/>
          <w:color w:val="auto"/>
        </w:rPr>
      </w:pPr>
      <w:r>
        <w:rPr>
          <w:rFonts w:ascii="Arial" w:cs="Arial" w:eastAsia="Arial" w:hAnsi="Arial"/>
          <w:sz w:val="18"/>
          <w:szCs w:val="18"/>
          <w:color w:val="auto"/>
        </w:rPr>
        <w:t>On October 12, 2022, GTT received approval from Republic Bank (Guyana) Limited for a $2.9 million term facility and a $5.7 million overdraft facility (the “GTT Credit Facilities”) subject to the approval from the Minister of Finance at the Bank of Guyana that was received on March 31, 2023.</w:t>
      </w:r>
    </w:p>
    <w:p>
      <w:pPr>
        <w:spacing w:after="0" w:line="211"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The GTT Credit Facilities are secured by real estate assets and carry a fixed interest rate of 7.5% which will be reviewed by the bank from time to time and subject to change at the bank’s discretion. The term facility is repayable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over five years in equal monthly installments of principal and interest, commencing one month after funds are advanced.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overdraft facility will expire on October 31, 2024.</w:t>
      </w:r>
    </w:p>
    <w:p>
      <w:pPr>
        <w:spacing w:after="0" w:line="251"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As of September 30, 2023, $3.5 million was outstanding under the overdraft facility and there were no outstanding amounts under the term facility.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Sacred Wind Term Debt</w:t>
      </w:r>
    </w:p>
    <w:p>
      <w:pPr>
        <w:spacing w:after="0" w:line="25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connection with the Sacred Wind acquisition completed on November 7, 2022, the Company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228"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224"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September 30, 2023, the Company was in compliance with that corrective action plan.</w:t>
      </w:r>
    </w:p>
    <w:p>
      <w:pPr>
        <w:spacing w:after="0" w:line="219" w:lineRule="exact"/>
        <w:rPr>
          <w:sz w:val="20"/>
          <w:szCs w:val="20"/>
          <w:color w:val="auto"/>
        </w:rPr>
      </w:pPr>
    </w:p>
    <w:p>
      <w:pPr>
        <w:ind w:left="100" w:right="399" w:firstLine="603"/>
        <w:spacing w:after="0" w:line="277" w:lineRule="auto"/>
        <w:rPr>
          <w:sz w:val="20"/>
          <w:szCs w:val="20"/>
          <w:color w:val="auto"/>
        </w:rPr>
      </w:pPr>
      <w:r>
        <w:rPr>
          <w:rFonts w:ascii="Arial" w:cs="Arial" w:eastAsia="Arial" w:hAnsi="Arial"/>
          <w:sz w:val="18"/>
          <w:szCs w:val="18"/>
          <w:color w:val="auto"/>
        </w:rPr>
        <w:t>As of September 30, 2023, $29.0 million was outstanding under the Sacred Wind Term Debt. Of that amount, $3.2 million was current and $25.8 million was long term.</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mortgage notes carry fixed interest rates ranging from 0.88% to 5.0%.</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Viya Debt</w:t>
      </w:r>
    </w:p>
    <w:p>
      <w:pPr>
        <w:spacing w:after="0" w:line="252"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and certain of its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us.</w:t>
      </w:r>
    </w:p>
    <w:p>
      <w:pPr>
        <w:spacing w:after="0" w:line="219"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224" w:lineRule="exact"/>
        <w:rPr>
          <w:sz w:val="20"/>
          <w:szCs w:val="20"/>
          <w:color w:val="auto"/>
        </w:rPr>
      </w:pPr>
    </w:p>
    <w:p>
      <w:pPr>
        <w:jc w:val="both"/>
        <w:ind w:left="60" w:right="179" w:firstLine="648"/>
        <w:spacing w:after="0" w:line="277" w:lineRule="auto"/>
        <w:rPr>
          <w:sz w:val="20"/>
          <w:szCs w:val="20"/>
          <w:color w:val="auto"/>
        </w:rPr>
      </w:pPr>
      <w:r>
        <w:rPr>
          <w:rFonts w:ascii="Arial" w:cs="Arial" w:eastAsia="Arial" w:hAnsi="Arial"/>
          <w:sz w:val="18"/>
          <w:szCs w:val="18"/>
          <w:color w:val="auto"/>
        </w:rPr>
        <w:t>As of September 30, 2023, $60.0 million of the Viya Debt remained outstanding and $0.3 million of the rate lock fee was unamortized.</w:t>
      </w:r>
    </w:p>
    <w:p>
      <w:pPr>
        <w:spacing w:after="0" w:line="197"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On May 5, 2022, RTFC agreed to amend the Net Leverage Ratio to 7.0 to 1.0 through the maturity date of July 1, 2026. The Ratio is tested annually, and the Company was in compliance with the Net Leverage Ratio as of December 31, 2022.</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One Communications Debt</w:t>
      </w:r>
    </w:p>
    <w:p>
      <w:pPr>
        <w:spacing w:after="0" w:line="266"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Company had an outstanding loan from HSBC Bank Bermuda Limited (the “One Communications Debt”) which matured and was repaid in full on December 22, 2022. This loan bore interest at the one-month LIBOR plus a margin ranging between 2.5% to 2.75% per annum paid quarterly.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Maturity</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summarizes the annual maturities of the Company’s debt instruments (amounts 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Customer</w:t>
            </w:r>
          </w:p>
        </w:tc>
      </w:tr>
      <w:tr>
        <w:trPr>
          <w:trHeight w:val="243"/>
        </w:trPr>
        <w:tc>
          <w:tcPr>
            <w:tcW w:w="4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US</w:t>
            </w:r>
          </w:p>
        </w:tc>
        <w:tc>
          <w:tcPr>
            <w:tcW w:w="1760" w:type="dxa"/>
            <w:vAlign w:val="bottom"/>
            <w:gridSpan w:val="6"/>
          </w:tcPr>
          <w:p>
            <w:pPr>
              <w:spacing w:after="0"/>
              <w:rPr>
                <w:sz w:val="20"/>
                <w:szCs w:val="20"/>
                <w:color w:val="auto"/>
              </w:rPr>
            </w:pPr>
            <w:r>
              <w:rPr>
                <w:rFonts w:ascii="Arial" w:cs="Arial" w:eastAsia="Arial" w:hAnsi="Arial"/>
                <w:sz w:val="14"/>
                <w:szCs w:val="14"/>
                <w:b w:val="1"/>
                <w:bCs w:val="1"/>
                <w:color w:val="auto"/>
                <w:w w:val="96"/>
              </w:rPr>
              <w:t>InternationalCorporate and</w:t>
            </w:r>
          </w:p>
        </w:tc>
        <w:tc>
          <w:tcPr>
            <w:tcW w:w="140" w:type="dxa"/>
            <w:vAlign w:val="bottom"/>
          </w:tcPr>
          <w:p>
            <w:pPr>
              <w:spacing w:after="0"/>
              <w:rPr>
                <w:sz w:val="21"/>
                <w:szCs w:val="21"/>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Receivable</w:t>
            </w:r>
          </w:p>
        </w:tc>
      </w:tr>
      <w:tr>
        <w:trPr>
          <w:trHeight w:val="228"/>
        </w:trPr>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Telecom</w:t>
            </w:r>
          </w:p>
        </w:tc>
        <w:tc>
          <w:tcPr>
            <w:tcW w:w="12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Telecom</w:t>
            </w:r>
          </w:p>
        </w:tc>
        <w:tc>
          <w:tcPr>
            <w:tcW w:w="18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9"/>
                <w:szCs w:val="19"/>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Debt</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Credit Facility</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2023 (excluding the nine months ended September 30,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19,786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6,787</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238,469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306,594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7,393</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126,307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140,335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14,794</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290,362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506,963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45,251</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Discounts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(8,586)</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285,841</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63,210</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149,326</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498,377</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GOVERNMENT SUPPORT AND SPECTRUM MATTERS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Universal Service Fund and Connect America Fund Phase II Programs</w:t>
      </w:r>
    </w:p>
    <w:p>
      <w:pPr>
        <w:spacing w:after="0" w:line="25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recognizes revenue from several government funded programs including the Universal Service Fund (“USF”), a subsidy program managed by the Federal Communications Commission (“FCC”), the Alaska Universal Service Fund (“AUSF”), a similar program managed by the Regulatory Commission of Alaska (the “RCA”), and the Emergency Connectivity Fund (“ECF”), a program to help schools and libraries support remote learning in underserved communities. USF funds are disbursed to telecommunication providers through four programs: the High Cost Program; the Low Income Program (“Lifeline Program”); the Schools and Libraries Program (“E-Rate Program”); and the Rural Health Care Support Program.</w:t>
      </w:r>
    </w:p>
    <w:p>
      <w:pPr>
        <w:spacing w:after="0" w:line="23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 also recognizes revenue from the Connect America Fund Phase II program (“CAF II”) which offers subsidies to carriers to expand broadband coverage in designated areas. Under CAF II, the Company’s US Telecom segment will receive an aggregate of $27.7 million annually through December 2025 and an aggregate of $8.0 million annually from January 2026 through July 2028.</w:t>
      </w:r>
    </w:p>
    <w:p>
      <w:pPr>
        <w:spacing w:after="0" w:line="227"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All of the programs are subject to certain operational and reporting compliance requirements. The Company believes it is in compliance with these requirements as of September 30, 2023. Revenue recognized from the USF and CAF II programs is recognized as revenue from government grants. Revenue from other programs is recognized in accordance with ASC 606.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RDOF (“Rural Digital Opportunities Fund”)</w:t>
      </w:r>
    </w:p>
    <w:p>
      <w:pPr>
        <w:spacing w:after="0" w:line="2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expects to receive approximately $22.7 million over 10 years to provide broadband and voice coverage to over 10,000 households in the United States (not including Alaska) under the 2020 Rural Digital Opportunity Fund Phase I Auction (“RDOF”). Revenue recognized from the RDOF program is recognized as revenue from government grants.</w:t>
      </w:r>
    </w:p>
    <w:p>
      <w:pPr>
        <w:spacing w:after="0" w:line="200" w:lineRule="exact"/>
        <w:rPr>
          <w:sz w:val="20"/>
          <w:szCs w:val="20"/>
          <w:color w:val="auto"/>
        </w:rPr>
      </w:pPr>
    </w:p>
    <w:p>
      <w:pPr>
        <w:spacing w:after="0" w:line="2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recorded the amounts below as communication services revenue for the reported periods: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6"/>
          </w:tcPr>
          <w:p>
            <w:pPr>
              <w:jc w:val="center"/>
              <w:ind w:left="375"/>
              <w:spacing w:after="0"/>
              <w:rPr>
                <w:sz w:val="20"/>
                <w:szCs w:val="20"/>
                <w:color w:val="auto"/>
              </w:rPr>
            </w:pPr>
            <w:r>
              <w:rPr>
                <w:rFonts w:ascii="Arial" w:cs="Arial" w:eastAsia="Arial" w:hAnsi="Arial"/>
                <w:sz w:val="14"/>
                <w:szCs w:val="14"/>
                <w:b w:val="1"/>
                <w:bCs w:val="1"/>
                <w:color w:val="auto"/>
                <w:w w:val="91"/>
              </w:rPr>
              <w:t>Three months ended</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7"/>
          </w:tcPr>
          <w:p>
            <w:pPr>
              <w:jc w:val="center"/>
              <w:ind w:left="374"/>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6"/>
          </w:tcPr>
          <w:p>
            <w:pPr>
              <w:jc w:val="center"/>
              <w:ind w:left="355"/>
              <w:spacing w:after="0"/>
              <w:rPr>
                <w:sz w:val="20"/>
                <w:szCs w:val="20"/>
                <w:color w:val="auto"/>
              </w:rPr>
            </w:pPr>
            <w:r>
              <w:rPr>
                <w:rFonts w:ascii="Arial" w:cs="Arial" w:eastAsia="Arial" w:hAnsi="Arial"/>
                <w:sz w:val="14"/>
                <w:szCs w:val="14"/>
                <w:b w:val="1"/>
                <w:bCs w:val="1"/>
                <w:color w:val="auto"/>
                <w:w w:val="91"/>
              </w:rPr>
              <w:t>September 30, 2023</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7"/>
          </w:tcPr>
          <w:p>
            <w:pPr>
              <w:jc w:val="center"/>
              <w:ind w:left="374"/>
              <w:spacing w:after="0"/>
              <w:rPr>
                <w:sz w:val="20"/>
                <w:szCs w:val="20"/>
                <w:color w:val="auto"/>
              </w:rPr>
            </w:pPr>
            <w:r>
              <w:rPr>
                <w:rFonts w:ascii="Arial" w:cs="Arial" w:eastAsia="Arial" w:hAnsi="Arial"/>
                <w:sz w:val="14"/>
                <w:szCs w:val="14"/>
                <w:b w:val="1"/>
                <w:bCs w:val="1"/>
                <w:color w:val="auto"/>
                <w:w w:val="93"/>
              </w:rPr>
              <w:t>September 30, 2022</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3200" w:type="dxa"/>
            <w:vAlign w:val="bottom"/>
          </w:tcPr>
          <w:p>
            <w:pPr>
              <w:spacing w:after="0"/>
              <w:rPr>
                <w:sz w:val="24"/>
                <w:szCs w:val="24"/>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US Telecom</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International</w:t>
            </w:r>
          </w:p>
        </w:tc>
        <w:tc>
          <w:tcPr>
            <w:tcW w:w="160" w:type="dxa"/>
            <w:vAlign w:val="bottom"/>
          </w:tcPr>
          <w:p>
            <w:pPr>
              <w:spacing w:after="0"/>
              <w:rPr>
                <w:sz w:val="24"/>
                <w:szCs w:val="2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US Telecom</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International</w:t>
            </w:r>
          </w:p>
        </w:tc>
        <w:tc>
          <w:tcPr>
            <w:tcW w:w="180" w:type="dxa"/>
            <w:vAlign w:val="bottom"/>
          </w:tcPr>
          <w:p>
            <w:pPr>
              <w:spacing w:after="0"/>
              <w:rPr>
                <w:sz w:val="24"/>
                <w:szCs w:val="24"/>
                <w:color w:val="auto"/>
              </w:rPr>
            </w:pPr>
          </w:p>
        </w:tc>
        <w:tc>
          <w:tcPr>
            <w:tcW w:w="6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32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Telecom</w:t>
            </w: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Telecom</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CAF II</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6,815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6,822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RDOF</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Other Programs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14,822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8,795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8,795</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25,930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6"/>
          </w:tcPr>
          <w:p>
            <w:pPr>
              <w:jc w:val="center"/>
              <w:ind w:left="375"/>
              <w:spacing w:after="0"/>
              <w:rPr>
                <w:sz w:val="20"/>
                <w:szCs w:val="20"/>
                <w:color w:val="auto"/>
              </w:rPr>
            </w:pPr>
            <w:r>
              <w:rPr>
                <w:rFonts w:ascii="Arial" w:cs="Arial" w:eastAsia="Arial" w:hAnsi="Arial"/>
                <w:sz w:val="14"/>
                <w:szCs w:val="14"/>
                <w:b w:val="1"/>
                <w:bCs w:val="1"/>
                <w:color w:val="auto"/>
                <w:w w:val="90"/>
              </w:rPr>
              <w:t>Nine months ended</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gridSpan w:val="6"/>
          </w:tcPr>
          <w:p>
            <w:pPr>
              <w:jc w:val="center"/>
              <w:ind w:right="87"/>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6"/>
          </w:tcPr>
          <w:p>
            <w:pPr>
              <w:jc w:val="center"/>
              <w:ind w:left="355"/>
              <w:spacing w:after="0"/>
              <w:rPr>
                <w:sz w:val="20"/>
                <w:szCs w:val="20"/>
                <w:color w:val="auto"/>
              </w:rPr>
            </w:pPr>
            <w:r>
              <w:rPr>
                <w:rFonts w:ascii="Arial" w:cs="Arial" w:eastAsia="Arial" w:hAnsi="Arial"/>
                <w:sz w:val="14"/>
                <w:szCs w:val="14"/>
                <w:b w:val="1"/>
                <w:bCs w:val="1"/>
                <w:color w:val="auto"/>
                <w:w w:val="91"/>
              </w:rPr>
              <w:t>September 30, 2023</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7"/>
          </w:tcPr>
          <w:p>
            <w:pPr>
              <w:jc w:val="center"/>
              <w:ind w:left="374"/>
              <w:spacing w:after="0"/>
              <w:rPr>
                <w:sz w:val="20"/>
                <w:szCs w:val="20"/>
                <w:color w:val="auto"/>
              </w:rPr>
            </w:pPr>
            <w:r>
              <w:rPr>
                <w:rFonts w:ascii="Arial" w:cs="Arial" w:eastAsia="Arial" w:hAnsi="Arial"/>
                <w:sz w:val="14"/>
                <w:szCs w:val="14"/>
                <w:b w:val="1"/>
                <w:bCs w:val="1"/>
                <w:color w:val="auto"/>
                <w:w w:val="93"/>
              </w:rPr>
              <w:t>September 30, 2022</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3200" w:type="dxa"/>
            <w:vAlign w:val="bottom"/>
          </w:tcPr>
          <w:p>
            <w:pPr>
              <w:spacing w:after="0"/>
              <w:rPr>
                <w:sz w:val="24"/>
                <w:szCs w:val="24"/>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US Telecom</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International</w:t>
            </w:r>
          </w:p>
        </w:tc>
        <w:tc>
          <w:tcPr>
            <w:tcW w:w="160" w:type="dxa"/>
            <w:vAlign w:val="bottom"/>
          </w:tcPr>
          <w:p>
            <w:pPr>
              <w:spacing w:after="0"/>
              <w:rPr>
                <w:sz w:val="24"/>
                <w:szCs w:val="2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US Telecom</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International</w:t>
            </w:r>
          </w:p>
        </w:tc>
        <w:tc>
          <w:tcPr>
            <w:tcW w:w="180" w:type="dxa"/>
            <w:vAlign w:val="bottom"/>
          </w:tcPr>
          <w:p>
            <w:pPr>
              <w:spacing w:after="0"/>
              <w:rPr>
                <w:sz w:val="24"/>
                <w:szCs w:val="24"/>
                <w:color w:val="auto"/>
              </w:rPr>
            </w:pPr>
          </w:p>
        </w:tc>
        <w:tc>
          <w:tcPr>
            <w:tcW w:w="6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32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Telecom</w:t>
            </w: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Telecom</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11,196</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CAF II</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20,445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20,445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20,466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20,466</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RDOF</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Programs</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44,859</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74,118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78,324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2018, the FCC initiated a proceeding to replace the High Cost Program support received by Viya in the US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Virgin Islands with a new Connect USVI Fund. On November 16, 2020, the FCC announced that Viya was not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recipient of the Connect USVI Fund award and authorized funding to be issued to the new awardee in June 2021. Pursuant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the terms of the program and effective in July 2021, Viya’s annual USF support was reduced from $16.4 million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$10.9 million. In July 2022, this support was reduced to $5.5 million for the annual period through June 2023. In April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2023, the FCC issued an order extending the high cost support in the US Virgin Islands at the current $5.5 million per year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received from July 2023 through December 31, 2025. In connection with this order, the FCC requires that the Company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maintain its current footprint for voice and broadband services in the US Virgin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Construction Grants</w:t>
      </w:r>
    </w:p>
    <w:p>
      <w:pPr>
        <w:spacing w:after="0" w:line="2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 has also been awarded construction grants to build network connectivity for eligible communities. The funding of these grants, used to reimburse the Company for its construction costs, is distributed upon completion of a project. Completion deadlines begin in September 2023 and once these projects are constructed, the Company is obligated to provide service to the participants. The Company expects to meet all requirements associated with these grants, with the exception of grants the Company has transferred to third parties, as described below. A roll forward of the Company’s grant awards is below (in thousands).</w:t>
      </w:r>
    </w:p>
    <w:p>
      <w:pPr>
        <w:spacing w:after="0" w:line="264"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b w:val="1"/>
                <w:bCs w:val="1"/>
                <w:color w:val="auto"/>
              </w:rPr>
              <w:t>Amount</w:t>
            </w:r>
          </w:p>
        </w:tc>
      </w:tr>
      <w:tr>
        <w:trPr>
          <w:trHeight w:val="39"/>
        </w:trPr>
        <w:tc>
          <w:tcPr>
            <w:tcW w:w="20" w:type="dxa"/>
            <w:vAlign w:val="bottom"/>
          </w:tcPr>
          <w:p>
            <w:pPr>
              <w:spacing w:after="0"/>
              <w:rPr>
                <w:sz w:val="3"/>
                <w:szCs w:val="3"/>
                <w:color w:val="auto"/>
              </w:rPr>
            </w:pPr>
          </w:p>
        </w:tc>
        <w:tc>
          <w:tcPr>
            <w:tcW w:w="35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Grants awarded,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80,197</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New grants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34,821</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complete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Transferred grants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w:t>
            </w: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Grants awarded,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101,024</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During the nine months ended September 30, 2023, the Company disbursed capital expenditures of $12.4 million under these programs and received reimbursement of $14.6 million. These cash flows are classified as investing activities in the Company’s statement of cash flows.</w:t>
      </w:r>
    </w:p>
    <w:p>
      <w:pPr>
        <w:spacing w:after="0" w:line="224"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In addition, the Company partners with tribal governments to obtain grants under various government programs including the Tribal Broadband Connectivity Program ("TBCP") and the Rural Development Broadband ReConnect Program (“ReConnect”). The TBCP and ReConnect programs are administered by United States government agencies to deploy broadband connectivity in certain underserved areas. The Company was identified as a sub recipient of grants under these programs totaling $188.6 million as of September 30, 2023, but has not yet received any funding as of September 30, 2023.</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Replace and Remove Program</w:t>
      </w:r>
    </w:p>
    <w:p>
      <w:pPr>
        <w:spacing w:after="0" w:line="252"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On July 15, 2022, the Company was notified that it was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the Company was allocated up to approximately $207 million in reimbursement amounts to cover documented and approved costs to remove and securely destroy all ZTE communications equipment and services in its U.S. networks and replace such equipment. The Replace and Remove Program requires that the Company complete the project no later than one year from submitting its initial reimbursement request, or July 2024. At this time, the Company anticipates that it will be able to meet the deadlines and requirements of the program. During the nine months ended September 30, 2023 and 2022, the Company incurred capital expenditures related to this project of $27.1 million and $1.6 million, respectively. At September 30, 2023, $25.3 million was accrued. The Company has a receivable of $36.6 million, including operation costs and capital expenditures, at September 30, 2023, which is expected to be reimbursed within the next twelve months. For the nine months ended September 30, 2023 the Company received $2.6 million of reimbursement under the program, of which $1.1 million was classified as operating cash inflows and $1.5 million was classified as investing cash inflows in the Company’s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1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RETIREMENT PLANS</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Multi-employer Defined Benefit Plan</w:t>
      </w:r>
    </w:p>
    <w:p>
      <w:pPr>
        <w:spacing w:after="0" w:line="266" w:lineRule="exact"/>
        <w:rPr>
          <w:sz w:val="20"/>
          <w:szCs w:val="20"/>
          <w:color w:val="auto"/>
        </w:rPr>
      </w:pPr>
    </w:p>
    <w:p>
      <w:pPr>
        <w:ind w:left="100" w:right="220" w:firstLine="648"/>
        <w:spacing w:after="0" w:line="287" w:lineRule="auto"/>
        <w:rPr>
          <w:sz w:val="20"/>
          <w:szCs w:val="20"/>
          <w:color w:val="auto"/>
        </w:rPr>
      </w:pPr>
      <w:r>
        <w:rPr>
          <w:rFonts w:ascii="Arial" w:cs="Arial" w:eastAsia="Arial" w:hAnsi="Arial"/>
          <w:sz w:val="16"/>
          <w:szCs w:val="16"/>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 and plan assets</w:t>
      </w:r>
    </w:p>
    <w:p>
      <w:pPr>
        <w:spacing w:after="0" w:line="2" w:lineRule="exact"/>
        <w:rPr>
          <w:sz w:val="20"/>
          <w:szCs w:val="20"/>
          <w:color w:val="auto"/>
        </w:rPr>
      </w:pPr>
    </w:p>
    <w:p>
      <w:pPr>
        <w:ind w:left="100" w:right="100"/>
        <w:spacing w:after="0" w:line="260" w:lineRule="auto"/>
        <w:rPr>
          <w:sz w:val="20"/>
          <w:szCs w:val="20"/>
          <w:color w:val="auto"/>
        </w:rPr>
      </w:pPr>
      <w:r>
        <w:rPr>
          <w:rFonts w:ascii="Arial" w:cs="Arial" w:eastAsia="Arial" w:hAnsi="Arial"/>
          <w:sz w:val="18"/>
          <w:szCs w:val="18"/>
          <w:color w:val="auto"/>
        </w:rPr>
        <w:t>are not determined for, or allocated separately to, the individual employer. This plan was not in endangered or critical status during the plan year.</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Defined Benefit Plan</w:t>
      </w:r>
    </w:p>
    <w:p>
      <w:pPr>
        <w:spacing w:after="0" w:line="266" w:lineRule="exact"/>
        <w:rPr>
          <w:sz w:val="20"/>
          <w:szCs w:val="20"/>
          <w:color w:val="auto"/>
        </w:rPr>
      </w:pPr>
    </w:p>
    <w:p>
      <w:pPr>
        <w:jc w:val="both"/>
        <w:ind w:left="100" w:right="280" w:firstLine="648"/>
        <w:spacing w:after="0" w:line="263" w:lineRule="auto"/>
        <w:rPr>
          <w:sz w:val="20"/>
          <w:szCs w:val="20"/>
          <w:color w:val="auto"/>
        </w:rPr>
      </w:pPr>
      <w:r>
        <w:rPr>
          <w:rFonts w:ascii="Arial" w:cs="Arial" w:eastAsia="Arial" w:hAnsi="Arial"/>
          <w:sz w:val="18"/>
          <w:szCs w:val="18"/>
          <w:color w:val="auto"/>
        </w:rPr>
        <w:t>The Company has noncontributory defined benefit pension and noncontributory defined medical, dental, vision, and life benefit plans for eligible employees who meet certain eligibility criteria. The majority of benefits under the plans are frozen and the plans no longer allow new participants to join.</w:t>
      </w:r>
    </w:p>
    <w:p>
      <w:pPr>
        <w:spacing w:after="0" w:line="2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Company recorded the net periodic benefit cost identified below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4"/>
              </w:rPr>
              <w:t>Three months ended</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w w:val="97"/>
              </w:rPr>
              <w:t>September 30, 2023</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4"/>
                <w:szCs w:val="14"/>
                <w:b w:val="1"/>
                <w:bCs w:val="1"/>
                <w:color w:val="auto"/>
                <w:w w:val="96"/>
              </w:rPr>
              <w:t>September 30, 2022</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1"/>
              </w:rPr>
              <w:t>September 30, 2022</w:t>
            </w:r>
          </w:p>
        </w:tc>
        <w:tc>
          <w:tcPr>
            <w:tcW w:w="0" w:type="dxa"/>
            <w:vAlign w:val="bottom"/>
          </w:tcPr>
          <w:p>
            <w:pPr>
              <w:spacing w:after="0"/>
              <w:rPr>
                <w:sz w:val="1"/>
                <w:szCs w:val="1"/>
                <w:color w:val="auto"/>
              </w:rPr>
            </w:pPr>
          </w:p>
        </w:tc>
      </w:tr>
      <w:tr>
        <w:trPr>
          <w:trHeight w:val="119"/>
        </w:trPr>
        <w:tc>
          <w:tcPr>
            <w:tcW w:w="1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4"/>
              </w:rPr>
              <w:t>Pension</w:t>
            </w:r>
          </w:p>
        </w:tc>
        <w:tc>
          <w:tcPr>
            <w:tcW w:w="14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Postretirement</w:t>
            </w:r>
          </w:p>
        </w:tc>
        <w:tc>
          <w:tcPr>
            <w:tcW w:w="160" w:type="dxa"/>
            <w:vAlign w:val="bottom"/>
          </w:tcPr>
          <w:p>
            <w:pPr>
              <w:spacing w:after="0"/>
              <w:rPr>
                <w:sz w:val="10"/>
                <w:szCs w:val="10"/>
                <w:color w:val="auto"/>
              </w:rPr>
            </w:pPr>
          </w:p>
        </w:tc>
        <w:tc>
          <w:tcPr>
            <w:tcW w:w="5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Pension</w:t>
            </w:r>
          </w:p>
        </w:tc>
        <w:tc>
          <w:tcPr>
            <w:tcW w:w="4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Postretirement</w:t>
            </w:r>
          </w:p>
        </w:tc>
        <w:tc>
          <w:tcPr>
            <w:tcW w:w="100" w:type="dxa"/>
            <w:vAlign w:val="bottom"/>
          </w:tcPr>
          <w:p>
            <w:pPr>
              <w:spacing w:after="0"/>
              <w:rPr>
                <w:sz w:val="10"/>
                <w:szCs w:val="10"/>
                <w:color w:val="auto"/>
              </w:rPr>
            </w:pPr>
          </w:p>
        </w:tc>
        <w:tc>
          <w:tcPr>
            <w:tcW w:w="60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w w:val="94"/>
              </w:rPr>
              <w:t>Pension</w:t>
            </w:r>
          </w:p>
        </w:tc>
        <w:tc>
          <w:tcPr>
            <w:tcW w:w="12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Postretirement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w w:val="90"/>
              </w:rPr>
              <w:t>Pension</w:t>
            </w:r>
          </w:p>
        </w:tc>
        <w:tc>
          <w:tcPr>
            <w:tcW w:w="12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Postretirement</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benefits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benefits</w:t>
            </w:r>
          </w:p>
        </w:tc>
        <w:tc>
          <w:tcPr>
            <w:tcW w:w="1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benefits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benefits</w:t>
            </w:r>
          </w:p>
        </w:tc>
        <w:tc>
          <w:tcPr>
            <w:tcW w:w="10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benefits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benefits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85"/>
              </w:rPr>
              <w:t>benefits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23"/>
        </w:trPr>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1"/>
                <w:szCs w:val="21"/>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19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Expected return on plan</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periodic pension</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(322)</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(303)</w:t>
            </w:r>
          </w:p>
        </w:tc>
        <w:tc>
          <w:tcPr>
            <w:tcW w:w="6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8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7"/>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expense (benefit)</w:t>
            </w:r>
          </w:p>
        </w:tc>
        <w:tc>
          <w:tcPr>
            <w:tcW w:w="240" w:type="dxa"/>
            <w:vAlign w:val="bottom"/>
            <w:gridSpan w:val="2"/>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00" w:right="100" w:firstLine="648"/>
        <w:spacing w:after="0" w:line="259" w:lineRule="auto"/>
        <w:rPr>
          <w:sz w:val="20"/>
          <w:szCs w:val="20"/>
          <w:color w:val="auto"/>
        </w:rPr>
      </w:pPr>
      <w:r>
        <w:rPr>
          <w:rFonts w:ascii="Arial" w:cs="Arial" w:eastAsia="Arial" w:hAnsi="Arial"/>
          <w:sz w:val="18"/>
          <w:szCs w:val="18"/>
          <w:color w:val="auto"/>
        </w:rPr>
        <w:t>The Company was not required to make contributions to its pension plans during the nine months ended September 30, 2023 and 2022. However, the Company periodically evaluates whether to make discretionary contributions. The Company funds its postretirement benefit plans as claims are made and did not make contributions to its pension plans during the nine months ended September 30, 2023 and 2022.</w:t>
      </w: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11. INCOME TAXES</w:t>
      </w:r>
    </w:p>
    <w:p>
      <w:pPr>
        <w:spacing w:after="0" w:line="270" w:lineRule="exact"/>
        <w:rPr>
          <w:sz w:val="20"/>
          <w:szCs w:val="20"/>
          <w:color w:val="auto"/>
        </w:rPr>
      </w:pPr>
    </w:p>
    <w:p>
      <w:pPr>
        <w:ind w:left="100" w:right="660" w:firstLine="648"/>
        <w:spacing w:after="0" w:line="277" w:lineRule="auto"/>
        <w:rPr>
          <w:sz w:val="20"/>
          <w:szCs w:val="20"/>
          <w:color w:val="auto"/>
        </w:rPr>
      </w:pPr>
      <w:r>
        <w:rPr>
          <w:rFonts w:ascii="Arial" w:cs="Arial" w:eastAsia="Arial" w:hAnsi="Arial"/>
          <w:sz w:val="18"/>
          <w:szCs w:val="18"/>
          <w:color w:val="auto"/>
        </w:rPr>
        <w:t>The Company’s effective tax rate for the three months ended September 30, 2023 and 2022 was 12.7% and 16.9%, respectively.</w:t>
      </w:r>
    </w:p>
    <w:p>
      <w:pPr>
        <w:spacing w:after="0" w:line="197" w:lineRule="exact"/>
        <w:rPr>
          <w:sz w:val="20"/>
          <w:szCs w:val="20"/>
          <w:color w:val="auto"/>
        </w:rPr>
      </w:pPr>
    </w:p>
    <w:p>
      <w:pPr>
        <w:ind w:left="100" w:right="240" w:firstLine="648"/>
        <w:spacing w:after="0" w:line="255" w:lineRule="auto"/>
        <w:rPr>
          <w:sz w:val="20"/>
          <w:szCs w:val="20"/>
          <w:color w:val="auto"/>
        </w:rPr>
      </w:pPr>
      <w:r>
        <w:rPr>
          <w:rFonts w:ascii="Arial" w:cs="Arial" w:eastAsia="Arial" w:hAnsi="Arial"/>
          <w:sz w:val="18"/>
          <w:szCs w:val="18"/>
          <w:color w:val="auto"/>
        </w:rPr>
        <w:t>The Company recorded an income tax benefit of $0.5 million in relation to a pretax loss of $4.3 million for the three months ended September 30, 2023. The effective tax rate for the three months ended September 30, 2023 was primarily impacted by the following items (i) the mix of income generated among the jurisdictions in which the Company operates, (ii) net expense related to valuation allowances placed on certain deferred tax assets that are not expected to be realizable based on the weight of positive and negative evidence and (iii) discrete items including $0.7 million of expense for interest on unrecognized tax positions.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The Company recorded an income tax benefit of $0.4 million in relation to a pretax loss of $2.1 million for the three months ended September 30, 2022. The effective tax rate for the three months ended September 30, 2022 was primarily impacted by the following items (i) the mix of income generated among the jurisdictions in which the Company operates and (ii) discrete items including $0.9 million of expense for interest on unrecognized tax positions.</w:t>
      </w:r>
    </w:p>
    <w:p>
      <w:pPr>
        <w:spacing w:after="0" w:line="198"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Company’s effective tax rate for the nine months ended September 30, 2023 and 2022 was 35.8% and 21.5%, respectively.</w:t>
      </w:r>
    </w:p>
    <w:p>
      <w:pPr>
        <w:spacing w:after="0" w:line="211"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7"/>
          <w:szCs w:val="17"/>
          <w:color w:val="auto"/>
        </w:rPr>
        <w:t>The Company recorded an income tax benefit of $6.4 million in relation to a pretax loss of $17.8 million for the nine months ended September 30, 2023. The effective tax rate for the nine months ended September 30, 2023 was primarily impacted by the following items (i) the mix of income generated among the jurisdictions in which the Company operates, (ii) net expense related to valuation allowances placed on certain deferred tax assets that are not expected to be realizable based on the weight of positive and negative evidence and (iii) discrete items including a $4.0 million benefit from the reversal of an unrecognized tax position due to a statute of limitations expiration, and $2.0 million expense for interest on unrecognized tax positions.</w:t>
      </w:r>
    </w:p>
    <w:p>
      <w:pPr>
        <w:spacing w:after="0" w:line="20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Company recorded an income tax benefit of $1.4 million in relation to a pretax loss of $6.4 million for the nine months ended September 30, 2022. The effective tax rate for the nine months ended September 30, 2022 was primarily impacted by the following items (i) the mix of income generated among the jurisdictions in which the Company operates, (ii) a $2.1 million net expense recognized discretely to record a valuation allowance on certain deferred tax assets that are not expected to be realizable based on the weight of positive and negative evidence and(iii) discrete items including a $3.3 million benefit from the reversal of an unrecognized tax position due to a statute of limitations expiration, and a $1.7 million expense for interest on unrecognized tax positions.</w:t>
      </w:r>
    </w:p>
    <w:p>
      <w:pPr>
        <w:spacing w:after="0" w:line="218"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applications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EARNINGS PER SHARE AND REDEEMABLE NONCONTROLLING INTERESTS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66" w:lineRule="exact"/>
        <w:rPr>
          <w:sz w:val="20"/>
          <w:szCs w:val="20"/>
          <w:color w:val="auto"/>
        </w:rPr>
      </w:pPr>
    </w:p>
    <w:p>
      <w:pPr>
        <w:ind w:left="60" w:right="239" w:firstLine="648"/>
        <w:spacing w:after="0" w:line="258" w:lineRule="auto"/>
        <w:rPr>
          <w:sz w:val="20"/>
          <w:szCs w:val="20"/>
          <w:color w:val="auto"/>
        </w:rPr>
      </w:pPr>
      <w:r>
        <w:rPr>
          <w:rFonts w:ascii="Arial" w:cs="Arial" w:eastAsia="Arial" w:hAnsi="Arial"/>
          <w:sz w:val="18"/>
          <w:szCs w:val="18"/>
          <w:color w:val="auto"/>
        </w:rPr>
        <w:t>The following table reconciles the numerator and denominator in the computations of basic and diluted earnings per share (in thousands):</w:t>
      </w:r>
    </w:p>
    <w:tbl>
      <w:tblPr>
        <w:tblLayout w:type="fixed"/>
        <w:tblInd w:w="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jc w:val="right"/>
              <w:ind w:right="253"/>
              <w:spacing w:after="0" w:line="141"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21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4"/>
            <w:vMerge w:val="restart"/>
          </w:tcPr>
          <w:p>
            <w:pPr>
              <w:jc w:val="right"/>
              <w:ind w:right="45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w w:val="94"/>
              </w:rPr>
              <w:t>Net loss attributable to ATN International, Inc. stockholders-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(8,702)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dividends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00" w:type="dxa"/>
            <w:vAlign w:val="bottom"/>
          </w:tcPr>
          <w:p>
            <w:pPr>
              <w:spacing w:after="0" w:line="182" w:lineRule="exact"/>
              <w:rPr>
                <w:sz w:val="20"/>
                <w:szCs w:val="20"/>
                <w:color w:val="auto"/>
              </w:rPr>
            </w:pPr>
            <w:r>
              <w:rPr>
                <w:rFonts w:ascii="Arial" w:cs="Arial" w:eastAsia="Arial" w:hAnsi="Arial"/>
                <w:sz w:val="18"/>
                <w:szCs w:val="18"/>
                <w:color w:val="auto"/>
              </w:rPr>
              <w:t>Net Loss attributable to ATN International, Inc. common</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(4,887)</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(3,975)</w:t>
            </w:r>
          </w:p>
        </w:tc>
        <w:tc>
          <w:tcPr>
            <w:tcW w:w="38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(12,295)</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rPr>
                <w:sz w:val="20"/>
                <w:szCs w:val="20"/>
                <w:color w:val="auto"/>
              </w:rPr>
            </w:pPr>
            <w:r>
              <w:rPr>
                <w:rFonts w:ascii="Arial" w:cs="Arial" w:eastAsia="Arial" w:hAnsi="Arial"/>
                <w:sz w:val="18"/>
                <w:szCs w:val="18"/>
                <w:color w:val="auto"/>
              </w:rPr>
              <w:t>stockholders- Diluted</w:t>
            </w:r>
          </w:p>
        </w:tc>
        <w:tc>
          <w:tcPr>
            <w:tcW w:w="34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Weighted-average shares outstanding- Diluted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15,601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15,763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15,666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15,746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66"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In connection with certain acquisitions, the Company accounts for third-party non-controlling minority investments as redeemable noncontrolling interests, which consist of both redeemable common and, in some instances, preferred units, in its consolidated financial statements.</w:t>
      </w:r>
    </w:p>
    <w:p>
      <w:pPr>
        <w:spacing w:after="0" w:line="224"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The common units contain put options allowing the holder to sell at a future date, the common units to a subsidiary of the Company at the then fair market value. The common units participate in the earnings and losses of the subsidiaries and are allocated their applicable share of earnings and losses. After the allocation of earnings and losses, the Company estimates the fair value of the common units and adjusts the book value of the common units to that estimated fair value.</w:t>
      </w:r>
    </w:p>
    <w:p>
      <w:pPr>
        <w:spacing w:after="0" w:line="21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preferred units contain put options allowing the holder to sell at a future date, the preferred units to a subsidiary of the Company at a fixed price equal to face value of the units plus unpaid dividends. The preferred units hold a distribution preference over common units and carry a fixed dividend rate.</w:t>
      </w:r>
    </w:p>
    <w:p>
      <w:pPr>
        <w:spacing w:after="0" w:line="224"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The put options for both the common and preferred units, if any, are nonrecourse to the Company and exercisable at the earlier of a future initial public offering of the subsidiary or certain dates beginning in 2026.</w:t>
      </w:r>
    </w:p>
    <w:p>
      <w:pPr>
        <w:spacing w:after="0" w:line="211"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For the three months ended September 30, 2023 and 2022, the Company allocated losses of $1.6 million and $1.1 million, respectively, to the redeemable common units representing their proportionate share of operating losses. For the nine months ended September 30, 2023 and 2022, the Company allocated losses of $7.8 million and $2.8 million, respectively, to the redeemable common units representing their proportionate share of operating losses. The Company then compared the book value of the common units to the fair value and the fair value exceeded the book value. As a result, the book value was increased by $7.5 million and $2.8 million during the nine months ended September 30, 2023 and 2022,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following table provides a roll forward of the activity related to the Company’s redeemable noncontrolling interests for the nine months ended September 30, 2023 and 2022:</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24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88"/>
              </w:rPr>
              <w:t>Redeemable</w:t>
            </w:r>
          </w:p>
        </w:tc>
        <w:tc>
          <w:tcPr>
            <w:tcW w:w="120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88"/>
              </w:rPr>
              <w:t>Redeemable</w:t>
            </w: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8"/>
              </w:rPr>
              <w:t>Redeemable</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Preferred</w:t>
            </w:r>
          </w:p>
        </w:tc>
        <w:tc>
          <w:tcPr>
            <w:tcW w:w="120" w:type="dxa"/>
            <w:vAlign w:val="bottom"/>
          </w:tcPr>
          <w:p>
            <w:pPr>
              <w:spacing w:after="0"/>
              <w:rPr>
                <w:sz w:val="9"/>
                <w:szCs w:val="9"/>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9"/>
              </w:rPr>
              <w:t>Noncontrolling</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Units</w:t>
            </w:r>
          </w:p>
        </w:tc>
        <w:tc>
          <w:tcPr>
            <w:tcW w:w="120" w:type="dxa"/>
            <w:vAlign w:val="bottom"/>
          </w:tcPr>
          <w:p>
            <w:pPr>
              <w:spacing w:after="0"/>
              <w:rPr>
                <w:sz w:val="9"/>
                <w:szCs w:val="9"/>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Units</w:t>
            </w: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0" w:type="dxa"/>
            <w:vAlign w:val="bottom"/>
          </w:tcPr>
          <w:p>
            <w:pPr>
              <w:spacing w:after="0"/>
              <w:rPr>
                <w:sz w:val="1"/>
                <w:szCs w:val="1"/>
                <w:color w:val="auto"/>
              </w:rPr>
            </w:pPr>
          </w:p>
        </w:tc>
      </w:tr>
      <w:tr>
        <w:trPr>
          <w:trHeight w:val="108"/>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Balance, December 31, 2022</w:t>
            </w: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55,152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37,317</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92,469</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preferred dividend</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Allocated net loss</w:t>
            </w:r>
          </w:p>
        </w:tc>
        <w:tc>
          <w:tcPr>
            <w:tcW w:w="1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37,026</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95,787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5280" w:type="dxa"/>
            <w:vAlign w:val="bottom"/>
          </w:tcPr>
          <w:p>
            <w:pPr>
              <w:spacing w:after="0"/>
              <w:rPr>
                <w:sz w:val="24"/>
                <w:szCs w:val="24"/>
                <w:color w:val="auto"/>
              </w:rPr>
            </w:pPr>
          </w:p>
        </w:tc>
        <w:tc>
          <w:tcPr>
            <w:tcW w:w="124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88"/>
              </w:rPr>
              <w:t>Redeemable</w:t>
            </w:r>
          </w:p>
        </w:tc>
        <w:tc>
          <w:tcPr>
            <w:tcW w:w="120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88"/>
              </w:rPr>
              <w:t>Redeemable</w:t>
            </w:r>
          </w:p>
        </w:tc>
        <w:tc>
          <w:tcPr>
            <w:tcW w:w="100" w:type="dxa"/>
            <w:vAlign w:val="bottom"/>
          </w:tcPr>
          <w:p>
            <w:pPr>
              <w:spacing w:after="0"/>
              <w:rPr>
                <w:sz w:val="24"/>
                <w:szCs w:val="24"/>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8"/>
              </w:rPr>
              <w:t>Redeemable</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Preferred</w:t>
            </w:r>
          </w:p>
        </w:tc>
        <w:tc>
          <w:tcPr>
            <w:tcW w:w="120" w:type="dxa"/>
            <w:vAlign w:val="bottom"/>
          </w:tcPr>
          <w:p>
            <w:pPr>
              <w:spacing w:after="0"/>
              <w:rPr>
                <w:sz w:val="9"/>
                <w:szCs w:val="9"/>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9"/>
              </w:rPr>
              <w:t>Noncontrolling</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Units</w:t>
            </w:r>
          </w:p>
        </w:tc>
        <w:tc>
          <w:tcPr>
            <w:tcW w:w="120" w:type="dxa"/>
            <w:vAlign w:val="bottom"/>
          </w:tcPr>
          <w:p>
            <w:pPr>
              <w:spacing w:after="0"/>
              <w:rPr>
                <w:sz w:val="9"/>
                <w:szCs w:val="9"/>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Units</w:t>
            </w: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0" w:type="dxa"/>
            <w:vAlign w:val="bottom"/>
          </w:tcPr>
          <w:p>
            <w:pPr>
              <w:spacing w:after="0"/>
              <w:rPr>
                <w:sz w:val="1"/>
                <w:szCs w:val="1"/>
                <w:color w:val="auto"/>
              </w:rPr>
            </w:pPr>
          </w:p>
        </w:tc>
      </w:tr>
      <w:tr>
        <w:trPr>
          <w:trHeight w:val="108"/>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Balance, December 31, 2021</w:t>
            </w: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50,296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22,640</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72,936</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preferred dividend</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Allocated net loss</w:t>
            </w:r>
          </w:p>
        </w:tc>
        <w:tc>
          <w:tcPr>
            <w:tcW w:w="1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color w:val="auto"/>
              </w:rPr>
              <w:t>Balance, September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53,758</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76,398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SEGMENT REPORTING</w:t>
      </w:r>
    </w:p>
    <w:p>
      <w:pPr>
        <w:spacing w:after="0" w:line="270"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The Company has the following two reportable and operating segments: i) International Telecom and ii) US Telecom.</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provide information for each operating segment (in thousands):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6"/>
                <w:szCs w:val="16"/>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US</w:t>
            </w:r>
          </w:p>
        </w:tc>
        <w:tc>
          <w:tcPr>
            <w:tcW w:w="10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8"/>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Telecom</w:t>
            </w:r>
          </w:p>
        </w:tc>
        <w:tc>
          <w:tcPr>
            <w:tcW w:w="220" w:type="dxa"/>
            <w:vAlign w:val="bottom"/>
          </w:tcPr>
          <w:p>
            <w:pPr>
              <w:spacing w:after="0"/>
              <w:rPr>
                <w:sz w:val="16"/>
                <w:szCs w:val="16"/>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Telecom</w:t>
            </w:r>
          </w:p>
        </w:tc>
        <w:tc>
          <w:tcPr>
            <w:tcW w:w="10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b w:val="1"/>
                <w:bCs w:val="1"/>
                <w:color w:val="auto"/>
                <w:w w:val="87"/>
              </w:rPr>
              <w:t>Consolidated</w:t>
            </w: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24,790</w:t>
            </w: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28,736</w:t>
            </w:r>
          </w:p>
        </w:tc>
      </w:tr>
      <w:tr>
        <w:trPr>
          <w:trHeight w:val="209"/>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53,696</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64,629</w:t>
            </w:r>
          </w:p>
        </w:tc>
      </w:tr>
      <w:tr>
        <w:trPr>
          <w:trHeight w:val="210"/>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59,983</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58,342</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118,325</w:t>
            </w:r>
          </w:p>
        </w:tc>
      </w:tr>
      <w:tr>
        <w:trPr>
          <w:trHeight w:val="20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35,760</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182"/>
        </w:trPr>
        <w:tc>
          <w:tcPr>
            <w:tcW w:w="3500" w:type="dxa"/>
            <w:vAlign w:val="bottom"/>
            <w:tcBorders>
              <w:top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Total Communication Services</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184,601</w:t>
            </w:r>
          </w:p>
        </w:tc>
      </w:tr>
      <w:tr>
        <w:trPr>
          <w:trHeight w:val="21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4,397</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93,878</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97,158</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191,036</w:t>
            </w:r>
          </w:p>
        </w:tc>
      </w:tr>
      <w:tr>
        <w:trPr>
          <w:trHeight w:val="196"/>
        </w:trPr>
        <w:tc>
          <w:tcPr>
            <w:tcW w:w="3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14,354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19,398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34,370</w:t>
            </w:r>
          </w:p>
        </w:tc>
      </w:tr>
      <w:tr>
        <w:trPr>
          <w:trHeight w:val="202"/>
        </w:trPr>
        <w:tc>
          <w:tcPr>
            <w:tcW w:w="350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intangibles from</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3,124</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stock-based compensation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(8,981)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6"/>
                <w:szCs w:val="16"/>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US</w:t>
            </w:r>
          </w:p>
        </w:tc>
        <w:tc>
          <w:tcPr>
            <w:tcW w:w="10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8"/>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Telecom</w:t>
            </w:r>
          </w:p>
        </w:tc>
        <w:tc>
          <w:tcPr>
            <w:tcW w:w="220" w:type="dxa"/>
            <w:vAlign w:val="bottom"/>
          </w:tcPr>
          <w:p>
            <w:pPr>
              <w:spacing w:after="0"/>
              <w:rPr>
                <w:sz w:val="16"/>
                <w:szCs w:val="16"/>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Telecom</w:t>
            </w:r>
          </w:p>
        </w:tc>
        <w:tc>
          <w:tcPr>
            <w:tcW w:w="10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b w:val="1"/>
                <w:bCs w:val="1"/>
                <w:color w:val="auto"/>
                <w:w w:val="87"/>
              </w:rPr>
              <w:t>Consolidated</w:t>
            </w: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24,834</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28,838</w:t>
            </w:r>
          </w:p>
        </w:tc>
      </w:tr>
      <w:tr>
        <w:trPr>
          <w:trHeight w:val="209"/>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18,578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51,087</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59,132</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58,567</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51,652</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110,219</w:t>
            </w:r>
          </w:p>
        </w:tc>
      </w:tr>
      <w:tr>
        <w:trPr>
          <w:trHeight w:val="20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34,580</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182"/>
        </w:trPr>
        <w:tc>
          <w:tcPr>
            <w:tcW w:w="3500" w:type="dxa"/>
            <w:vAlign w:val="bottom"/>
            <w:tcBorders>
              <w:top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Total Communication Services</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88,609</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85,368</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173,977</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4,904</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92,206</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182,213</w:t>
            </w: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14,126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18,341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33,312</w:t>
            </w:r>
          </w:p>
        </w:tc>
      </w:tr>
      <w:tr>
        <w:trPr>
          <w:trHeight w:val="202"/>
        </w:trPr>
        <w:tc>
          <w:tcPr>
            <w:tcW w:w="350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intangibles from</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3,236</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stock-based compensation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13,360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(12,637)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6"/>
                <w:szCs w:val="16"/>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1"/>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Telecom</w:t>
            </w:r>
          </w:p>
        </w:tc>
        <w:tc>
          <w:tcPr>
            <w:tcW w:w="220" w:type="dxa"/>
            <w:vAlign w:val="bottom"/>
          </w:tcPr>
          <w:p>
            <w:pPr>
              <w:spacing w:after="0"/>
              <w:rPr>
                <w:sz w:val="17"/>
                <w:szCs w:val="17"/>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Telecom</w:t>
            </w:r>
          </w:p>
        </w:tc>
        <w:tc>
          <w:tcPr>
            <w:tcW w:w="10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7"/>
                <w:szCs w:val="17"/>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b w:val="1"/>
                <w:bCs w:val="1"/>
                <w:color w:val="auto"/>
                <w:w w:val="87"/>
              </w:rPr>
              <w:t>Consolidated</w:t>
            </w: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11,899</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71,936</w:t>
            </w: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83,835</w:t>
            </w:r>
          </w:p>
        </w:tc>
      </w:tr>
      <w:tr>
        <w:trPr>
          <w:trHeight w:val="209"/>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107,494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160,096</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193,796</w:t>
            </w:r>
          </w:p>
        </w:tc>
      </w:tr>
      <w:tr>
        <w:trPr>
          <w:trHeight w:val="210"/>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178,546</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175,346</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353,892</w:t>
            </w:r>
          </w:p>
        </w:tc>
      </w:tr>
      <w:tr>
        <w:trPr>
          <w:trHeight w:val="20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106,989</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2,768</w:t>
            </w:r>
          </w:p>
        </w:tc>
      </w:tr>
      <w:tr>
        <w:trPr>
          <w:trHeight w:val="182"/>
        </w:trPr>
        <w:tc>
          <w:tcPr>
            <w:tcW w:w="3500" w:type="dxa"/>
            <w:vAlign w:val="bottom"/>
            <w:tcBorders>
              <w:top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Total Communication Services</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272,395</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275,089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547,484</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w:t>
            </w: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12,118</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12,118</w:t>
            </w:r>
          </w:p>
        </w:tc>
      </w:tr>
      <w:tr>
        <w:trPr>
          <w:trHeight w:val="24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276,267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286,983</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563,250</w:t>
            </w: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42,646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62,315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2,030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106,991</w:t>
            </w:r>
          </w:p>
        </w:tc>
      </w:tr>
      <w:tr>
        <w:trPr>
          <w:trHeight w:val="202"/>
        </w:trPr>
        <w:tc>
          <w:tcPr>
            <w:tcW w:w="350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intangibles from</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9,514</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stock-based compensation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41,177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(27,547)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6"/>
                <w:szCs w:val="16"/>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1"/>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Telecom</w:t>
            </w:r>
          </w:p>
        </w:tc>
        <w:tc>
          <w:tcPr>
            <w:tcW w:w="220" w:type="dxa"/>
            <w:vAlign w:val="bottom"/>
          </w:tcPr>
          <w:p>
            <w:pPr>
              <w:spacing w:after="0"/>
              <w:rPr>
                <w:sz w:val="17"/>
                <w:szCs w:val="17"/>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Telecom</w:t>
            </w:r>
          </w:p>
        </w:tc>
        <w:tc>
          <w:tcPr>
            <w:tcW w:w="10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7"/>
                <w:szCs w:val="17"/>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b w:val="1"/>
                <w:bCs w:val="1"/>
                <w:color w:val="auto"/>
                <w:w w:val="87"/>
              </w:rPr>
              <w:t>Consolidated</w:t>
            </w: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69,088</w:t>
            </w: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81,058</w:t>
            </w:r>
          </w:p>
        </w:tc>
      </w:tr>
      <w:tr>
        <w:trPr>
          <w:trHeight w:val="209"/>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144,348</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179,714</w:t>
            </w:r>
          </w:p>
        </w:tc>
      </w:tr>
      <w:tr>
        <w:trPr>
          <w:trHeight w:val="210"/>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175,262</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148,800</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324,062</w:t>
            </w:r>
          </w:p>
        </w:tc>
      </w:tr>
      <w:tr>
        <w:trPr>
          <w:trHeight w:val="20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106,144</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182"/>
        </w:trPr>
        <w:tc>
          <w:tcPr>
            <w:tcW w:w="3500" w:type="dxa"/>
            <w:vAlign w:val="bottom"/>
            <w:tcBorders>
              <w:top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Total Communication Services</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261,377</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250,938</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512,315</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8,615</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8,615</w:t>
            </w: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12,800</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w:t>
            </w:r>
          </w:p>
        </w:tc>
      </w:tr>
      <w:tr>
        <w:trPr>
          <w:trHeight w:val="24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265,197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268,533</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533,730</w:t>
            </w: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43,109</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54,546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2,766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100,421</w:t>
            </w:r>
          </w:p>
        </w:tc>
      </w:tr>
      <w:tr>
        <w:trPr>
          <w:trHeight w:val="202"/>
        </w:trPr>
        <w:tc>
          <w:tcPr>
            <w:tcW w:w="350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intangibles from</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9,744</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stock-based compensation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36,889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(29,418)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Selected balance sheet data for each of the Company’s segments as of September 30, 2023 and December 31, 2022 consists of the following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Corporate and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2023</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Telecom</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Telecom</w:t>
            </w: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Other (1)</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Cash, cash equivalents, and restricted</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73,087</w:t>
            </w: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115,888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143,280</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8,197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267,365</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 net</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476,355</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587,623</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1,069,433</w:t>
            </w: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35,269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40,104</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671,285</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996,413</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83,528</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1,751,226</w:t>
            </w: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82,178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148,352</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32,127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262,657</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 including current portion</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63,209</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285,842</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149,326</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498,377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rPr>
              <w:t>December 31, 2022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Cash, cash equivalents, and restricted</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26,418</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59,728</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105,324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116,038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229,688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585,969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1,055,954</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35,269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40,104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643,664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980,543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1,707,869</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119,755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233,180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 including current portion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263,241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the nine months ended September 30, 2023 and 2022, the Company spent $140.9 million and $114.0 million,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respectively, on capital expenditures relating to its telecommunications networks and business support systems of which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$14.3 million and $4.0 million, respectively, are reimbursable under various government programs. The following notes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capital expenditures, by operating segment, for these periods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Capital Expenditures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International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81"/>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31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Telecom</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Telecom</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Other (1)</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140,901</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53,270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8"/>
                <w:szCs w:val="18"/>
                <w:color w:val="auto"/>
              </w:rPr>
              <w:t>633</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113,959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20" w:hanging="319"/>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Corporate and other items refer to corporate overhead costs and consolidating adjustments</w:t>
      </w:r>
    </w:p>
    <w:p>
      <w:pPr>
        <w:spacing w:after="0" w:line="200" w:lineRule="exact"/>
        <w:rPr>
          <w:rFonts w:ascii="Arial" w:cs="Arial" w:eastAsia="Arial" w:hAnsi="Arial"/>
          <w:sz w:val="18"/>
          <w:szCs w:val="18"/>
          <w:color w:val="auto"/>
        </w:rPr>
      </w:pPr>
    </w:p>
    <w:p>
      <w:pPr>
        <w:spacing w:after="0" w:line="277" w:lineRule="exact"/>
        <w:rPr>
          <w:rFonts w:ascii="Arial" w:cs="Arial" w:eastAsia="Arial" w:hAnsi="Arial"/>
          <w:sz w:val="18"/>
          <w:szCs w:val="18"/>
          <w:color w:val="auto"/>
        </w:rPr>
      </w:pPr>
    </w:p>
    <w:p>
      <w:pPr>
        <w:ind w:left="320" w:hanging="270"/>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Regulatory and Litigation Matters</w:t>
      </w:r>
    </w:p>
    <w:p>
      <w:pPr>
        <w:spacing w:after="0" w:line="252"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GTT, has been subject to other long-standing litigation proceedings and disputes in Guyana that have not yet been resolved. The Company believes that, except for the items discussed below, for which the Company is currently unable to predict the final outcome, the disposition of matters currently pending will not have a material adverse effect on the Company’s financial position or results of operations.</w:t>
      </w:r>
    </w:p>
    <w:p>
      <w:pPr>
        <w:spacing w:after="0" w:line="218"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Beginning in 2006, the National Frequency Management Unit (now the Telecommunications Agency, or the “NFMU/TA”) and GTT have been engaged in discussions regarding the amount of and methodology for calculation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spectrum fees payable by GTT in Guyana. Since that time, GTT has made payments of, undisputed spectrum fees as amounts invoiced by the NFMU, and to its successor, the Telecommunications Authority (“TA”). There have been limited further discussions on the subject of a revised spectrum fee methodology with the TA.</w:t>
      </w:r>
    </w:p>
    <w:p>
      <w:pPr>
        <w:spacing w:after="0" w:line="224"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are currently pending in the Court of Appeals in Guyana, however, the Company cannot accurately predict at this time when the consolidated suit will reach a court of final determination.</w:t>
      </w:r>
    </w:p>
    <w:p>
      <w:pPr>
        <w:spacing w:after="0" w:line="233"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GTT is also involved in several legal claims regarding its tax filings with the Guyana Revenue Authority (the “GRA”) dating back to 1991 regarding the deductibility of intercompany advisory fees as well as other tax assessments. GTT has maintained that it has no unpaid corporation tax due to the GRA and that any liability GTT might be found to have with respect to the disputed tax assessments would be offset in part by the amounts claimed with respect to rights ATN has pursuant to its agreement with the government of Guyana. GTT’s position has been upheld by various High Court rulings made in its favor including most recently in December 2021, and while some matters have been appealed by the GRA, other matters remain pending for determination by the High Court.</w:t>
      </w:r>
    </w:p>
    <w:p>
      <w:pPr>
        <w:spacing w:after="0" w:line="204"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The draft audit report alleges violations of the FCC’s rules for establishing rural rates and urban rates, the provisioning and billing of ineligible services and products, and violations of the FCC’s competitive bidding rules. Alaska Communications has provided USAC with extensive comments in response to its draft audit report seeking correction of numerous factual and legal errors that it believed it had identified. As a result of these conversations and comments being submitted by Alaska Communications, USAC’s auditors may revise their findings, including the amounts they recommend USAC seek to recover. USAC’s auditors are expected to issue a final audit report incorporating Alaska Communications’ responses that will be sent to USAC’s Rural Health Care Division to review and determine if corrective action would be appropriate. In the event that the Company disagrees with USAC’s final audit report, the Company can appeal that decision to USAC’s Rural Health Care Division and/or the FCC. At this time, the Company cannot predict the contents or timing of the final USAC audit report, the outcome of the audit or the impact on the Company’s business, financial condition, results of operations, or liquidity and may require certain undertakings in addition to any proposed financial settlement.</w:t>
      </w:r>
    </w:p>
    <w:p>
      <w:pPr>
        <w:spacing w:after="0" w:line="211"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Alaska Communications also received a Letter of Inquiry on March 18, 2018, and subsequent follow up information requests, from the FCC Enforcement Bureau requesting historical information regarding Alaska Communications’ participation in the FCC’s Rural Health Care Support Program. The Company is engaged in discussions with the FCC’s Enforcement Bureau and will continue to work constructively to provide it the information it is seeking. Any adverse outcome with respect to the FCC Enforcement Bureau’s inquiry may have an adverse impact on the Company’s business, financial condition, results of operations, or liquidity and may require certain undertakings in addition to any proposed financial settlement.</w:t>
      </w:r>
    </w:p>
    <w:p>
      <w:pPr>
        <w:spacing w:after="0" w:line="235"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With respect to all of the foregoing matters, the Company believes that some adverse outcome is probable and has accordingly accrued $15.8 million as of September 30, 2023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SUBSEQUENT EVENTS</w:t>
      </w:r>
    </w:p>
    <w:p>
      <w:pPr>
        <w:spacing w:after="0" w:line="270"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In October 2023, the Company entered a two-year, forward starting 1-month floating fixed SOFR interest rate swap agreement. The swap becomes effective on November 13, 2023 in a notional amount of $50.0 million, has a fixed SOFR rate of 4.896% and matures on November 13, 2025.</w:t>
      </w:r>
    </w:p>
    <w:p>
      <w:pPr>
        <w:spacing w:after="0" w:line="22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November 2023, Alaska Communications entered two forward starting 1-month floating to fixed SOFR interest rate swap agreements. The total notional amount of the agreements is $200.0 million, with fixed SOFR rates of 4.8695% and 4.8980% and both agreements mature on November 7,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right="2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80" w:right="159" w:firstLine="612"/>
        <w:spacing w:after="0" w:line="293" w:lineRule="auto"/>
        <w:rPr>
          <w:sz w:val="20"/>
          <w:szCs w:val="20"/>
          <w:color w:val="auto"/>
        </w:rPr>
      </w:pPr>
      <w:r>
        <w:rPr>
          <w:rFonts w:ascii="Arial" w:cs="Arial" w:eastAsia="Arial" w:hAnsi="Arial"/>
          <w:sz w:val="16"/>
          <w:szCs w:val="16"/>
          <w:color w:val="auto"/>
        </w:rPr>
        <w:t>We provide digital infrastructure and communications services in the United States and internationally, including in the Caribbean region, with a focus on smaller markets, many of which are rural or remote, with a growing demand for infrastructure investments. Through our operating subsidiaries, we primarily provide: (i) carrier and enterprise communications services, such as terrestrial and submarine fiber optic transport, and communications tower facilities; and (ii) fixed and mobile telecommunications connectivity to residential, business and government customers, including a range of high-speed internet and data services, fixed and mobile wireless solutions, and video and voice services.</w:t>
      </w:r>
    </w:p>
    <w:p>
      <w:pPr>
        <w:spacing w:after="0" w:line="205" w:lineRule="exact"/>
        <w:rPr>
          <w:sz w:val="20"/>
          <w:szCs w:val="20"/>
          <w:color w:val="auto"/>
        </w:rPr>
      </w:pPr>
    </w:p>
    <w:p>
      <w:pPr>
        <w:ind w:left="80" w:right="199" w:firstLine="612"/>
        <w:spacing w:after="0" w:line="268" w:lineRule="auto"/>
        <w:rPr>
          <w:sz w:val="20"/>
          <w:szCs w:val="20"/>
          <w:color w:val="auto"/>
        </w:rPr>
      </w:pPr>
      <w:r>
        <w:rPr>
          <w:rFonts w:ascii="Arial" w:cs="Arial" w:eastAsia="Arial" w:hAnsi="Arial"/>
          <w:sz w:val="17"/>
          <w:szCs w:val="17"/>
          <w:color w:val="auto"/>
        </w:rPr>
        <w:t>At the holding company level, we oversee the allocation of capital within and among our subsidiaries, affiliates, new investments, and stockholders. We have developed significant operational expertise and resources that we use to augment the capabilities of our individual operating subsidiaries in our local markets. We have built a platform of resources and expertise to support our operating subsidiaries and to improve their quality of service with greater economies of scale and expertise than would typically be available at the operating subsidiary level. We provide management, technical, financial, regulatory, and marketing services to our operating subsidiaries and typically receive a management fee calculated as a percentage of their revenues, which is eliminated in consolidation. We also actively evaluate potential acquisitions, investment opportunities and other strategic transactions, both domestic and international, and generally look for those that we believe fit our profile of telecommunications businesses and have the potential to complement our “glass and steel” and “first to fiber” approach in markets while generating steady excess cash flows over extended periods of time. We use the cash generated from our operations to re-invest in organic growth in our existing businesses, to make strategic investments in additional businesses, and to return cash to our investors through dividends or stock repurchases.</w:t>
      </w:r>
    </w:p>
    <w:p>
      <w:pPr>
        <w:spacing w:after="0" w:line="227" w:lineRule="exact"/>
        <w:rPr>
          <w:sz w:val="20"/>
          <w:szCs w:val="20"/>
          <w:color w:val="auto"/>
        </w:rPr>
      </w:pPr>
    </w:p>
    <w:p>
      <w:pPr>
        <w:ind w:left="80" w:right="219" w:firstLine="612"/>
        <w:spacing w:after="0" w:line="308" w:lineRule="auto"/>
        <w:rPr>
          <w:sz w:val="20"/>
          <w:szCs w:val="20"/>
          <w:color w:val="auto"/>
        </w:rPr>
      </w:pPr>
      <w:r>
        <w:rPr>
          <w:rFonts w:ascii="Arial" w:cs="Arial" w:eastAsia="Arial" w:hAnsi="Arial"/>
          <w:sz w:val="17"/>
          <w:szCs w:val="17"/>
          <w:color w:val="auto"/>
        </w:rPr>
        <w:t>For further information about our financial segments and geographical information about our operating revenues and assets, see Notes 1 and 13 to the Consolidated Financial Statements included in this Report.</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September 30, 2023, we offer the following types of services to our customers:</w:t>
      </w:r>
    </w:p>
    <w:p>
      <w:pPr>
        <w:spacing w:after="0" w:line="266" w:lineRule="exact"/>
        <w:rPr>
          <w:sz w:val="20"/>
          <w:szCs w:val="20"/>
          <w:color w:val="auto"/>
        </w:rPr>
      </w:pPr>
    </w:p>
    <w:p>
      <w:pPr>
        <w:ind w:left="1220" w:right="179" w:hanging="319"/>
        <w:spacing w:after="0" w:line="342"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Mobility Telecommunications Services</w:t>
      </w:r>
      <w:r>
        <w:rPr>
          <w:rFonts w:ascii="Arial" w:cs="Arial" w:eastAsia="Arial" w:hAnsi="Arial"/>
          <w:sz w:val="16"/>
          <w:szCs w:val="16"/>
          <w:color w:val="auto"/>
        </w:rPr>
        <w:t>. We offer mobile communications services over our wireless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networks and related equipment, such as handsets, to both our business and consumer customers.</w:t>
      </w:r>
    </w:p>
    <w:p>
      <w:pPr>
        <w:spacing w:after="0" w:line="123" w:lineRule="exact"/>
        <w:rPr>
          <w:rFonts w:ascii="Arial" w:cs="Arial" w:eastAsia="Arial" w:hAnsi="Arial"/>
          <w:sz w:val="16"/>
          <w:szCs w:val="16"/>
          <w:color w:val="auto"/>
        </w:rPr>
      </w:pPr>
    </w:p>
    <w:p>
      <w:pPr>
        <w:jc w:val="both"/>
        <w:ind w:left="1220" w:right="159" w:hanging="319"/>
        <w:spacing w:after="0" w:line="259"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Fixed Telecommunications Services</w:t>
      </w:r>
      <w:r>
        <w:rPr>
          <w:rFonts w:ascii="Arial" w:cs="Arial" w:eastAsia="Arial" w:hAnsi="Arial"/>
          <w:sz w:val="18"/>
          <w:szCs w:val="18"/>
          <w:color w:val="auto"/>
        </w:rPr>
        <w:t>. We provide fixed data and voice telecommunications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and consumer customers. These services include consumer broadband and high-speed data solutions for businesses. For some markets, fixed services also include video services and revenue derived from support under certain government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220" w:right="179" w:hanging="319"/>
        <w:spacing w:after="0" w:line="263"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Carrier Telecommunication Services</w:t>
      </w:r>
      <w:r>
        <w:rPr>
          <w:rFonts w:ascii="Arial" w:cs="Arial" w:eastAsia="Arial" w:hAnsi="Arial"/>
          <w:sz w:val="18"/>
          <w:szCs w:val="18"/>
          <w:color w:val="auto"/>
        </w:rPr>
        <w:t>. We deliver services to other telecommunications providers,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leasing of critical network infrastructure, such as tower and transport facilities, wholesale roaming, site maintenance and international long-distance services.</w:t>
      </w:r>
    </w:p>
    <w:p>
      <w:pPr>
        <w:spacing w:after="0" w:line="183" w:lineRule="exact"/>
        <w:rPr>
          <w:rFonts w:ascii="Arial" w:cs="Arial" w:eastAsia="Arial" w:hAnsi="Arial"/>
          <w:sz w:val="18"/>
          <w:szCs w:val="18"/>
          <w:color w:val="auto"/>
        </w:rPr>
      </w:pPr>
    </w:p>
    <w:p>
      <w:pPr>
        <w:ind w:left="1220" w:right="179" w:hanging="319"/>
        <w:spacing w:after="0" w:line="263"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Managed Services</w:t>
      </w:r>
      <w:r>
        <w:rPr>
          <w:rFonts w:ascii="Arial" w:cs="Arial" w:eastAsia="Arial" w:hAnsi="Arial"/>
          <w:sz w:val="18"/>
          <w:szCs w:val="18"/>
          <w:color w:val="auto"/>
        </w:rPr>
        <w:t>. We provide information technology services such as network,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and hosting services to both our business and consumer customers to complement our fixed services in our existing markets.</w:t>
      </w:r>
    </w:p>
    <w:p>
      <w:pPr>
        <w:spacing w:after="0" w:line="184"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We have two operating segments to manage and review our operations and to facilitate investor presentations of our results. These two operating segments are as follows:</w:t>
      </w:r>
    </w:p>
    <w:p>
      <w:pPr>
        <w:spacing w:after="0" w:line="170" w:lineRule="exact"/>
        <w:rPr>
          <w:sz w:val="20"/>
          <w:szCs w:val="20"/>
          <w:color w:val="auto"/>
        </w:rPr>
      </w:pPr>
    </w:p>
    <w:p>
      <w:pPr>
        <w:ind w:left="1240" w:right="219" w:hanging="326"/>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Telecom. </w:t>
      </w:r>
      <w:r>
        <w:rPr>
          <w:rFonts w:ascii="Arial" w:cs="Arial" w:eastAsia="Arial" w:hAnsi="Arial"/>
          <w:sz w:val="18"/>
          <w:szCs w:val="18"/>
          <w:color w:val="auto"/>
        </w:rPr>
        <w:t>In our international markets, we offer fixed services, mobility services, carrier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and managed services to customers in Bermuda, the Cayman Islands, Guyana and the US Virgin Islands.</w:t>
      </w:r>
    </w:p>
    <w:p>
      <w:pPr>
        <w:spacing w:after="0" w:line="183" w:lineRule="exact"/>
        <w:rPr>
          <w:rFonts w:ascii="Arial" w:cs="Arial" w:eastAsia="Arial" w:hAnsi="Arial"/>
          <w:sz w:val="18"/>
          <w:szCs w:val="18"/>
          <w:color w:val="auto"/>
        </w:rPr>
      </w:pPr>
    </w:p>
    <w:p>
      <w:pPr>
        <w:ind w:left="1240" w:right="799" w:hanging="326"/>
        <w:spacing w:after="0" w:line="342"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US Telecom. </w:t>
      </w:r>
      <w:r>
        <w:rPr>
          <w:rFonts w:ascii="Arial" w:cs="Arial" w:eastAsia="Arial" w:hAnsi="Arial"/>
          <w:sz w:val="16"/>
          <w:szCs w:val="16"/>
          <w:color w:val="auto"/>
        </w:rPr>
        <w:t>In the United States, we offer mobility services, fixed services, carrier services,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managed services to business and consumer customers in Alaska and the western United States.</w:t>
      </w:r>
    </w:p>
    <w:p>
      <w:pPr>
        <w:spacing w:after="0" w:line="124" w:lineRule="exact"/>
        <w:rPr>
          <w:sz w:val="20"/>
          <w:szCs w:val="20"/>
          <w:color w:val="auto"/>
        </w:rPr>
      </w:pPr>
    </w:p>
    <w:p>
      <w:pPr>
        <w:ind w:left="60" w:right="359" w:firstLine="846"/>
        <w:spacing w:after="0" w:line="277" w:lineRule="auto"/>
        <w:rPr>
          <w:sz w:val="20"/>
          <w:szCs w:val="20"/>
          <w:color w:val="auto"/>
        </w:rPr>
      </w:pPr>
      <w:r>
        <w:rPr>
          <w:rFonts w:ascii="Arial" w:cs="Arial" w:eastAsia="Arial" w:hAnsi="Arial"/>
          <w:sz w:val="18"/>
          <w:szCs w:val="18"/>
          <w:color w:val="auto"/>
        </w:rPr>
        <w:t>The following chart summarizes the operating activities of our principal subsidiaries, the segments in which we report our revenue and the markets we served as of September 30, 2023:</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300" w:type="dxa"/>
            <w:vAlign w:val="bottom"/>
          </w:tcPr>
          <w:p>
            <w:pPr>
              <w:ind w:left="38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4"/>
                <w:szCs w:val="14"/>
                <w:color w:val="auto"/>
              </w:rPr>
            </w:pPr>
          </w:p>
        </w:tc>
        <w:tc>
          <w:tcPr>
            <w:tcW w:w="1640" w:type="dxa"/>
            <w:vAlign w:val="bottom"/>
          </w:tcPr>
          <w:p>
            <w:pPr>
              <w:ind w:left="56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2420" w:type="dxa"/>
            <w:vAlign w:val="bottom"/>
            <w:gridSpan w:val="2"/>
          </w:tcPr>
          <w:p>
            <w:pPr>
              <w:ind w:left="880"/>
              <w:spacing w:after="0"/>
              <w:rPr>
                <w:sz w:val="20"/>
                <w:szCs w:val="20"/>
                <w:color w:val="auto"/>
              </w:rPr>
            </w:pPr>
            <w:r>
              <w:rPr>
                <w:rFonts w:ascii="Arial" w:cs="Arial" w:eastAsia="Arial" w:hAnsi="Arial"/>
                <w:sz w:val="14"/>
                <w:szCs w:val="14"/>
                <w:b w:val="1"/>
                <w:bCs w:val="1"/>
                <w:color w:val="auto"/>
              </w:rPr>
              <w:t>Markets</w:t>
            </w:r>
          </w:p>
        </w:tc>
        <w:tc>
          <w:tcPr>
            <w:tcW w:w="3340" w:type="dxa"/>
            <w:vAlign w:val="bottom"/>
          </w:tcPr>
          <w:p>
            <w:pPr>
              <w:ind w:left="1280"/>
              <w:spacing w:after="0"/>
              <w:rPr>
                <w:sz w:val="20"/>
                <w:szCs w:val="20"/>
                <w:color w:val="auto"/>
              </w:rPr>
            </w:pPr>
            <w:r>
              <w:rPr>
                <w:rFonts w:ascii="Arial" w:cs="Arial" w:eastAsia="Arial" w:hAnsi="Arial"/>
                <w:sz w:val="14"/>
                <w:szCs w:val="14"/>
                <w:b w:val="1"/>
                <w:bCs w:val="1"/>
                <w:color w:val="auto"/>
              </w:rPr>
              <w:t>Tradenames</w:t>
            </w:r>
          </w:p>
        </w:tc>
      </w:tr>
      <w:tr>
        <w:trPr>
          <w:trHeight w:val="191"/>
        </w:trPr>
        <w:tc>
          <w:tcPr>
            <w:tcW w:w="13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International</w:t>
            </w: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rPr>
              <w:t>Mobility Services</w:t>
            </w:r>
          </w:p>
        </w:tc>
        <w:tc>
          <w:tcPr>
            <w:tcW w:w="10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w w:val="98"/>
              </w:rPr>
              <w:t>Bermuda, Guyana, US Virgin</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33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rPr>
              <w:t>One, GTT, Viya</w:t>
            </w:r>
          </w:p>
        </w:tc>
      </w:tr>
      <w:tr>
        <w:trPr>
          <w:trHeight w:val="234"/>
        </w:trPr>
        <w:tc>
          <w:tcPr>
            <w:tcW w:w="1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Telecom</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52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Islands</w:t>
            </w:r>
          </w:p>
        </w:tc>
        <w:tc>
          <w:tcPr>
            <w:tcW w:w="3340" w:type="dxa"/>
            <w:vAlign w:val="bottom"/>
            <w:shd w:val="clear" w:color="auto" w:fill="CCEEFF"/>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17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Fixed Services</w:t>
            </w:r>
          </w:p>
        </w:tc>
        <w:tc>
          <w:tcPr>
            <w:tcW w:w="25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Bermuda, Cayman Islands,</w:t>
            </w: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One, Logic, GTT, Viya</w:t>
            </w:r>
          </w:p>
        </w:tc>
      </w:tr>
      <w:tr>
        <w:trPr>
          <w:trHeight w:val="230"/>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Guyana, US Virgin Islands</w:t>
            </w:r>
          </w:p>
        </w:tc>
        <w:tc>
          <w:tcPr>
            <w:tcW w:w="3340" w:type="dxa"/>
            <w:vAlign w:val="bottom"/>
          </w:tcPr>
          <w:p>
            <w:pPr>
              <w:spacing w:after="0"/>
              <w:rPr>
                <w:sz w:val="20"/>
                <w:szCs w:val="20"/>
                <w:color w:val="auto"/>
              </w:rPr>
            </w:pPr>
          </w:p>
        </w:tc>
      </w:tr>
      <w:tr>
        <w:trPr>
          <w:trHeight w:val="202"/>
        </w:trPr>
        <w:tc>
          <w:tcPr>
            <w:tcW w:w="13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Carrier Services</w:t>
            </w:r>
          </w:p>
        </w:tc>
        <w:tc>
          <w:tcPr>
            <w:tcW w:w="2520" w:type="dxa"/>
            <w:vAlign w:val="bottom"/>
            <w:tcBorders>
              <w:right w:val="single" w:sz="8" w:color="CCEEFF"/>
            </w:tcBorders>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Bermuda, Guyana, US Virgin</w:t>
            </w: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One, GTT, Viya, Logic</w:t>
            </w:r>
          </w:p>
        </w:tc>
      </w:tr>
      <w:tr>
        <w:trPr>
          <w:trHeight w:val="230"/>
        </w:trPr>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52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Islands</w:t>
            </w:r>
          </w:p>
        </w:tc>
        <w:tc>
          <w:tcPr>
            <w:tcW w:w="3340" w:type="dxa"/>
            <w:vAlign w:val="bottom"/>
            <w:shd w:val="clear" w:color="auto" w:fill="CCEEFF"/>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17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Managed Services</w:t>
            </w:r>
          </w:p>
        </w:tc>
        <w:tc>
          <w:tcPr>
            <w:tcW w:w="252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6"/>
              </w:rPr>
              <w:t>Bermuda, Cayman Islands, US</w:t>
            </w: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Fireminds, One, Logic, GTT, Viya</w:t>
            </w:r>
          </w:p>
        </w:tc>
      </w:tr>
      <w:tr>
        <w:trPr>
          <w:trHeight w:val="230"/>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Virgin Islands, Guyana</w:t>
            </w:r>
          </w:p>
        </w:tc>
        <w:tc>
          <w:tcPr>
            <w:tcW w:w="3340" w:type="dxa"/>
            <w:vAlign w:val="bottom"/>
          </w:tcPr>
          <w:p>
            <w:pPr>
              <w:spacing w:after="0"/>
              <w:rPr>
                <w:sz w:val="20"/>
                <w:szCs w:val="20"/>
                <w:color w:val="auto"/>
              </w:rPr>
            </w:pPr>
          </w:p>
        </w:tc>
      </w:tr>
      <w:tr>
        <w:trPr>
          <w:trHeight w:val="209"/>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US Telecom</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Mobility Services</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United States (rural markets)</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Choice NTUA Wireless</w:t>
            </w:r>
          </w:p>
        </w:tc>
      </w:tr>
      <w:tr>
        <w:trPr>
          <w:trHeight w:val="202"/>
        </w:trPr>
        <w:tc>
          <w:tcPr>
            <w:tcW w:w="1300" w:type="dxa"/>
            <w:vAlign w:val="bottom"/>
          </w:tcPr>
          <w:p>
            <w:pPr>
              <w:spacing w:after="0"/>
              <w:rPr>
                <w:sz w:val="17"/>
                <w:szCs w:val="17"/>
                <w:color w:val="auto"/>
              </w:rPr>
            </w:pPr>
          </w:p>
        </w:tc>
        <w:tc>
          <w:tcPr>
            <w:tcW w:w="17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Fixed Services</w:t>
            </w:r>
          </w:p>
        </w:tc>
        <w:tc>
          <w:tcPr>
            <w:tcW w:w="25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United States</w:t>
            </w: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Alaska Communications, Commnet</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5"/>
              </w:rPr>
              <w:t>Broadband, Choice NTUA Wireless, Sacred</w:t>
            </w:r>
          </w:p>
        </w:tc>
      </w:tr>
      <w:tr>
        <w:trPr>
          <w:trHeight w:val="230"/>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Wind Communications, Ethos</w:t>
            </w:r>
          </w:p>
        </w:tc>
      </w:tr>
      <w:tr>
        <w:trPr>
          <w:trHeight w:val="202"/>
        </w:trPr>
        <w:tc>
          <w:tcPr>
            <w:tcW w:w="13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Carrier Services</w:t>
            </w:r>
          </w:p>
        </w:tc>
        <w:tc>
          <w:tcPr>
            <w:tcW w:w="2520" w:type="dxa"/>
            <w:vAlign w:val="bottom"/>
            <w:tcBorders>
              <w:right w:val="single" w:sz="8" w:color="CCEEFF"/>
            </w:tcBorders>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United States</w:t>
            </w: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Alaska Communications, Commnet, Essextel,</w:t>
            </w:r>
          </w:p>
        </w:tc>
      </w:tr>
      <w:tr>
        <w:trPr>
          <w:trHeight w:val="230"/>
        </w:trPr>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Sacred Wind Communications</w:t>
            </w:r>
          </w:p>
        </w:tc>
      </w:tr>
      <w:tr>
        <w:trPr>
          <w:trHeight w:val="216"/>
        </w:trPr>
        <w:tc>
          <w:tcPr>
            <w:tcW w:w="13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Managed Services</w:t>
            </w: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United States</w:t>
            </w:r>
          </w:p>
        </w:tc>
        <w:tc>
          <w:tcPr>
            <w:tcW w:w="3340" w:type="dxa"/>
            <w:vAlign w:val="bottom"/>
          </w:tcPr>
          <w:p>
            <w:pPr>
              <w:spacing w:after="0"/>
              <w:rPr>
                <w:sz w:val="20"/>
                <w:szCs w:val="20"/>
                <w:color w:val="auto"/>
              </w:rPr>
            </w:pPr>
            <w:r>
              <w:rPr>
                <w:rFonts w:ascii="Arial" w:cs="Arial" w:eastAsia="Arial" w:hAnsi="Arial"/>
                <w:sz w:val="18"/>
                <w:szCs w:val="18"/>
                <w:color w:val="auto"/>
              </w:rPr>
              <w:t>Alaska Communications, Fireminds</w:t>
            </w:r>
          </w:p>
        </w:tc>
      </w:tr>
      <w:tr>
        <w:trPr>
          <w:trHeight w:val="20"/>
        </w:trPr>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of Sacred Wind Enterprises</w:t>
      </w:r>
    </w:p>
    <w:p>
      <w:pPr>
        <w:spacing w:after="0" w:line="266"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On November 7, 2022, we, via our newly formed wholly owned subsidiary Alloy, Inc. (“Alloy”), acquired all of the issued and outstanding stock of Sacred Wind Enterprises, Inc. (“Sacred Wind”), a rural telecommunications provider in New Mexico (the “Sacred Wind Transaction”) for $44.6 million of consideration. The purchase price allocation was finalized during the nine months ended September 30, 2023. As part of the Sacred Wind Transaction, we transferred consideration of $16.7 million of cash, net of $9.4 million of cash acquired, $14.8 million of redeemable noncontrolling interests, and $3.7 million of contingent consideration. During the nine months ended September 30, 2023, we received $1.3 million as final settlement of working capital amounts. Upon completion of the Sacred Wind Transaction, the former Sacred Wind shareholders own 6% of the Alloy equity. This equity is classified as redeemable noncontrolling interests in our financial statements because the holders have an option, beginning in 2026, to put the equity interest to a subsidiary of the Company at the then fair market value. The redeemable noncontrolling interests do not have preference relative to other equity units and participate in gains and losses in Alloy. The contingent consideration is earned based on certain operating metrics of Sacred Wind beginning in 2025 through 2027. The fair value of the contingent consideration was calculated using discounted cash flow analysis based on a range of probability weighted outcomes. We funded the acquisition with borrowing under our CoBank Credit Facility and assumed $31.6 million of Sacred Wind debt, to the United States of America administered through the Rural Utilities Service.</w:t>
      </w:r>
    </w:p>
    <w:p>
      <w:pPr>
        <w:spacing w:after="0" w:line="200" w:lineRule="exact"/>
        <w:rPr>
          <w:sz w:val="20"/>
          <w:szCs w:val="20"/>
          <w:color w:val="auto"/>
        </w:rPr>
      </w:pPr>
    </w:p>
    <w:p>
      <w:pPr>
        <w:spacing w:after="0" w:line="227"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We believe that the acquisition of Sacred Wind will expand our infrastructure reach and broadband services in the rural Southwest and increase our wholesale carrier, residential and business broadband services.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FirstNet Agreement</w:t>
      </w:r>
    </w:p>
    <w:p>
      <w:pPr>
        <w:spacing w:after="0" w:line="266"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 July 2019, we entered into a Network Build and Maintenance Agreement with AT&amp;T Mobility, LLC (“AT&amp;T”) that we amended in August 2020, May 2021 and August 2022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We expect that total construction revenue related to FirstNet will approximate $80 million to $85 million. During the three months ended September 30, 2023 and 2022, we recorded $2.0 million and $3.3 million in construction revenue, respectively. During the nine months ended September 30, 2023 and 2022, we recorded $3.6 million and $8.6 million in construction revenue, respectively. Revenues from construction are expected to have minimal impact on operating income. We expect to substantially complete the build by the end of 2024 with the remainder to be completed in early 2025.</w:t>
      </w:r>
    </w:p>
    <w:p>
      <w:pPr>
        <w:spacing w:after="0" w:line="20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2029.</w:t>
      </w:r>
    </w:p>
    <w:p>
      <w:pPr>
        <w:spacing w:after="0" w:line="215"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AT&amp;T will continue to use our wholesale domestic mobility network for roaming services at a fixed rate per site during the construction period until such time as the cell site is transferred to AT&amp;T. Thereafter, revenue from the maintenance, leasing and transport services provided to AT&amp;T is expected to generally offset revenue from wholesale mobility roaming services. We are currently receiving revenue from the FirstNet Transaction and expect overall operating income contributions from the FirstNet Transaction to have a relatively steady impact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Verizon Carrier Managed Services Agreement</w:t>
      </w:r>
    </w:p>
    <w:p>
      <w:pPr>
        <w:spacing w:after="0" w:line="26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On May 10, 2023, our subsidiary, Commnet, entered into a Carrier Managed Services Master Agreement (the “Agreement”) with Cellco Partnership d/b/a Verizon Wireless (“Verizon”), pursuant to which Commnet will provide a variety of network, infrastructure and technical services that will help deliver next generation wireless services to Verizon’s subscribers in Commnet’s current operating area in the southwestern United States.</w:t>
      </w:r>
    </w:p>
    <w:p>
      <w:pPr>
        <w:spacing w:after="0" w:line="21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Pursuant to the Agreement and subject to certain limitations contained therein, Commnet will upgrade its wireless service in specific areas and provide services to Verizon for an initial seven year term (the “Commitment Period”). The Commitment Period will automatically renew for up to two additional three year periods, unless Verizon provides no less than twelve months’ notice on non-renewal prior to the expiration of the then-current term.</w:t>
      </w:r>
    </w:p>
    <w:p>
      <w:pPr>
        <w:spacing w:after="0" w:line="19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connection with the Agreement, Commnet has also agreed to provide Verizon with high capacity transport in its coverage area. Verizon will continue to use Commnet’s wireless communications network for roaming services at a fixed rate per site during the build period until such time as upgrades to the network to meet certain performance service level agreements for both RAN operations and transport are met. Verizon will pay Commnet an aggregate of approximately $200 million for services over the term of the Agreement.</w:t>
      </w:r>
    </w:p>
    <w:p>
      <w:pPr>
        <w:spacing w:after="0" w:line="22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Agreement may be terminated at any time upon the mutual written consent of Commnet and Verizon. In addition, Verizon may terminate the Agreement upon the occurrence of certain events, including failure to meet certain milestones or completion dates with respect to network coverage, failure to meet certain SLAs with respect to the ongoing services, the declaration of a bankruptcy event by Commnet and breach of any other material terms of the Agreement.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Universal Service Fund and Connect America Fund Phase II Programs</w:t>
      </w:r>
    </w:p>
    <w:p>
      <w:pPr>
        <w:spacing w:after="0" w:line="25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recognize revenue from several government funded programs including the USF, a subsidy program managed by the Federal Communications Commission (“FCC”), the Alaska Universal Service Fund (“AUSF”), a similar program managed by the Regulatory Commission of Alaska (the “RCA”), and the Emergency Connectivity Fund (“ECF”), a program to help schools and libraries support remote learning in underserved communities. USF funds are disbursed to telecommunication providers through four programs: the High Cost Program; the Low Income Program (“Lifeline Program”); the Schools and Libraries Program (“E-Rate Program”); and the Rural Health Care Support Program.</w:t>
      </w:r>
    </w:p>
    <w:p>
      <w:pPr>
        <w:spacing w:after="0" w:line="20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also recognize revenue from the Connect America Fund Phase II program (“CAF II”) which offers subsidies to carriers to expand broadband coverage in designated areas. Under CAF II, our US Telecom segment will receive an aggregate of $27.7 million annually through December 2025 and an aggregate of $8.0 million annually from January 2026 through July 2028.</w:t>
      </w:r>
    </w:p>
    <w:p>
      <w:pPr>
        <w:spacing w:after="0" w:line="22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All of the programs are subject to certain operational and reporting compliance requirements. We believe we are in compliance with these requirements as of September 30, 2023.</w:t>
      </w:r>
    </w:p>
    <w:p>
      <w:pPr>
        <w:spacing w:after="0" w:line="19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September 2021. Pursuant to the terms of the program and effective in July 2021, Viya’s annual USF support was reduced from $16.4 million to $10.9 million. In July 2022, this support was reduced again to $5.5 million for the annual period through September 2023. In April of 2023, the FCC issued an order extending the high cost support in the US Virgin Islands at the current $5.5 million per year received from July 2023 through December 31, 2025. In connection with this order, the FCC requires that we maintain our current footprint for voice and broadband services in the US Virgin Islands.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RDOF (“Rural Digital Opportunities Fund”)</w:t>
      </w:r>
    </w:p>
    <w:p>
      <w:pPr>
        <w:spacing w:after="0" w:line="26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expect to receive approximately $22.7 million over 10 years to provide broadband and voice coverage to over 10,000 households in the United States (not including Alaska) under the 2020 Rural Digital Opportunity Fund Phase I Auction (“RDOF”). During the three months ended September 30, 2023 and 2022, we recorded $0.6 million and $0.5 million of revenue from the RDOF program, respectively. During the nine months ended September 30, 2023 and 2022, we recorded $1.8 million and $1.4 million, of revenue from the RDOF program, respectively.</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Construction Grants</w:t>
      </w:r>
    </w:p>
    <w:p>
      <w:pPr>
        <w:spacing w:after="0" w:line="25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have also been awarded construction grants to build network connectivity for eligible communities. The funding of these grants, used to reimburse us for our construction costs, is generally distributed upon completion of a project. Completion deadlines begin in September 2023 and once these projects are constructed, we are obligated to provide service to the participants. We expect to meet all requirements associated with these grants, with the exception of grants we have transferred to third parties, as described below. A roll forward of our grant awards is below (in thousands).</w:t>
      </w:r>
    </w:p>
    <w:p>
      <w:pPr>
        <w:spacing w:after="0" w:line="3"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b w:val="1"/>
                <w:bCs w:val="1"/>
                <w:color w:val="auto"/>
              </w:rPr>
              <w:t>Amount</w:t>
            </w:r>
          </w:p>
        </w:tc>
      </w:tr>
      <w:tr>
        <w:trPr>
          <w:trHeight w:val="39"/>
        </w:trPr>
        <w:tc>
          <w:tcPr>
            <w:tcW w:w="20" w:type="dxa"/>
            <w:vAlign w:val="bottom"/>
          </w:tcPr>
          <w:p>
            <w:pPr>
              <w:spacing w:after="0"/>
              <w:rPr>
                <w:sz w:val="3"/>
                <w:szCs w:val="3"/>
                <w:color w:val="auto"/>
              </w:rPr>
            </w:pPr>
          </w:p>
        </w:tc>
        <w:tc>
          <w:tcPr>
            <w:tcW w:w="34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Grants awarded,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80,197</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New grants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34,821</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complete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Transferred grants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w:t>
            </w:r>
          </w:p>
        </w:tc>
      </w:tr>
      <w:tr>
        <w:trPr>
          <w:trHeight w:val="209"/>
        </w:trPr>
        <w:tc>
          <w:tcPr>
            <w:tcW w:w="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Grants awarded,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101,024</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During the nine months ended September 30, 2023, we disbursed capital expenditures of $12.4 million under these programs and received reimbursement of $14.6 million. These cash flows are classified as investing activities in our statement of cash flows.</w:t>
      </w:r>
    </w:p>
    <w:p>
      <w:pPr>
        <w:spacing w:after="0" w:line="22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we partner with tribal governments to obtain grants under various government programs including the Tribal Broadband Connectivity Program ("TBCP") and the Rural Development Broadband ReConnect Program (“ReConnect”). The TBCP and ReConnect programs are administered by United States government agencies to deploy broadband connectivity in certain underserved areas. We were identified as a sub recipient of TBCP grants totaling $188.6 million, but have not yet received any funding as of September 30, 2023.</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Replace and Remove Program</w:t>
      </w:r>
    </w:p>
    <w:p>
      <w:pPr>
        <w:spacing w:after="0" w:line="266"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6"/>
          <w:szCs w:val="16"/>
          <w:color w:val="auto"/>
        </w:rPr>
        <w:t>On July 15, 2022, we were notified that we were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we were allocated up to approximately $207 million in reimbursement amounts to cover documented and approved costs to remove and securely destroy all prohibited communications equipment and services in our U.S. networks and replace such equipment. The Replace and Remove Program requires that we complete the project no later than one year from submitting our initial reimbursement request, or by July 2024. At this time, we anticipate that we will be able to meet the deadlines and requirements of the program. During the nine months ended September 30, 2023 and 2022, we incurred capital expenditures related to this project of $27.1 million and $1.6 million, respectively. At September 30, 2023, $25.3 million was accrued. We have a receivable of $36.6 million, including operation costs and capital expenditures, at September 30, 2023, which is expected to be reimbursed within the next twelve months. For the nine months ended September 30, 2023 we received $2.6 million of reimbursement under the program, of which $1.1 million was classified as operating cash inflows and $1.5 million was classified as investing cash inflows in our statement of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Selected Segment Financial Information</w:t>
      </w:r>
    </w:p>
    <w:p>
      <w:pPr>
        <w:spacing w:after="0" w:line="229"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The following represents selected segment information for the three months ended September 30, 2023 and 2022 (in thousands):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6"/>
                <w:szCs w:val="16"/>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US</w:t>
            </w:r>
          </w:p>
        </w:tc>
        <w:tc>
          <w:tcPr>
            <w:tcW w:w="10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1"/>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Telecom</w:t>
            </w:r>
          </w:p>
        </w:tc>
        <w:tc>
          <w:tcPr>
            <w:tcW w:w="220" w:type="dxa"/>
            <w:vAlign w:val="bottom"/>
          </w:tcPr>
          <w:p>
            <w:pPr>
              <w:spacing w:after="0"/>
              <w:rPr>
                <w:sz w:val="17"/>
                <w:szCs w:val="17"/>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Telecom</w:t>
            </w:r>
          </w:p>
        </w:tc>
        <w:tc>
          <w:tcPr>
            <w:tcW w:w="10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7"/>
                <w:szCs w:val="17"/>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b w:val="1"/>
                <w:bCs w:val="1"/>
                <w:color w:val="auto"/>
                <w:w w:val="87"/>
              </w:rPr>
              <w:t>Consolidated</w:t>
            </w: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24,790</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28,736</w:t>
            </w:r>
          </w:p>
        </w:tc>
      </w:tr>
      <w:tr>
        <w:trPr>
          <w:trHeight w:val="210"/>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53,696</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64,629</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59,983</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58,342</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118,325</w:t>
            </w:r>
          </w:p>
        </w:tc>
      </w:tr>
      <w:tr>
        <w:trPr>
          <w:trHeight w:val="21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35,760</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182"/>
        </w:trPr>
        <w:tc>
          <w:tcPr>
            <w:tcW w:w="3500" w:type="dxa"/>
            <w:vAlign w:val="bottom"/>
            <w:tcBorders>
              <w:top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Total Communication Services</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184,601</w:t>
            </w:r>
          </w:p>
        </w:tc>
      </w:tr>
      <w:tr>
        <w:trPr>
          <w:trHeight w:val="21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4,397</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93,878</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97,158</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191,036</w:t>
            </w:r>
          </w:p>
        </w:tc>
      </w:tr>
      <w:tr>
        <w:trPr>
          <w:trHeight w:val="196"/>
        </w:trPr>
        <w:tc>
          <w:tcPr>
            <w:tcW w:w="3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(8,981)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6"/>
                <w:szCs w:val="16"/>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US</w:t>
            </w:r>
          </w:p>
        </w:tc>
        <w:tc>
          <w:tcPr>
            <w:tcW w:w="10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Telecom</w:t>
            </w:r>
          </w:p>
        </w:tc>
        <w:tc>
          <w:tcPr>
            <w:tcW w:w="220" w:type="dxa"/>
            <w:vAlign w:val="bottom"/>
          </w:tcPr>
          <w:p>
            <w:pPr>
              <w:spacing w:after="0"/>
              <w:rPr>
                <w:sz w:val="19"/>
                <w:szCs w:val="19"/>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Telecom</w:t>
            </w:r>
          </w:p>
        </w:tc>
        <w:tc>
          <w:tcPr>
            <w:tcW w:w="10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b w:val="1"/>
                <w:bCs w:val="1"/>
                <w:color w:val="auto"/>
                <w:w w:val="87"/>
              </w:rPr>
              <w:t>Consolidated</w:t>
            </w: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24,834</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28,838</w:t>
            </w:r>
          </w:p>
        </w:tc>
      </w:tr>
      <w:tr>
        <w:trPr>
          <w:trHeight w:val="209"/>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18,578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51,087</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59,132</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58,567</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51,652</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110,219</w:t>
            </w:r>
          </w:p>
        </w:tc>
      </w:tr>
      <w:tr>
        <w:trPr>
          <w:trHeight w:val="20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34,580</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182"/>
        </w:trPr>
        <w:tc>
          <w:tcPr>
            <w:tcW w:w="3500" w:type="dxa"/>
            <w:vAlign w:val="bottom"/>
            <w:tcBorders>
              <w:top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Total Communication Services</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88,609</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85,368</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173,977</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4,904</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92,206</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182,213</w:t>
            </w:r>
          </w:p>
        </w:tc>
      </w:tr>
      <w:tr>
        <w:trPr>
          <w:trHeight w:val="197"/>
        </w:trPr>
        <w:tc>
          <w:tcPr>
            <w:tcW w:w="3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13,360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(12,637)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1,439</w:t>
            </w:r>
          </w:p>
        </w:tc>
      </w:tr>
    </w:tbl>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Reconciling items refer to corporate overhead costs and consolidating adjustments.</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comparison of our segment results for the three months ended September 30, 2023, and 2022 is as follows:</w:t>
      </w:r>
    </w:p>
    <w:p>
      <w:pPr>
        <w:spacing w:after="0" w:line="196"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i w:val="1"/>
          <w:iCs w:val="1"/>
          <w:color w:val="auto"/>
        </w:rPr>
        <w:t>International Telecom</w:t>
      </w:r>
      <w:r>
        <w:rPr>
          <w:rFonts w:ascii="Arial" w:cs="Arial" w:eastAsia="Arial" w:hAnsi="Arial"/>
          <w:sz w:val="16"/>
          <w:szCs w:val="16"/>
          <w:color w:val="auto"/>
        </w:rPr>
        <w:t>. Revenues within our International Telecom segment increased $3.9 million, or 4.3%, to</w:t>
      </w:r>
      <w:r>
        <w:rPr>
          <w:rFonts w:ascii="Arial" w:cs="Arial" w:eastAsia="Arial" w:hAnsi="Arial"/>
          <w:sz w:val="16"/>
          <w:szCs w:val="16"/>
          <w:i w:val="1"/>
          <w:iCs w:val="1"/>
          <w:color w:val="auto"/>
        </w:rPr>
        <w:t xml:space="preserve"> </w:t>
      </w:r>
      <w:r>
        <w:rPr>
          <w:rFonts w:ascii="Arial" w:cs="Arial" w:eastAsia="Arial" w:hAnsi="Arial"/>
          <w:sz w:val="16"/>
          <w:szCs w:val="16"/>
          <w:color w:val="auto"/>
        </w:rPr>
        <w:t>$93.9 million from $90.0 million for the three months ended September 30, 2023 and 2022, respectively, as a result of growth in Mobility, Fixed, Carrier Services, and other communications services revenues. Network upgrades and expansions, increased marketing activities and improved customer care led to an increase in mobile subscribers and revenues. Fixed subscriber and revenue growth resulted from an increase in the number of homes passed by high-speed data solutions which allowed us to migrate legacy copper customers to more high-speed data services. In addition, our Carrier Services revenue increased slightly in some of our markets as a result of increased roaming revenues due to increased international travel in those markets and other communications services revenues increased as a result of certain project related revenue being recognized during the three months ended September 30, 2023.</w:t>
      </w:r>
    </w:p>
    <w:p>
      <w:pPr>
        <w:spacing w:after="0" w:line="126"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Operating expenses within our International Telecom segment increased by $4.5 million, or 5.9%, to $81.1 million from $76.6 million for the three months ended September 30, 2023 and 2022, respectively. The increase was primarily the result of increases in retail and marketing personnel and program costs to support the expansion of our mobile and broadband customer bases and an increase in certain regulatory fees.</w:t>
      </w:r>
    </w:p>
    <w:p>
      <w:pPr>
        <w:spacing w:after="0" w:line="160" w:lineRule="exact"/>
        <w:rPr>
          <w:sz w:val="20"/>
          <w:szCs w:val="20"/>
          <w:color w:val="auto"/>
        </w:rPr>
      </w:pPr>
    </w:p>
    <w:p>
      <w:pPr>
        <w:ind w:left="60" w:right="519" w:firstLine="648"/>
        <w:spacing w:after="0" w:line="308" w:lineRule="auto"/>
        <w:rPr>
          <w:sz w:val="20"/>
          <w:szCs w:val="20"/>
          <w:color w:val="auto"/>
        </w:rPr>
      </w:pPr>
      <w:r>
        <w:rPr>
          <w:rFonts w:ascii="Arial" w:cs="Arial" w:eastAsia="Arial" w:hAnsi="Arial"/>
          <w:sz w:val="17"/>
          <w:szCs w:val="17"/>
          <w:color w:val="auto"/>
        </w:rPr>
        <w:t>As a result, our International Telecom segment’s operating income decreased $0.6 million, or 4.5%, to $12.8 million from $13.4 million for the three months ended September 30, 2023 and 2022, respectively.</w:t>
      </w:r>
    </w:p>
    <w:p>
      <w:pPr>
        <w:spacing w:after="0" w:line="106" w:lineRule="exact"/>
        <w:rPr>
          <w:sz w:val="20"/>
          <w:szCs w:val="20"/>
          <w:color w:val="auto"/>
        </w:rPr>
      </w:pPr>
    </w:p>
    <w:p>
      <w:pPr>
        <w:jc w:val="both"/>
        <w:ind w:left="60" w:right="139" w:firstLine="648"/>
        <w:spacing w:after="0" w:line="301" w:lineRule="auto"/>
        <w:rPr>
          <w:sz w:val="20"/>
          <w:szCs w:val="20"/>
          <w:color w:val="auto"/>
        </w:rPr>
      </w:pPr>
      <w:r>
        <w:rPr>
          <w:rFonts w:ascii="Arial" w:cs="Arial" w:eastAsia="Arial" w:hAnsi="Arial"/>
          <w:sz w:val="16"/>
          <w:szCs w:val="16"/>
          <w:i w:val="1"/>
          <w:iCs w:val="1"/>
          <w:color w:val="auto"/>
        </w:rPr>
        <w:t xml:space="preserve">US Telecom. </w:t>
      </w:r>
      <w:r>
        <w:rPr>
          <w:rFonts w:ascii="Arial" w:cs="Arial" w:eastAsia="Arial" w:hAnsi="Arial"/>
          <w:sz w:val="16"/>
          <w:szCs w:val="16"/>
          <w:color w:val="auto"/>
        </w:rPr>
        <w:t>Revenue within our US Telecom segment increased by $5.0 million, or 5.4%, to $97.2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$92.2 million for the three months ended September 30, 2023 and 2022, respectively. Increases in revenues from business customers within our Alaska subsidiary and the impact of the Sacred Wind Transaction were partially offset by a reduction in construction revenue related to the FirstNet Transaction, a reduction in roaming revenue due to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restructuring of certain carrier contracts in our western United States operations, and a reduction in our wholesale long-distance service revenues.</w:t>
      </w:r>
    </w:p>
    <w:p>
      <w:pPr>
        <w:spacing w:after="0" w:line="143"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Operating expenses within our US Telecom segment increased $2.6 million, or 2.8%, to $94.1 million from $91.5 million for the three months ended September 30, 2023 and 2022, respectively, as a result of increases in expenses being incurred to support the increased revenues within our Alaska operations and the impact of the Sacred Wind Transaction partially offset by the decreases in FirstNet construction costs and in costs related to our wholesale long-distance business as a result of its decrease in revenues.</w:t>
      </w:r>
    </w:p>
    <w:p>
      <w:pPr>
        <w:spacing w:after="0" w:line="147" w:lineRule="exact"/>
        <w:rPr>
          <w:sz w:val="20"/>
          <w:szCs w:val="20"/>
          <w:color w:val="auto"/>
        </w:rPr>
      </w:pPr>
    </w:p>
    <w:p>
      <w:pPr>
        <w:ind w:left="60" w:right="299" w:firstLine="648"/>
        <w:spacing w:after="0" w:line="308" w:lineRule="auto"/>
        <w:rPr>
          <w:sz w:val="20"/>
          <w:szCs w:val="20"/>
          <w:color w:val="auto"/>
        </w:rPr>
      </w:pPr>
      <w:r>
        <w:rPr>
          <w:rFonts w:ascii="Arial" w:cs="Arial" w:eastAsia="Arial" w:hAnsi="Arial"/>
          <w:sz w:val="17"/>
          <w:szCs w:val="17"/>
          <w:color w:val="auto"/>
        </w:rPr>
        <w:t>As a result of the above, our US Telecom segment’s operating income increased by $2.3 million to $3.0 million from income of $0.7 million for the three months ended September 30, 2023 and 2022, respectively.</w:t>
      </w:r>
    </w:p>
    <w:p>
      <w:pPr>
        <w:spacing w:after="0" w:line="106"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represents a year over year discussion and analysis of our results of operations for the three months ended September 30, 2023 and 2022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b w:val="1"/>
                <w:bCs w:val="1"/>
                <w:color w:val="auto"/>
                <w:w w:val="87"/>
              </w:rPr>
              <w:t>Increase</w:t>
            </w:r>
          </w:p>
        </w:tc>
        <w:tc>
          <w:tcPr>
            <w:tcW w:w="2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(Decrease)</w:t>
            </w:r>
          </w:p>
        </w:tc>
        <w:tc>
          <w:tcPr>
            <w:tcW w:w="84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2"/>
              </w:rPr>
              <w:t>(Decrease)</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Communication services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184,601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173,977</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10,624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191,036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182,213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60" w:type="dxa"/>
            <w:vAlign w:val="bottom"/>
          </w:tcPr>
          <w:p>
            <w:pPr>
              <w:spacing w:after="0" w:line="182" w:lineRule="exact"/>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t>
            </w:r>
            <w:r>
              <w:rPr>
                <w:rFonts w:ascii="Arial" w:cs="Arial" w:eastAsia="Arial" w:hAnsi="Arial"/>
                <w:sz w:val="18"/>
                <w:szCs w:val="18"/>
                <w:i w:val="1"/>
                <w:iCs w:val="1"/>
                <w:color w:val="auto"/>
              </w:rPr>
              <w:t>excluding depreciation and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amortization unless otherwise indicated</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communications services and other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Cost of construction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Transaction-related charges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Amortization of intangibles from acquisitions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disposition of long-lived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184,200</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180,774</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2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(11,445)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(5,932)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(11,096)</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2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2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60" w:type="dxa"/>
            <w:vAlign w:val="bottom"/>
          </w:tcPr>
          <w:p>
            <w:pPr>
              <w:ind w:left="220"/>
              <w:spacing w:after="0" w:line="201" w:lineRule="exact"/>
              <w:rPr>
                <w:sz w:val="20"/>
                <w:szCs w:val="20"/>
                <w:color w:val="auto"/>
              </w:rPr>
            </w:pPr>
            <w:r>
              <w:rPr>
                <w:rFonts w:ascii="Arial" w:cs="Arial" w:eastAsia="Arial" w:hAnsi="Arial"/>
                <w:sz w:val="18"/>
                <w:szCs w:val="18"/>
                <w:color w:val="auto"/>
                <w:w w:val="94"/>
              </w:rPr>
              <w:t>Net (income) loss attributable to noncontrolling interests, net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2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9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NET LOSS ATTRIBUTABLE TO ATN</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60" w:type="dxa"/>
            <w:vAlign w:val="bottom"/>
            <w:gridSpan w:val="2"/>
            <w:vMerge w:val="restart"/>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INC. STOCKHOLDERS</w:t>
            </w:r>
          </w:p>
        </w:tc>
        <w:tc>
          <w:tcPr>
            <w:tcW w:w="28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Communications Services Revenue</w:t>
      </w:r>
    </w:p>
    <w:p>
      <w:pPr>
        <w:spacing w:after="0" w:line="262" w:lineRule="exact"/>
        <w:rPr>
          <w:sz w:val="20"/>
          <w:szCs w:val="20"/>
          <w:color w:val="auto"/>
        </w:rPr>
      </w:pPr>
    </w:p>
    <w:p>
      <w:pPr>
        <w:ind w:left="60" w:right="219" w:firstLine="648"/>
        <w:spacing w:after="0" w:line="261" w:lineRule="auto"/>
        <w:rPr>
          <w:sz w:val="20"/>
          <w:szCs w:val="20"/>
          <w:color w:val="auto"/>
        </w:rPr>
      </w:pPr>
      <w:r>
        <w:rPr>
          <w:rFonts w:ascii="Arial" w:cs="Arial" w:eastAsia="Arial" w:hAnsi="Arial"/>
          <w:sz w:val="18"/>
          <w:szCs w:val="18"/>
          <w:b w:val="1"/>
          <w:bCs w:val="1"/>
          <w:color w:val="auto"/>
        </w:rPr>
        <w:t xml:space="preserve">Mobility Revenue. </w:t>
      </w:r>
      <w:r>
        <w:rPr>
          <w:rFonts w:ascii="Arial" w:cs="Arial" w:eastAsia="Arial" w:hAnsi="Arial"/>
          <w:sz w:val="18"/>
          <w:szCs w:val="18"/>
          <w:color w:val="auto"/>
        </w:rPr>
        <w:t>Our Mobility revenue consists of retail revenue generated within both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Telecom and US Telecom segments by providing retail mobile voice and data services over our wireless networks as well as through the sale and repair services of related equipment, such as handsets and other accessories, to our retail subscribers.</w:t>
      </w:r>
    </w:p>
    <w:p>
      <w:pPr>
        <w:spacing w:after="0" w:line="224"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Mobility revenue decreased by $0.1 million, or 0.3%, to $28.7 million for the three months ended September 30, 2023 from $28.8 million for the three months ended September 30, 2022. Mobility revenue from both business and consumer customers for the three months ended September 30, 2023 declined slightly as compared to the three months ended September 30, 2022.</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decrease in Mobility revenue, within our segments, consisted of the following:</w:t>
      </w:r>
    </w:p>
    <w:p>
      <w:pPr>
        <w:spacing w:after="0" w:line="266" w:lineRule="exact"/>
        <w:rPr>
          <w:sz w:val="20"/>
          <w:szCs w:val="20"/>
          <w:color w:val="auto"/>
        </w:rPr>
      </w:pPr>
    </w:p>
    <w:p>
      <w:pPr>
        <w:ind w:left="720" w:right="79" w:hanging="319"/>
        <w:spacing w:after="0" w:line="296"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Telecom. </w:t>
      </w:r>
      <w:r>
        <w:rPr>
          <w:rFonts w:ascii="Arial" w:cs="Arial" w:eastAsia="Arial" w:hAnsi="Arial"/>
          <w:sz w:val="16"/>
          <w:szCs w:val="16"/>
          <w:color w:val="auto"/>
        </w:rPr>
        <w:t>Within our International Telecom segment, Mobility revenue increased by $1.3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4.9%, to $27.8 million for the three months ended September 30, 2023 from $26.5 million for the three months ended September 30, 2022. The increase in Mobility revenue within this segment was recognized in all of our international markets and was attributable to an increase in revenue from consumers as a result of improved customer care, marketing strategies and network upgrades and expansions which led to an increase in subscribers.</w:t>
      </w:r>
    </w:p>
    <w:p>
      <w:pPr>
        <w:spacing w:after="0" w:line="161" w:lineRule="exact"/>
        <w:rPr>
          <w:rFonts w:ascii="Arial" w:cs="Arial" w:eastAsia="Arial" w:hAnsi="Arial"/>
          <w:sz w:val="16"/>
          <w:szCs w:val="16"/>
          <w:color w:val="auto"/>
        </w:rPr>
      </w:pPr>
    </w:p>
    <w:p>
      <w:pPr>
        <w:ind w:left="720" w:right="259" w:hanging="319"/>
        <w:spacing w:after="0" w:line="286"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US Telecom</w:t>
      </w:r>
      <w:r>
        <w:rPr>
          <w:rFonts w:ascii="Arial" w:cs="Arial" w:eastAsia="Arial" w:hAnsi="Arial"/>
          <w:sz w:val="17"/>
          <w:szCs w:val="17"/>
          <w:color w:val="auto"/>
        </w:rPr>
        <w:t>. Mobility revenue within our US Telecom segment decreased by $1.5 million, or 62.5%, to $0.9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$2.4 million for the three months ended September 30, 2023 and 2022, respectively. Substantially all of the decrease related to a decrease in consumer subscribers within our retail operations.</w:t>
      </w:r>
    </w:p>
    <w:p>
      <w:pPr>
        <w:spacing w:after="0" w:line="206"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Mobility revenue within our International Telecom segment may increase as a result of our marketing efforts to increase the number of our subscribers. However, increased competition may limit revenue growth from mobility services. We expect that Mobility revenue within our US Telecom segment will decrease over time as we put more emphasis on other revenue sources within that segment.</w:t>
      </w:r>
    </w:p>
    <w:p>
      <w:pPr>
        <w:spacing w:after="0" w:line="21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7"/>
          <w:szCs w:val="17"/>
          <w:b w:val="1"/>
          <w:bCs w:val="1"/>
          <w:color w:val="auto"/>
        </w:rPr>
        <w:t xml:space="preserve">Fixed Revenue. </w:t>
      </w:r>
      <w:r>
        <w:rPr>
          <w:rFonts w:ascii="Arial" w:cs="Arial" w:eastAsia="Arial" w:hAnsi="Arial"/>
          <w:sz w:val="17"/>
          <w:szCs w:val="17"/>
          <w:color w:val="auto"/>
        </w:rPr>
        <w:t>Fixed revenue is primarily generated by broadband, voice, and video service revenues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to retail and business customers over our wireline networks. Fixed revenue within our US Telecom segment also includes awards from the Connect America Fund Phase II program in the western United States and Alaska, as well as revenue from the Alaska Universal Service Fund. Within our International Telecom segment, Fixed revenue also includes funding under the FCC’s High Cost Program in the US Virgin Islands.</w:t>
      </w:r>
    </w:p>
    <w:p>
      <w:pPr>
        <w:spacing w:after="0" w:line="212" w:lineRule="exact"/>
        <w:rPr>
          <w:sz w:val="20"/>
          <w:szCs w:val="20"/>
          <w:color w:val="auto"/>
        </w:rPr>
      </w:pPr>
    </w:p>
    <w:p>
      <w:pPr>
        <w:ind w:left="60" w:right="419" w:firstLine="648"/>
        <w:spacing w:after="0" w:line="259" w:lineRule="auto"/>
        <w:rPr>
          <w:sz w:val="20"/>
          <w:szCs w:val="20"/>
          <w:color w:val="auto"/>
        </w:rPr>
      </w:pPr>
      <w:r>
        <w:rPr>
          <w:rFonts w:ascii="Arial" w:cs="Arial" w:eastAsia="Arial" w:hAnsi="Arial"/>
          <w:sz w:val="18"/>
          <w:szCs w:val="18"/>
          <w:color w:val="auto"/>
        </w:rPr>
        <w:t>Fixed revenue increased by $8.1 million, or 7.4%, to $118.3 million from $110.2 million for the three months ended September 30, 2023 and 2022, respectively. Of this increase, $2.6 million and $5.5 million relate to increases in revenue from business and consumer customers, respectively. The increase in Fixed revenue, within our segments, consisted of the following:</w:t>
      </w:r>
    </w:p>
    <w:p>
      <w:pPr>
        <w:spacing w:after="0" w:line="227"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International Telecom</w:t>
      </w:r>
      <w:r>
        <w:rPr>
          <w:rFonts w:ascii="Arial" w:cs="Arial" w:eastAsia="Arial" w:hAnsi="Arial"/>
          <w:sz w:val="17"/>
          <w:szCs w:val="17"/>
          <w:color w:val="auto"/>
        </w:rPr>
        <w:t>. Within our International Telecom segment, Fixed revenue increased by $1.4 million, or</w:t>
      </w:r>
    </w:p>
    <w:p>
      <w:pPr>
        <w:spacing w:after="0" w:line="34" w:lineRule="exact"/>
        <w:rPr>
          <w:rFonts w:ascii="Arial" w:cs="Arial" w:eastAsia="Arial" w:hAnsi="Arial"/>
          <w:sz w:val="17"/>
          <w:szCs w:val="17"/>
          <w:color w:val="auto"/>
        </w:rPr>
      </w:pPr>
    </w:p>
    <w:p>
      <w:pPr>
        <w:ind w:left="720" w:right="99"/>
        <w:spacing w:after="0" w:line="253" w:lineRule="auto"/>
        <w:rPr>
          <w:rFonts w:ascii="Arial" w:cs="Arial" w:eastAsia="Arial" w:hAnsi="Arial"/>
          <w:sz w:val="17"/>
          <w:szCs w:val="17"/>
          <w:color w:val="auto"/>
        </w:rPr>
      </w:pPr>
      <w:r>
        <w:rPr>
          <w:rFonts w:ascii="Arial" w:cs="Arial" w:eastAsia="Arial" w:hAnsi="Arial"/>
          <w:sz w:val="18"/>
          <w:szCs w:val="18"/>
          <w:color w:val="auto"/>
        </w:rPr>
        <w:t>2.4%, to $60.0 million from $58.6 million for the three months ended September 30, 2023 and 2022, respectively. Network upgrades and expansions, increased marketing activities and improved customer care led to an increase in fixed subscribers and revenues. Fixed subscriber growth resulted from an increase in the number of homes passed by high-speed data solutions which allowed us to migrate legacy copper customers to more high-speed data services.</w:t>
      </w:r>
    </w:p>
    <w:p>
      <w:pPr>
        <w:spacing w:after="0" w:line="190" w:lineRule="exact"/>
        <w:rPr>
          <w:rFonts w:ascii="Arial" w:cs="Arial" w:eastAsia="Arial" w:hAnsi="Arial"/>
          <w:sz w:val="17"/>
          <w:szCs w:val="17"/>
          <w:color w:val="auto"/>
        </w:rPr>
      </w:pPr>
    </w:p>
    <w:p>
      <w:pPr>
        <w:ind w:left="720" w:right="159" w:hanging="319"/>
        <w:spacing w:after="0" w:line="286"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US Telecom</w:t>
      </w:r>
      <w:r>
        <w:rPr>
          <w:rFonts w:ascii="Arial" w:cs="Arial" w:eastAsia="Arial" w:hAnsi="Arial"/>
          <w:sz w:val="17"/>
          <w:szCs w:val="17"/>
          <w:color w:val="auto"/>
        </w:rPr>
        <w:t>. Fixed revenue within our US Telecom segment increased by $6.6 million, or 12.8%, to $58.3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$51.7 million for the three months ended September 30, 2023 and 2022, respectively. This increase was primarily related to an increase in revenue from business customers and Covid-19 related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19"/>
        <w:spacing w:after="0" w:line="277" w:lineRule="auto"/>
        <w:rPr>
          <w:sz w:val="20"/>
          <w:szCs w:val="20"/>
          <w:color w:val="auto"/>
        </w:rPr>
      </w:pPr>
      <w:r>
        <w:rPr>
          <w:rFonts w:ascii="Arial" w:cs="Arial" w:eastAsia="Arial" w:hAnsi="Arial"/>
          <w:sz w:val="18"/>
          <w:szCs w:val="18"/>
          <w:color w:val="auto"/>
        </w:rPr>
        <w:t>Emergency Connectivity Fund revenue in Alaska, the revenue impact of the Sacred Wind Transaction, and increases from our western United States operations.</w:t>
      </w:r>
    </w:p>
    <w:p>
      <w:pPr>
        <w:spacing w:after="0" w:line="211"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Fixed revenue within our International Telecom segment may continue to increase as a result of an increase in demand for broadband and other data services from consumers, businesses and government, driven by such trends as the popularity of video and audio streaming, demand for cloud services and smart home, business and city solutions as well as macro-economic and population growth in places like the Cayman Islands and Guyana. However, such increases may be offset by a decrease in demand for our video services due to subscribers using alternative methods to receive video content.</w:t>
      </w:r>
    </w:p>
    <w:p>
      <w:pPr>
        <w:spacing w:after="0" w:line="202" w:lineRule="exact"/>
        <w:rPr>
          <w:sz w:val="20"/>
          <w:szCs w:val="20"/>
          <w:color w:val="auto"/>
        </w:rPr>
      </w:pPr>
    </w:p>
    <w:p>
      <w:pPr>
        <w:ind w:left="60" w:right="459" w:firstLine="648"/>
        <w:spacing w:after="0" w:line="279" w:lineRule="auto"/>
        <w:rPr>
          <w:sz w:val="20"/>
          <w:szCs w:val="20"/>
          <w:color w:val="auto"/>
        </w:rPr>
      </w:pPr>
      <w:r>
        <w:rPr>
          <w:rFonts w:ascii="Arial" w:cs="Arial" w:eastAsia="Arial" w:hAnsi="Arial"/>
          <w:sz w:val="17"/>
          <w:szCs w:val="17"/>
          <w:color w:val="auto"/>
        </w:rPr>
        <w:t>Within our US Telecom segment, Fixed revenue is expected to decrease as the Covid-19 related Emergency Connectivity Fund programs cease in Alaska. These decreases are expected to be partially offset by increases in other enterprise revenue in Alaska and our western United States operations, including the impact of the Sacred Wind Transaction, as we further deploy broadband access to both consumers and businesses.</w:t>
      </w:r>
    </w:p>
    <w:p>
      <w:pPr>
        <w:spacing w:after="0" w:line="194" w:lineRule="exact"/>
        <w:rPr>
          <w:sz w:val="20"/>
          <w:szCs w:val="20"/>
          <w:color w:val="auto"/>
        </w:rPr>
      </w:pPr>
    </w:p>
    <w:p>
      <w:pPr>
        <w:ind w:left="60" w:right="179" w:firstLine="648"/>
        <w:spacing w:after="0" w:line="294" w:lineRule="auto"/>
        <w:rPr>
          <w:sz w:val="20"/>
          <w:szCs w:val="20"/>
          <w:color w:val="auto"/>
        </w:rPr>
      </w:pPr>
      <w:r>
        <w:rPr>
          <w:rFonts w:ascii="Arial" w:cs="Arial" w:eastAsia="Arial" w:hAnsi="Arial"/>
          <w:sz w:val="16"/>
          <w:szCs w:val="16"/>
          <w:b w:val="1"/>
          <w:bCs w:val="1"/>
          <w:color w:val="auto"/>
        </w:rPr>
        <w:t xml:space="preserve">Carrier Services Revenue. </w:t>
      </w:r>
      <w:r>
        <w:rPr>
          <w:rFonts w:ascii="Arial" w:cs="Arial" w:eastAsia="Arial" w:hAnsi="Arial"/>
          <w:sz w:val="16"/>
          <w:szCs w:val="16"/>
          <w:color w:val="auto"/>
        </w:rPr>
        <w:t>Carrier Services revenue is generated by both our International Telecom and US</w:t>
      </w:r>
      <w:r>
        <w:rPr>
          <w:rFonts w:ascii="Arial" w:cs="Arial" w:eastAsia="Arial" w:hAnsi="Arial"/>
          <w:sz w:val="16"/>
          <w:szCs w:val="16"/>
          <w:b w:val="1"/>
          <w:bCs w:val="1"/>
          <w:color w:val="auto"/>
        </w:rPr>
        <w:t xml:space="preserve"> </w:t>
      </w:r>
      <w:r>
        <w:rPr>
          <w:rFonts w:ascii="Arial" w:cs="Arial" w:eastAsia="Arial" w:hAnsi="Arial"/>
          <w:sz w:val="16"/>
          <w:szCs w:val="16"/>
          <w:color w:val="auto"/>
        </w:rPr>
        <w:t>Telecom segments</w:t>
      </w:r>
      <w:r>
        <w:rPr>
          <w:rFonts w:ascii="Arial" w:cs="Arial" w:eastAsia="Arial" w:hAnsi="Arial"/>
          <w:sz w:val="16"/>
          <w:szCs w:val="16"/>
          <w:b w:val="1"/>
          <w:bCs w:val="1"/>
          <w:color w:val="auto"/>
        </w:rPr>
        <w:t>.</w:t>
      </w:r>
      <w:r>
        <w:rPr>
          <w:rFonts w:ascii="Arial" w:cs="Arial" w:eastAsia="Arial" w:hAnsi="Arial"/>
          <w:sz w:val="16"/>
          <w:szCs w:val="16"/>
          <w:color w:val="auto"/>
        </w:rPr>
        <w:t xml:space="preserve"> Within our 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Transaction, wholesale roaming revenues, the provision of network switching services, tower lease revenue and other services provided to other carriers.</w:t>
      </w:r>
    </w:p>
    <w:p>
      <w:pPr>
        <w:spacing w:after="0" w:line="204"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Carrier Services revenue increased by $1.2 million, or 3.5%, to $35.8 million from $34.6 million for the three months ended September 30, 2023 and 2022, respectively. The increase, within our segments, consisted of the following:</w:t>
      </w:r>
    </w:p>
    <w:p>
      <w:pPr>
        <w:spacing w:after="0" w:line="164" w:lineRule="exact"/>
        <w:rPr>
          <w:sz w:val="20"/>
          <w:szCs w:val="20"/>
          <w:color w:val="auto"/>
        </w:rPr>
      </w:pPr>
    </w:p>
    <w:p>
      <w:pPr>
        <w:ind w:left="720" w:right="339" w:hanging="319"/>
        <w:spacing w:after="0" w:line="311"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International Telecom</w:t>
      </w:r>
      <w:r>
        <w:rPr>
          <w:rFonts w:ascii="Arial" w:cs="Arial" w:eastAsia="Arial" w:hAnsi="Arial"/>
          <w:sz w:val="16"/>
          <w:szCs w:val="16"/>
          <w:color w:val="auto"/>
        </w:rPr>
        <w:t>. Within our International Telecom segment, Carrier Services revenue increased by $0.2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6.3%, to $3.4 million from $3.2 million for the three months ended September 30, 2023 and 2022, respectively, as a result of an increase in roaming revenues due to increased international travel.</w:t>
      </w:r>
    </w:p>
    <w:p>
      <w:pPr>
        <w:spacing w:after="0" w:line="148" w:lineRule="exact"/>
        <w:rPr>
          <w:rFonts w:ascii="Arial" w:cs="Arial" w:eastAsia="Arial" w:hAnsi="Arial"/>
          <w:sz w:val="16"/>
          <w:szCs w:val="16"/>
          <w:color w:val="auto"/>
        </w:rPr>
      </w:pPr>
    </w:p>
    <w:p>
      <w:pPr>
        <w:ind w:left="720" w:right="259" w:hanging="319"/>
        <w:spacing w:after="0" w:line="25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Carrier Services revenue within our US Telecom segment increased by $0.9 million, or 2.9%, to</w:t>
      </w:r>
      <w:r>
        <w:rPr>
          <w:rFonts w:ascii="Arial" w:cs="Arial" w:eastAsia="Arial" w:hAnsi="Arial"/>
          <w:sz w:val="18"/>
          <w:szCs w:val="18"/>
          <w:i w:val="1"/>
          <w:iCs w:val="1"/>
          <w:color w:val="auto"/>
        </w:rPr>
        <w:t xml:space="preserve"> </w:t>
      </w:r>
      <w:r>
        <w:rPr>
          <w:rFonts w:ascii="Arial" w:cs="Arial" w:eastAsia="Arial" w:hAnsi="Arial"/>
          <w:sz w:val="18"/>
          <w:szCs w:val="18"/>
          <w:color w:val="auto"/>
        </w:rPr>
        <w:t>$32.3 million from $31.4 million, for the three months ended September 30, 2023 and 2022, respectively, primarily driven by the Sacred Wind Transaction and an increase in these revenues from our Alaska operations. Partially offsetting these increases was a decline in revenue from our wholesale long-distance voice services business.</w:t>
      </w:r>
    </w:p>
    <w:p>
      <w:pPr>
        <w:spacing w:after="0" w:line="215"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Within our International Telecom segment, Carrier Services revenue may continue to increase if international travel continues to increase. However, within our International Telecom segment, Carrier Services revenue from our international long distance business in Guyana may decrease as consumers seek to use alternative technology services to place long-distance calls.</w:t>
      </w:r>
    </w:p>
    <w:p>
      <w:pPr>
        <w:spacing w:after="0" w:line="227"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Within our US Telecom segment, Carrier Services revenue may increase as a result of recent carrier service management contracts and expected growth in offered services.</w:t>
      </w:r>
    </w:p>
    <w:p>
      <w:pPr>
        <w:spacing w:after="0" w:line="207" w:lineRule="exact"/>
        <w:rPr>
          <w:sz w:val="20"/>
          <w:szCs w:val="20"/>
          <w:color w:val="auto"/>
        </w:rPr>
      </w:pPr>
    </w:p>
    <w:p>
      <w:pPr>
        <w:ind w:left="60" w:right="139" w:firstLine="648"/>
        <w:spacing w:after="0" w:line="258" w:lineRule="auto"/>
        <w:rPr>
          <w:sz w:val="20"/>
          <w:szCs w:val="20"/>
          <w:color w:val="auto"/>
        </w:rPr>
      </w:pPr>
      <w:r>
        <w:rPr>
          <w:rFonts w:ascii="Arial" w:cs="Arial" w:eastAsia="Arial" w:hAnsi="Arial"/>
          <w:sz w:val="18"/>
          <w:szCs w:val="18"/>
          <w:b w:val="1"/>
          <w:bCs w:val="1"/>
          <w:color w:val="auto"/>
        </w:rPr>
        <w:t xml:space="preserve">Other Communications Services Revenue. </w:t>
      </w:r>
      <w:r>
        <w:rPr>
          <w:rFonts w:ascii="Arial" w:cs="Arial" w:eastAsia="Arial" w:hAnsi="Arial"/>
          <w:sz w:val="18"/>
          <w:szCs w:val="18"/>
          <w:color w:val="auto"/>
        </w:rPr>
        <w:t>Other Communications Services revenue includes 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that the operations within our International Telecom segment provide to retail subscribers. Other Communications Services revenue increased to $1.8 million from $0.3 million for the three months ended September 30, 2023 and 2022, respectively, as a result of certain project-related revenue being recognized during the three months ended September 30, 2023.</w:t>
      </w:r>
    </w:p>
    <w:p>
      <w:pPr>
        <w:spacing w:after="0" w:line="214" w:lineRule="exact"/>
        <w:rPr>
          <w:sz w:val="20"/>
          <w:szCs w:val="20"/>
          <w:color w:val="auto"/>
        </w:rPr>
      </w:pPr>
    </w:p>
    <w:p>
      <w:pPr>
        <w:ind w:left="60" w:right="319" w:firstLine="648"/>
        <w:spacing w:after="0" w:line="308" w:lineRule="auto"/>
        <w:rPr>
          <w:sz w:val="20"/>
          <w:szCs w:val="20"/>
          <w:color w:val="auto"/>
        </w:rPr>
      </w:pPr>
      <w:r>
        <w:rPr>
          <w:rFonts w:ascii="Arial" w:cs="Arial" w:eastAsia="Arial" w:hAnsi="Arial"/>
          <w:sz w:val="17"/>
          <w:szCs w:val="17"/>
          <w:color w:val="auto"/>
        </w:rPr>
        <w:t>We expect that other communications services revenue will decline to previously reported levels as the project-related revenue, reported during the three months ended September 30, 2023, is not expected to continue.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Construction Revenue</w:t>
      </w:r>
    </w:p>
    <w:p>
      <w:pPr>
        <w:spacing w:after="0" w:line="266"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Construction revenue represents revenue generated within our US Telecom segment for the construction of network cell sites related to the FirstNet Agreement. During the three months ended September 30, 2023 and 2022, Construction revenue decreased to $2.0 million from $3.3 million, respectively, as a result of a decrease in the number of sites completed during 2023 as compared to 2022. We expect to substantially complete the build by the end of 2024 with the remainder to be completed in early 2025.</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Revenue</w:t>
      </w:r>
    </w:p>
    <w:p>
      <w:pPr>
        <w:spacing w:after="0" w:line="248" w:lineRule="exact"/>
        <w:rPr>
          <w:sz w:val="20"/>
          <w:szCs w:val="20"/>
          <w:color w:val="auto"/>
        </w:rPr>
      </w:pPr>
    </w:p>
    <w:p>
      <w:pPr>
        <w:ind w:left="60" w:right="119" w:firstLine="648"/>
        <w:spacing w:after="0" w:line="261" w:lineRule="auto"/>
        <w:rPr>
          <w:sz w:val="20"/>
          <w:szCs w:val="20"/>
          <w:color w:val="auto"/>
        </w:rPr>
      </w:pPr>
      <w:r>
        <w:rPr>
          <w:rFonts w:ascii="Arial" w:cs="Arial" w:eastAsia="Arial" w:hAnsi="Arial"/>
          <w:sz w:val="18"/>
          <w:szCs w:val="18"/>
          <w:b w:val="1"/>
          <w:bCs w:val="1"/>
          <w:color w:val="auto"/>
        </w:rPr>
        <w:t xml:space="preserve">Managed Services Revenue. </w:t>
      </w:r>
      <w:r>
        <w:rPr>
          <w:rFonts w:ascii="Arial" w:cs="Arial" w:eastAsia="Arial" w:hAnsi="Arial"/>
          <w:sz w:val="18"/>
          <w:szCs w:val="18"/>
          <w:color w:val="auto"/>
        </w:rPr>
        <w:t>Managed Services revenue is generated within both our International and US</w:t>
      </w:r>
      <w:r>
        <w:rPr>
          <w:rFonts w:ascii="Arial" w:cs="Arial" w:eastAsia="Arial" w:hAnsi="Arial"/>
          <w:sz w:val="18"/>
          <w:szCs w:val="18"/>
          <w:b w:val="1"/>
          <w:bCs w:val="1"/>
          <w:color w:val="auto"/>
        </w:rPr>
        <w:t xml:space="preserve"> </w:t>
      </w:r>
      <w:r>
        <w:rPr>
          <w:rFonts w:ascii="Arial" w:cs="Arial" w:eastAsia="Arial" w:hAnsi="Arial"/>
          <w:sz w:val="18"/>
          <w:szCs w:val="18"/>
          <w:color w:val="auto"/>
        </w:rPr>
        <w:t>Telecom segments and includes network, application, infrastructure, and hosting services. Managed Services revenue decreased by $0.5 million, or 10.2%, to $4.4 million from $4.9 million for the three months ended September 30, 2023 and 2022, respectively.</w:t>
      </w:r>
    </w:p>
    <w:p>
      <w:pPr>
        <w:spacing w:after="0" w:line="224"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i w:val="1"/>
          <w:iCs w:val="1"/>
          <w:color w:val="auto"/>
        </w:rPr>
        <w:t xml:space="preserve">International Telecom. </w:t>
      </w:r>
      <w:r>
        <w:rPr>
          <w:rFonts w:ascii="Arial" w:cs="Arial" w:eastAsia="Arial" w:hAnsi="Arial"/>
          <w:sz w:val="18"/>
          <w:szCs w:val="18"/>
          <w:color w:val="auto"/>
        </w:rPr>
        <w:t>Managed Services revenue in our International Telecom segment remained consistent at</w:t>
      </w:r>
      <w:r>
        <w:rPr>
          <w:rFonts w:ascii="Arial" w:cs="Arial" w:eastAsia="Arial" w:hAnsi="Arial"/>
          <w:sz w:val="18"/>
          <w:szCs w:val="18"/>
          <w:i w:val="1"/>
          <w:iCs w:val="1"/>
          <w:color w:val="auto"/>
        </w:rPr>
        <w:t xml:space="preserve"> </w:t>
      </w:r>
      <w:r>
        <w:rPr>
          <w:rFonts w:ascii="Arial" w:cs="Arial" w:eastAsia="Arial" w:hAnsi="Arial"/>
          <w:sz w:val="18"/>
          <w:szCs w:val="18"/>
          <w:color w:val="auto"/>
        </w:rPr>
        <w:t>$1.4 million for the three months ended September 30, 2023 and 2022.</w:t>
      </w:r>
    </w:p>
    <w:p>
      <w:pPr>
        <w:spacing w:after="0" w:line="211" w:lineRule="exact"/>
        <w:rPr>
          <w:sz w:val="20"/>
          <w:szCs w:val="20"/>
          <w:color w:val="auto"/>
        </w:rPr>
      </w:pPr>
    </w:p>
    <w:p>
      <w:pPr>
        <w:ind w:left="60" w:right="279" w:firstLine="648"/>
        <w:spacing w:after="0" w:line="308" w:lineRule="auto"/>
        <w:rPr>
          <w:sz w:val="20"/>
          <w:szCs w:val="20"/>
          <w:color w:val="auto"/>
        </w:rPr>
      </w:pPr>
      <w:r>
        <w:rPr>
          <w:rFonts w:ascii="Arial" w:cs="Arial" w:eastAsia="Arial" w:hAnsi="Arial"/>
          <w:sz w:val="17"/>
          <w:szCs w:val="17"/>
          <w:i w:val="1"/>
          <w:iCs w:val="1"/>
          <w:color w:val="auto"/>
        </w:rPr>
        <w:t>US Telecom</w:t>
      </w:r>
      <w:r>
        <w:rPr>
          <w:rFonts w:ascii="Arial" w:cs="Arial" w:eastAsia="Arial" w:hAnsi="Arial"/>
          <w:sz w:val="17"/>
          <w:szCs w:val="17"/>
          <w:color w:val="auto"/>
        </w:rPr>
        <w:t>. Within our US Telecom segment, Managed Services revenue decreased $0.5 million, or 14.3%, to</w:t>
      </w:r>
      <w:r>
        <w:rPr>
          <w:rFonts w:ascii="Arial" w:cs="Arial" w:eastAsia="Arial" w:hAnsi="Arial"/>
          <w:sz w:val="17"/>
          <w:szCs w:val="17"/>
          <w:i w:val="1"/>
          <w:iCs w:val="1"/>
          <w:color w:val="auto"/>
        </w:rPr>
        <w:t xml:space="preserve"> </w:t>
      </w:r>
      <w:r>
        <w:rPr>
          <w:rFonts w:ascii="Arial" w:cs="Arial" w:eastAsia="Arial" w:hAnsi="Arial"/>
          <w:sz w:val="17"/>
          <w:szCs w:val="17"/>
          <w:color w:val="auto"/>
        </w:rPr>
        <w:t>$3.0 million from $3.5 million for the three months ended September 30, 2023 and 2022, respectively.</w:t>
      </w:r>
    </w:p>
    <w:p>
      <w:pPr>
        <w:spacing w:after="0" w:line="173"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Managed Services revenue may increase in both our US and International Telecom segments as a result of our continued effort to sell certain Managed Services solutions to both our consumer and business customers in all of our markets.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2" w:lineRule="exact"/>
        <w:rPr>
          <w:sz w:val="20"/>
          <w:szCs w:val="20"/>
          <w:color w:val="auto"/>
        </w:rPr>
      </w:pPr>
    </w:p>
    <w:p>
      <w:pPr>
        <w:ind w:left="60" w:right="79" w:firstLine="648"/>
        <w:spacing w:after="0" w:line="292" w:lineRule="auto"/>
        <w:rPr>
          <w:sz w:val="20"/>
          <w:szCs w:val="20"/>
          <w:color w:val="auto"/>
        </w:rPr>
      </w:pPr>
      <w:r>
        <w:rPr>
          <w:rFonts w:ascii="Arial" w:cs="Arial" w:eastAsia="Arial" w:hAnsi="Arial"/>
          <w:sz w:val="16"/>
          <w:szCs w:val="16"/>
          <w:b w:val="1"/>
          <w:bCs w:val="1"/>
          <w:color w:val="auto"/>
        </w:rPr>
        <w:t xml:space="preserve">Cost of communication services and other. </w:t>
      </w:r>
      <w:r>
        <w:rPr>
          <w:rFonts w:ascii="Arial" w:cs="Arial" w:eastAsia="Arial" w:hAnsi="Arial"/>
          <w:sz w:val="16"/>
          <w:szCs w:val="16"/>
          <w:color w:val="auto"/>
        </w:rPr>
        <w:t>Cost of communication services and other are charges that we incur</w:t>
      </w:r>
      <w:r>
        <w:rPr>
          <w:rFonts w:ascii="Arial" w:cs="Arial" w:eastAsia="Arial" w:hAnsi="Arial"/>
          <w:sz w:val="16"/>
          <w:szCs w:val="16"/>
          <w:b w:val="1"/>
          <w:bCs w:val="1"/>
          <w:color w:val="auto"/>
        </w:rPr>
        <w:t xml:space="preserve"> </w:t>
      </w:r>
      <w:r>
        <w:rPr>
          <w:rFonts w:ascii="Arial" w:cs="Arial" w:eastAsia="Arial" w:hAnsi="Arial"/>
          <w:sz w:val="16"/>
          <w:szCs w:val="16"/>
          <w:color w:val="auto"/>
        </w:rPr>
        <w:t>for voice and data transport circuits (in particular, the circuits between our Mobility sites and our switches),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192"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Cost of communication services and other increased by $1.5 million, or 1.9%, to $80.4 million from $78.9 million for the three months ended September 30, 2023 and 2022, respectively. The increase in cost of communication services and other, within our segments, consisted of the following:</w:t>
      </w:r>
    </w:p>
    <w:p>
      <w:pPr>
        <w:spacing w:after="0" w:line="224" w:lineRule="exact"/>
        <w:rPr>
          <w:sz w:val="20"/>
          <w:szCs w:val="20"/>
          <w:color w:val="auto"/>
        </w:rPr>
      </w:pPr>
    </w:p>
    <w:p>
      <w:pPr>
        <w:ind w:left="720" w:right="139" w:hanging="319"/>
        <w:spacing w:after="0" w:line="259"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Telecom. </w:t>
      </w:r>
      <w:r>
        <w:rPr>
          <w:rFonts w:ascii="Arial" w:cs="Arial" w:eastAsia="Arial" w:hAnsi="Arial"/>
          <w:sz w:val="18"/>
          <w:szCs w:val="18"/>
          <w:color w:val="auto"/>
        </w:rPr>
        <w:t>Within our International Telecom segment, cost of communication services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$1.8 million, or 5.1%, to $37.4 million from $35.6 million, for the three months ended September 30, 2023 and 2022, respectively. This increase was the result of an increase in regulatory costs in certain markets partially offset by decreases in equipment expenses.</w:t>
      </w:r>
    </w:p>
    <w:p>
      <w:pPr>
        <w:spacing w:after="0" w:line="119" w:lineRule="exact"/>
        <w:rPr>
          <w:rFonts w:ascii="Arial" w:cs="Arial" w:eastAsia="Arial" w:hAnsi="Arial"/>
          <w:sz w:val="18"/>
          <w:szCs w:val="18"/>
          <w:color w:val="auto"/>
        </w:rPr>
      </w:pPr>
    </w:p>
    <w:p>
      <w:pPr>
        <w:ind w:left="720" w:right="79" w:hanging="319"/>
        <w:spacing w:after="0" w:line="25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Cost of communication services and other within our US Telecom segment remained consistent at</w:t>
      </w:r>
      <w:r>
        <w:rPr>
          <w:rFonts w:ascii="Arial" w:cs="Arial" w:eastAsia="Arial" w:hAnsi="Arial"/>
          <w:sz w:val="18"/>
          <w:szCs w:val="18"/>
          <w:i w:val="1"/>
          <w:iCs w:val="1"/>
          <w:color w:val="auto"/>
        </w:rPr>
        <w:t xml:space="preserve"> </w:t>
      </w:r>
      <w:r>
        <w:rPr>
          <w:rFonts w:ascii="Arial" w:cs="Arial" w:eastAsia="Arial" w:hAnsi="Arial"/>
          <w:sz w:val="18"/>
          <w:szCs w:val="18"/>
          <w:color w:val="auto"/>
        </w:rPr>
        <w:t>$43.3 million for the three months ended September 30, 2023 and 2022. Increases in these costs within our Alaska operations to support revenue growth and the Emergency Connectivity Fund revenue as well as the impact of the Sacred Wind Transaction were offset by reductions in our wholesale long-distance voice services business as a result of decreases in that operation’s revenues.</w:t>
      </w:r>
    </w:p>
    <w:p>
      <w:pPr>
        <w:spacing w:after="0" w:line="228"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Cost of communication services in both our International and US Telecom segments may increase in connection with our expected increase in fixed revenue and as a result of continued inflationary pressure.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7"/>
          <w:szCs w:val="17"/>
          <w:b w:val="1"/>
          <w:bCs w:val="1"/>
          <w:color w:val="auto"/>
        </w:rPr>
        <w:t xml:space="preserve">Cost of construction revenue. </w:t>
      </w:r>
      <w:r>
        <w:rPr>
          <w:rFonts w:ascii="Arial" w:cs="Arial" w:eastAsia="Arial" w:hAnsi="Arial"/>
          <w:sz w:val="17"/>
          <w:szCs w:val="17"/>
          <w:color w:val="auto"/>
        </w:rPr>
        <w:t>Cost of construction revenue includes the expenses incurred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construction of and the delivery to AT&amp;T of cell sites in accordance with our FirstNet Agreement. During the three months ended September 30, 2023 and 2022, cost of construction revenue decreased to $2.0 million from $3.3 million as a result of a decrease in the number of sites completed during 2023 as compared to 2022. We expect to substantially complete the build by the end of 2024 with the remainder to be completed in early 2025.</w:t>
      </w:r>
    </w:p>
    <w:p>
      <w:pPr>
        <w:spacing w:after="0" w:line="208" w:lineRule="exact"/>
        <w:rPr>
          <w:sz w:val="20"/>
          <w:szCs w:val="20"/>
          <w:color w:val="auto"/>
        </w:rPr>
      </w:pPr>
    </w:p>
    <w:p>
      <w:pPr>
        <w:ind w:left="60" w:right="119" w:firstLine="648"/>
        <w:spacing w:after="0" w:line="294"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Selling, general and administrative expenses include salaries and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204" w:lineRule="exact"/>
        <w:rPr>
          <w:sz w:val="20"/>
          <w:szCs w:val="20"/>
          <w:color w:val="auto"/>
        </w:rPr>
      </w:pPr>
    </w:p>
    <w:p>
      <w:pPr>
        <w:ind w:left="60" w:right="379" w:firstLine="648"/>
        <w:spacing w:after="0" w:line="263" w:lineRule="auto"/>
        <w:rPr>
          <w:sz w:val="20"/>
          <w:szCs w:val="20"/>
          <w:color w:val="auto"/>
        </w:rPr>
      </w:pPr>
      <w:r>
        <w:rPr>
          <w:rFonts w:ascii="Arial" w:cs="Arial" w:eastAsia="Arial" w:hAnsi="Arial"/>
          <w:sz w:val="18"/>
          <w:szCs w:val="18"/>
          <w:color w:val="auto"/>
        </w:rPr>
        <w:t>Selling, general and administrative expenses increased by $4.4 million, or 7.8%, to $60.8 million from $56.4 million for the three months ended September 30, 2023 and 2022, respectively. The net increase in selling, general and administrative expenses, within our segments, consisted of the following:</w:t>
      </w:r>
    </w:p>
    <w:p>
      <w:pPr>
        <w:spacing w:after="0" w:line="211" w:lineRule="exact"/>
        <w:rPr>
          <w:sz w:val="20"/>
          <w:szCs w:val="20"/>
          <w:color w:val="auto"/>
        </w:rPr>
      </w:pPr>
    </w:p>
    <w:p>
      <w:pPr>
        <w:ind w:left="720" w:right="359" w:hanging="319"/>
        <w:spacing w:after="0" w:line="275"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International Telecom</w:t>
      </w:r>
      <w:r>
        <w:rPr>
          <w:rFonts w:ascii="Arial" w:cs="Arial" w:eastAsia="Arial" w:hAnsi="Arial"/>
          <w:sz w:val="17"/>
          <w:szCs w:val="17"/>
          <w:color w:val="auto"/>
        </w:rPr>
        <w:t>. Within our International Telecom segment, our selling, general and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increased by $2.5 million, or 9.4%, to $29.0 million from $26.5 million for the three months ended September 30, 2023 and 2022, respectively. This increase was incurred within all of our international markets primarily as a result of an increase in our sales and marketing costs needed to support the expansion of our subscriber base, as well as increased professional fees.</w:t>
      </w:r>
    </w:p>
    <w:p>
      <w:pPr>
        <w:spacing w:after="0" w:line="176" w:lineRule="exact"/>
        <w:rPr>
          <w:rFonts w:ascii="Arial" w:cs="Arial" w:eastAsia="Arial" w:hAnsi="Arial"/>
          <w:sz w:val="17"/>
          <w:szCs w:val="17"/>
          <w:color w:val="auto"/>
        </w:rPr>
      </w:pPr>
    </w:p>
    <w:p>
      <w:pPr>
        <w:ind w:left="720" w:right="199" w:hanging="319"/>
        <w:spacing w:after="0" w:line="25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Selling, general and administrative expenses increased within our US Telecom segment by $1.5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6.4%, to $25.0 million from $23.5 million, for the three months ended September 30, 2023 and 2022, respectively. This increase was primarily related to expenses to support the operations from the Sacred Wind Transaction and an increase in these costs within our Alaska operations which helped drive the increase in that operation’s revenues.</w:t>
      </w:r>
    </w:p>
    <w:p>
      <w:pPr>
        <w:spacing w:after="0" w:line="187" w:lineRule="exact"/>
        <w:rPr>
          <w:rFonts w:ascii="Arial" w:cs="Arial" w:eastAsia="Arial" w:hAnsi="Arial"/>
          <w:sz w:val="18"/>
          <w:szCs w:val="18"/>
          <w:color w:val="auto"/>
        </w:rPr>
      </w:pPr>
    </w:p>
    <w:p>
      <w:pPr>
        <w:ind w:left="720" w:right="279" w:hanging="319"/>
        <w:spacing w:after="0" w:line="263"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Corporate Overhead. </w:t>
      </w:r>
      <w:r>
        <w:rPr>
          <w:rFonts w:ascii="Arial" w:cs="Arial" w:eastAsia="Arial" w:hAnsi="Arial"/>
          <w:sz w:val="18"/>
          <w:szCs w:val="18"/>
          <w:color w:val="auto"/>
        </w:rPr>
        <w:t>Selling, general and administrative expenses within our corporate overhead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or 7.8%, to $6.9 million from $6.4 million, for the three months ended September 30, 2023 and 2022, respectively, as a result of an increase in professional fees incurred.</w:t>
      </w:r>
    </w:p>
    <w:p>
      <w:pPr>
        <w:spacing w:after="0" w:line="224"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Selling, general and administrative expenses may increase in our international telecom segment to support our expanded operations. Within the US Telecom segment, we expect an increase in these costs as a result of the Sacred Wind Transaction, our commitments under the Cares Act funding and other network expansions in Alaska and the southwest US. Our Corporate Overhead segment may also experience an increase in these expenses to support our recent acquisitions and expanding operations. In addition, selling, general, and administrative expenses may increase as a result of continued inflationary pressure, issues facing the global supply chain and geopolitical uncertainty.</w:t>
      </w:r>
    </w:p>
    <w:p>
      <w:pPr>
        <w:spacing w:after="0" w:line="201" w:lineRule="exact"/>
        <w:rPr>
          <w:sz w:val="20"/>
          <w:szCs w:val="20"/>
          <w:color w:val="auto"/>
        </w:rPr>
      </w:pPr>
    </w:p>
    <w:p>
      <w:pPr>
        <w:ind w:left="60" w:right="79" w:firstLine="648"/>
        <w:spacing w:after="0" w:line="28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Stock-based compensation represents a non-cash expense related to the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grants of equity awards to employees and directors.</w:t>
      </w:r>
    </w:p>
    <w:p>
      <w:pPr>
        <w:spacing w:after="0" w:line="193"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Stock-based compensation for the three months ended September 30, 2023 and 2022 was $2.0 million and $1.7 million, respectively.</w:t>
      </w:r>
    </w:p>
    <w:p>
      <w:pPr>
        <w:spacing w:after="0" w:line="207"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7"/>
          <w:szCs w:val="17"/>
          <w:b w:val="1"/>
          <w:bCs w:val="1"/>
          <w:color w:val="auto"/>
        </w:rPr>
        <w:t xml:space="preserve">Transaction-related charges. </w:t>
      </w:r>
      <w:r>
        <w:rPr>
          <w:rFonts w:ascii="Arial" w:cs="Arial" w:eastAsia="Arial" w:hAnsi="Arial"/>
          <w:sz w:val="17"/>
          <w:szCs w:val="17"/>
          <w:color w:val="auto"/>
        </w:rPr>
        <w:t>Transaction-related charges include the external costs, such as legal, tax,</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and consulting fees directly associated with acquisition and disposition-related activities, which are expensed as incurred. Transaction-related charges also include certain internal personnel costs incurred as a result of the completion of an acquisition or disposition. Transaction-related charges do not include employee salary and travel-related expenses, incurred in connection with acquisitions or dispositions or any integration-related costs.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We incurred a nominal amount and $3.4 million of transaction-related charges during the three months ended September 30, 2023 and 2022, respectively.</w:t>
      </w:r>
    </w:p>
    <w:p>
      <w:pPr>
        <w:spacing w:after="0" w:line="207" w:lineRule="exact"/>
        <w:rPr>
          <w:sz w:val="20"/>
          <w:szCs w:val="20"/>
          <w:color w:val="auto"/>
        </w:rPr>
      </w:pPr>
    </w:p>
    <w:p>
      <w:pPr>
        <w:ind w:left="60" w:right="519" w:firstLine="648"/>
        <w:spacing w:after="0" w:line="266" w:lineRule="auto"/>
        <w:rPr>
          <w:sz w:val="20"/>
          <w:szCs w:val="20"/>
          <w:color w:val="auto"/>
        </w:rPr>
      </w:pPr>
      <w:r>
        <w:rPr>
          <w:rFonts w:ascii="Arial" w:cs="Arial" w:eastAsia="Arial" w:hAnsi="Arial"/>
          <w:sz w:val="18"/>
          <w:szCs w:val="18"/>
          <w:b w:val="1"/>
          <w:bCs w:val="1"/>
          <w:color w:val="auto"/>
        </w:rPr>
        <w:t xml:space="preserve">Restructuring expenses. </w:t>
      </w:r>
      <w:r>
        <w:rPr>
          <w:rFonts w:ascii="Arial" w:cs="Arial" w:eastAsia="Arial" w:hAnsi="Arial"/>
          <w:sz w:val="18"/>
          <w:szCs w:val="18"/>
          <w:color w:val="auto"/>
        </w:rPr>
        <w:t>In order to reduce our US Telecom’s cost structure to an optimal level needed to</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the segment’s operations going forward, we incurred certain network termination and reduction in force costs totaling $1.4 million during the three months ended September 30, 2023.</w:t>
      </w:r>
    </w:p>
    <w:p>
      <w:pPr>
        <w:spacing w:after="0" w:line="220"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We expect to incur additional restructuring expenses within our US Telecom segment during the fourth quarter of 2023 but do not anticipate any further restructuring costs in subsequent periods.</w:t>
      </w:r>
    </w:p>
    <w:p>
      <w:pPr>
        <w:spacing w:after="0" w:line="193" w:lineRule="exact"/>
        <w:rPr>
          <w:sz w:val="20"/>
          <w:szCs w:val="20"/>
          <w:color w:val="auto"/>
        </w:rPr>
      </w:pPr>
    </w:p>
    <w:p>
      <w:pPr>
        <w:ind w:left="60" w:right="279" w:firstLine="693"/>
        <w:spacing w:after="0" w:line="282" w:lineRule="auto"/>
        <w:rPr>
          <w:sz w:val="20"/>
          <w:szCs w:val="20"/>
          <w:color w:val="auto"/>
        </w:rPr>
      </w:pPr>
      <w:r>
        <w:rPr>
          <w:rFonts w:ascii="Arial" w:cs="Arial" w:eastAsia="Arial" w:hAnsi="Arial"/>
          <w:sz w:val="18"/>
          <w:szCs w:val="18"/>
          <w:b w:val="1"/>
          <w:bCs w:val="1"/>
          <w:color w:val="auto"/>
        </w:rPr>
        <w:t xml:space="preserve">Depreciation and amortization expenses. </w:t>
      </w:r>
      <w:r>
        <w:rPr>
          <w:rFonts w:ascii="Arial" w:cs="Arial" w:eastAsia="Arial" w:hAnsi="Arial"/>
          <w:sz w:val="18"/>
          <w:szCs w:val="18"/>
          <w:color w:val="auto"/>
        </w:rPr>
        <w:t>Depreciation and amortization expenses represent the depreciation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amortization charges we record on our property and equipment.</w:t>
      </w:r>
    </w:p>
    <w:p>
      <w:pPr>
        <w:spacing w:after="0" w:line="206"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Depreciation and amortization expenses increased by $1.1 million, or 3.3%, to $34.4 million from $33.3 million for the three months ended September 30, 2023 and 2022, respectively. The net increase in depreciation and amortization expenses, within our segments, consisted primarily of the following:</w:t>
      </w:r>
    </w:p>
    <w:p>
      <w:pPr>
        <w:spacing w:after="0" w:line="224" w:lineRule="exact"/>
        <w:rPr>
          <w:sz w:val="20"/>
          <w:szCs w:val="20"/>
          <w:color w:val="auto"/>
        </w:rPr>
      </w:pPr>
    </w:p>
    <w:p>
      <w:pPr>
        <w:ind w:left="720" w:right="119" w:hanging="319"/>
        <w:spacing w:after="0" w:line="286"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International Telecom</w:t>
      </w:r>
      <w:r>
        <w:rPr>
          <w:rFonts w:ascii="Arial" w:cs="Arial" w:eastAsia="Arial" w:hAnsi="Arial"/>
          <w:sz w:val="17"/>
          <w:szCs w:val="17"/>
          <w:color w:val="auto"/>
        </w:rPr>
        <w:t>. Depreciation and amortization expenses increased within our International Telecom</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by $0.3 million, or 2.1%, to $14.4 million from $14.1 million, for the three months ended September 30, 2023 and 2022, respectively, as a result of certain assets becoming fully depreciated in recent periods.</w:t>
      </w:r>
    </w:p>
    <w:p>
      <w:pPr>
        <w:spacing w:after="0" w:line="165" w:lineRule="exact"/>
        <w:rPr>
          <w:rFonts w:ascii="Arial" w:cs="Arial" w:eastAsia="Arial" w:hAnsi="Arial"/>
          <w:sz w:val="17"/>
          <w:szCs w:val="17"/>
          <w:color w:val="auto"/>
        </w:rPr>
      </w:pPr>
    </w:p>
    <w:p>
      <w:pPr>
        <w:ind w:left="720" w:right="179" w:hanging="319"/>
        <w:spacing w:after="0" w:line="279"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US Telecom</w:t>
      </w:r>
      <w:r>
        <w:rPr>
          <w:rFonts w:ascii="Arial" w:cs="Arial" w:eastAsia="Arial" w:hAnsi="Arial"/>
          <w:sz w:val="17"/>
          <w:szCs w:val="17"/>
          <w:color w:val="auto"/>
        </w:rPr>
        <w:t>. Depreciation and amortization expenses increased within our US Telecom segment by $1.1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6.0%, to $19.4 million from $18.3 million, for the three months ended September 30, 2023 and 2022, respectively, primarily as a result of the impact of the Sacred Wind Transaction, which was completed in November 2022, and the depreciation expense recorded on recent capital expenditures.</w:t>
      </w:r>
    </w:p>
    <w:p>
      <w:pPr>
        <w:spacing w:after="0" w:line="171" w:lineRule="exact"/>
        <w:rPr>
          <w:rFonts w:ascii="Arial" w:cs="Arial" w:eastAsia="Arial" w:hAnsi="Arial"/>
          <w:sz w:val="17"/>
          <w:szCs w:val="17"/>
          <w:color w:val="auto"/>
        </w:rPr>
      </w:pPr>
    </w:p>
    <w:p>
      <w:pPr>
        <w:ind w:left="720" w:right="219" w:hanging="319"/>
        <w:spacing w:after="0" w:line="286"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Corporate Overhead</w:t>
      </w:r>
      <w:r>
        <w:rPr>
          <w:rFonts w:ascii="Arial" w:cs="Arial" w:eastAsia="Arial" w:hAnsi="Arial"/>
          <w:sz w:val="17"/>
          <w:szCs w:val="17"/>
          <w:color w:val="auto"/>
        </w:rPr>
        <w:t>. Depreciation and amortization expenses decreased within our corporate overhead by $0.2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33.3%, to $0.6 million from $0.8 million, for the three months ended September 30, 2023 and 2022, respectively, primarily as a result of certain assets becoming fully depreciated in recent periods.</w:t>
      </w:r>
    </w:p>
    <w:p>
      <w:pPr>
        <w:spacing w:after="0" w:line="192" w:lineRule="exact"/>
        <w:rPr>
          <w:sz w:val="20"/>
          <w:szCs w:val="20"/>
          <w:color w:val="auto"/>
        </w:rPr>
      </w:pPr>
    </w:p>
    <w:p>
      <w:pPr>
        <w:ind w:left="60" w:right="279" w:firstLine="648"/>
        <w:spacing w:after="0" w:line="308" w:lineRule="auto"/>
        <w:rPr>
          <w:sz w:val="20"/>
          <w:szCs w:val="20"/>
          <w:color w:val="auto"/>
        </w:rPr>
      </w:pPr>
      <w:r>
        <w:rPr>
          <w:rFonts w:ascii="Arial" w:cs="Arial" w:eastAsia="Arial" w:hAnsi="Arial"/>
          <w:sz w:val="17"/>
          <w:szCs w:val="17"/>
          <w:color w:val="auto"/>
        </w:rPr>
        <w:t>We expect depreciation and amortization expense to increase within our International Telecom and US Telecom segments as we acquire tangible assets to expand or upgrade our telecommunications networks.</w:t>
      </w:r>
    </w:p>
    <w:p>
      <w:pPr>
        <w:spacing w:after="0" w:line="183" w:lineRule="exact"/>
        <w:rPr>
          <w:sz w:val="20"/>
          <w:szCs w:val="20"/>
          <w:color w:val="auto"/>
        </w:rPr>
      </w:pPr>
    </w:p>
    <w:p>
      <w:pPr>
        <w:ind w:left="60" w:right="619" w:firstLine="648"/>
        <w:spacing w:after="0" w:line="312" w:lineRule="auto"/>
        <w:rPr>
          <w:sz w:val="20"/>
          <w:szCs w:val="20"/>
          <w:color w:val="auto"/>
        </w:rPr>
      </w:pPr>
      <w:r>
        <w:rPr>
          <w:rFonts w:ascii="Arial" w:cs="Arial" w:eastAsia="Arial" w:hAnsi="Arial"/>
          <w:sz w:val="17"/>
          <w:szCs w:val="17"/>
          <w:b w:val="1"/>
          <w:bCs w:val="1"/>
          <w:color w:val="auto"/>
        </w:rPr>
        <w:t xml:space="preserve">Amortization of intangibles from acquisitions. </w:t>
      </w:r>
      <w:r>
        <w:rPr>
          <w:rFonts w:ascii="Arial" w:cs="Arial" w:eastAsia="Arial" w:hAnsi="Arial"/>
          <w:sz w:val="17"/>
          <w:szCs w:val="17"/>
          <w:color w:val="auto"/>
        </w:rPr>
        <w:t>Amortization of intangibles from acquisitions include the</w:t>
      </w:r>
      <w:r>
        <w:rPr>
          <w:rFonts w:ascii="Arial" w:cs="Arial" w:eastAsia="Arial" w:hAnsi="Arial"/>
          <w:sz w:val="17"/>
          <w:szCs w:val="17"/>
          <w:b w:val="1"/>
          <w:bCs w:val="1"/>
          <w:color w:val="auto"/>
        </w:rPr>
        <w:t xml:space="preserve"> </w:t>
      </w:r>
      <w:r>
        <w:rPr>
          <w:rFonts w:ascii="Arial" w:cs="Arial" w:eastAsia="Arial" w:hAnsi="Arial"/>
          <w:sz w:val="17"/>
          <w:szCs w:val="17"/>
          <w:color w:val="auto"/>
        </w:rPr>
        <w:t>amortization of customer relationships and trade names related to our completed acquisitions.</w:t>
      </w:r>
    </w:p>
    <w:p>
      <w:pPr>
        <w:spacing w:after="0" w:line="184"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Amortization of intangibles from acquisitions decreased by $0.1 million to $3.1 million from $3.2 million for the three months ended September 30, 2023 and 2022, respectively.</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expect that amortization of intangibles from acquisitions will decrease as such costs continue to amortize.</w:t>
      </w:r>
    </w:p>
    <w:p>
      <w:pPr>
        <w:spacing w:after="0" w:line="285" w:lineRule="exact"/>
        <w:rPr>
          <w:sz w:val="20"/>
          <w:szCs w:val="20"/>
          <w:color w:val="auto"/>
        </w:rPr>
      </w:pPr>
    </w:p>
    <w:p>
      <w:pPr>
        <w:jc w:val="both"/>
        <w:ind w:left="60" w:right="379" w:firstLine="648"/>
        <w:spacing w:after="0" w:line="282" w:lineRule="auto"/>
        <w:rPr>
          <w:sz w:val="20"/>
          <w:szCs w:val="20"/>
          <w:color w:val="auto"/>
        </w:rPr>
      </w:pPr>
      <w:r>
        <w:rPr>
          <w:rFonts w:ascii="Arial" w:cs="Arial" w:eastAsia="Arial" w:hAnsi="Arial"/>
          <w:sz w:val="18"/>
          <w:szCs w:val="18"/>
          <w:b w:val="1"/>
          <w:bCs w:val="1"/>
          <w:color w:val="auto"/>
        </w:rPr>
        <w:t>Loss on disposition of long-lived assets</w:t>
      </w:r>
      <w:r>
        <w:rPr>
          <w:rFonts w:ascii="Arial" w:cs="Arial" w:eastAsia="Arial" w:hAnsi="Arial"/>
          <w:sz w:val="18"/>
          <w:szCs w:val="18"/>
          <w:color w:val="auto"/>
        </w:rPr>
        <w:t>. During the three months ended September 30, 2023, we recorded a</w:t>
      </w:r>
      <w:r>
        <w:rPr>
          <w:rFonts w:ascii="Arial" w:cs="Arial" w:eastAsia="Arial" w:hAnsi="Arial"/>
          <w:sz w:val="18"/>
          <w:szCs w:val="18"/>
          <w:b w:val="1"/>
          <w:bCs w:val="1"/>
          <w:color w:val="auto"/>
        </w:rPr>
        <w:t xml:space="preserve"> </w:t>
      </w:r>
      <w:r>
        <w:rPr>
          <w:rFonts w:ascii="Arial" w:cs="Arial" w:eastAsia="Arial" w:hAnsi="Arial"/>
          <w:sz w:val="18"/>
          <w:szCs w:val="18"/>
          <w:color w:val="auto"/>
        </w:rPr>
        <w:t>loss on the disposition of long-lived assets of $0.2 million within our US Telecom segment.</w:t>
      </w:r>
    </w:p>
    <w:p>
      <w:pPr>
        <w:spacing w:after="0" w:line="206" w:lineRule="exact"/>
        <w:rPr>
          <w:sz w:val="20"/>
          <w:szCs w:val="20"/>
          <w:color w:val="auto"/>
        </w:rPr>
      </w:pPr>
    </w:p>
    <w:p>
      <w:pPr>
        <w:ind w:left="60" w:right="399" w:firstLine="648"/>
        <w:spacing w:after="0" w:line="342" w:lineRule="auto"/>
        <w:rPr>
          <w:sz w:val="20"/>
          <w:szCs w:val="20"/>
          <w:color w:val="auto"/>
        </w:rPr>
      </w:pPr>
      <w:r>
        <w:rPr>
          <w:rFonts w:ascii="Arial" w:cs="Arial" w:eastAsia="Arial" w:hAnsi="Arial"/>
          <w:sz w:val="16"/>
          <w:szCs w:val="16"/>
          <w:color w:val="auto"/>
        </w:rPr>
        <w:t>During the three months ended September 30, 2022, we recorded a $0.5 million loss on the disposal of certain assets, primarily within our Renewable Energy segment, related to the final settlement of the Vibrant Transaction.</w:t>
      </w:r>
    </w:p>
    <w:p>
      <w:pPr>
        <w:spacing w:after="0" w:line="147" w:lineRule="exact"/>
        <w:rPr>
          <w:sz w:val="20"/>
          <w:szCs w:val="20"/>
          <w:color w:val="auto"/>
        </w:rPr>
      </w:pPr>
    </w:p>
    <w:p>
      <w:pPr>
        <w:jc w:val="both"/>
        <w:ind w:left="60" w:right="379" w:firstLine="648"/>
        <w:spacing w:after="0" w:line="266"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Interest income represents interest earned on our cash, cash equivalents, restricted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investment balances. Interest income was a nominal amount for both the three months ended September 30, 2023 and 2022.</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firstLine="648"/>
        <w:spacing w:after="0" w:line="256"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We incur interest expense on the 2023 CoBank Credit Facility, the Alaska Credit and Term</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the Viya Debt, the One Communications Debt and the Receivables Credit Facility. Interest expense for the three months ended September 30, 2023 also includes interest expense on the Sacred Wind Term Debt and the GTT Credit Facilities (each as defined below). Previously, we also incurred interest expense on the One Communications Debt, which matured on December 22, 2022. In addition, interest expense includes commitment fees, letter of credit fees and the amortization of debt issuance costs.</w:t>
      </w:r>
    </w:p>
    <w:p>
      <w:pPr>
        <w:spacing w:after="0" w:line="232"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Interest expense increased to $11.4 million from $5.5 million for the three months ended September 30, 2023 and 2022, respectively, as additional interest expense was incurred as a result an increase in borrowings under our credit facilities, the inclusion of Sacred Wind Term Debt and the GTT Credit Facilities in 2023, and an increase in interest rates on all floating-rate borrowings.</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expense may increase in future periods as a result of increased interest rates and borrowings.</w:t>
      </w:r>
    </w:p>
    <w:p>
      <w:pPr>
        <w:spacing w:after="0" w:line="248" w:lineRule="exact"/>
        <w:rPr>
          <w:sz w:val="20"/>
          <w:szCs w:val="20"/>
          <w:color w:val="auto"/>
        </w:rPr>
      </w:pPr>
    </w:p>
    <w:p>
      <w:pPr>
        <w:ind w:left="60" w:right="259" w:firstLine="648"/>
        <w:spacing w:after="0" w:line="282" w:lineRule="auto"/>
        <w:rPr>
          <w:sz w:val="20"/>
          <w:szCs w:val="20"/>
          <w:color w:val="auto"/>
        </w:rPr>
      </w:pPr>
      <w:r>
        <w:rPr>
          <w:rFonts w:ascii="Arial" w:cs="Arial" w:eastAsia="Arial" w:hAnsi="Arial"/>
          <w:sz w:val="18"/>
          <w:szCs w:val="18"/>
          <w:b w:val="1"/>
          <w:bCs w:val="1"/>
          <w:color w:val="auto"/>
        </w:rPr>
        <w:t xml:space="preserve">Other income (expenses). </w:t>
      </w:r>
      <w:r>
        <w:rPr>
          <w:rFonts w:ascii="Arial" w:cs="Arial" w:eastAsia="Arial" w:hAnsi="Arial"/>
          <w:sz w:val="18"/>
          <w:szCs w:val="18"/>
          <w:color w:val="auto"/>
        </w:rPr>
        <w:t>For the three months ended September 30, 2023, other income (expenses) was $0.2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of income primarily related to gains from our noncontrolling investments.</w:t>
      </w:r>
    </w:p>
    <w:p>
      <w:pPr>
        <w:spacing w:after="0" w:line="206"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For the three months ended September 30, 2022, other income (expenses) was $1.9 million of income primarily related to gains from our noncontrolling investments partially offset by losses on foreign currency transactions.</w:t>
      </w:r>
    </w:p>
    <w:p>
      <w:pPr>
        <w:spacing w:after="0" w:line="160" w:lineRule="exact"/>
        <w:rPr>
          <w:sz w:val="20"/>
          <w:szCs w:val="20"/>
          <w:color w:val="auto"/>
        </w:rPr>
      </w:pPr>
    </w:p>
    <w:p>
      <w:pPr>
        <w:ind w:left="60" w:right="339" w:firstLine="648"/>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Our effective tax rate for the three months ended September 30, 2023 and 2022 was 12.7% and</w:t>
      </w:r>
      <w:r>
        <w:rPr>
          <w:rFonts w:ascii="Arial" w:cs="Arial" w:eastAsia="Arial" w:hAnsi="Arial"/>
          <w:sz w:val="18"/>
          <w:szCs w:val="18"/>
          <w:b w:val="1"/>
          <w:bCs w:val="1"/>
          <w:color w:val="auto"/>
        </w:rPr>
        <w:t xml:space="preserve"> </w:t>
      </w:r>
      <w:r>
        <w:rPr>
          <w:rFonts w:ascii="Arial" w:cs="Arial" w:eastAsia="Arial" w:hAnsi="Arial"/>
          <w:sz w:val="18"/>
          <w:szCs w:val="18"/>
          <w:color w:val="auto"/>
        </w:rPr>
        <w:t>16.9 % respectively.</w:t>
      </w:r>
    </w:p>
    <w:p>
      <w:pPr>
        <w:spacing w:after="0" w:line="166"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recorded an income tax benefit of $0.5 million in relation to a pre-tax loss of $4.3 million for the three months ended September 30, 2023. The effective tax rate for the three months ended September 30, 2023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$0.7 million expense for interest on unrecognized tax positions.</w:t>
      </w:r>
    </w:p>
    <w:p>
      <w:pPr>
        <w:spacing w:after="0" w:line="192" w:lineRule="exact"/>
        <w:rPr>
          <w:sz w:val="20"/>
          <w:szCs w:val="20"/>
          <w:color w:val="auto"/>
        </w:rPr>
      </w:pPr>
    </w:p>
    <w:p>
      <w:pPr>
        <w:jc w:val="both"/>
        <w:ind w:left="60" w:right="159" w:firstLine="648"/>
        <w:spacing w:after="0" w:line="279" w:lineRule="auto"/>
        <w:rPr>
          <w:sz w:val="20"/>
          <w:szCs w:val="20"/>
          <w:color w:val="auto"/>
        </w:rPr>
      </w:pPr>
      <w:r>
        <w:rPr>
          <w:rFonts w:ascii="Arial" w:cs="Arial" w:eastAsia="Arial" w:hAnsi="Arial"/>
          <w:sz w:val="17"/>
          <w:szCs w:val="17"/>
          <w:color w:val="auto"/>
        </w:rPr>
        <w:t>We recorded an income tax benefit of $0.4 million in relation to a pretax loss of $2.1 million for the three months ended September 30, 2022. The effective tax rate for the three months ended September 30, 2022 was primarily impacted by the following items (i) the mix of income generated among the jurisdictions in which we operate and (ii) discrete items including $0.9 million of expense for interest on unrecognized tax positions.</w:t>
      </w:r>
    </w:p>
    <w:p>
      <w:pPr>
        <w:spacing w:after="0" w:line="198"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217" w:lineRule="exact"/>
        <w:rPr>
          <w:sz w:val="20"/>
          <w:szCs w:val="20"/>
          <w:color w:val="auto"/>
        </w:rPr>
      </w:pPr>
    </w:p>
    <w:p>
      <w:pPr>
        <w:ind w:left="60" w:right="159" w:firstLine="648"/>
        <w:spacing w:after="0" w:line="303" w:lineRule="auto"/>
        <w:rPr>
          <w:sz w:val="20"/>
          <w:szCs w:val="20"/>
          <w:color w:val="auto"/>
        </w:rPr>
      </w:pPr>
      <w:r>
        <w:rPr>
          <w:rFonts w:ascii="Arial" w:cs="Arial" w:eastAsia="Arial" w:hAnsi="Arial"/>
          <w:sz w:val="16"/>
          <w:szCs w:val="16"/>
          <w:b w:val="1"/>
          <w:bCs w:val="1"/>
          <w:color w:val="auto"/>
        </w:rPr>
        <w:t xml:space="preserve">Net (income) loss attributable to noncontrolling interests, net of tax. </w:t>
      </w:r>
      <w:r>
        <w:rPr>
          <w:rFonts w:ascii="Arial" w:cs="Arial" w:eastAsia="Arial" w:hAnsi="Arial"/>
          <w:sz w:val="16"/>
          <w:szCs w:val="16"/>
          <w:color w:val="auto"/>
        </w:rPr>
        <w:t>Net loss attributable to noncontrolling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net of tax reflected an allocation of $0.1 million of losses and $1.0 million of income generated by our less than wholly owned subsidiaries for the three months ended September 30, 2023 and 2022, respectively. Changes in net income attributable to noncontrolling interests, net of tax, within our segments, consisted of the following:</w:t>
      </w:r>
    </w:p>
    <w:p>
      <w:pPr>
        <w:spacing w:after="0" w:line="155" w:lineRule="exact"/>
        <w:rPr>
          <w:sz w:val="20"/>
          <w:szCs w:val="20"/>
          <w:color w:val="auto"/>
        </w:rPr>
      </w:pPr>
    </w:p>
    <w:p>
      <w:pPr>
        <w:ind w:left="720" w:right="79" w:hanging="319"/>
        <w:spacing w:after="0" w:line="31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International Telecom</w:t>
      </w:r>
      <w:r>
        <w:rPr>
          <w:rFonts w:ascii="Arial" w:cs="Arial" w:eastAsia="Arial" w:hAnsi="Arial"/>
          <w:sz w:val="16"/>
          <w:szCs w:val="16"/>
          <w:color w:val="auto"/>
        </w:rPr>
        <w:t>. Within our International Telecom segment, net (income) loss attributable to noncontrolling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net of tax decreased by $0.6 million, or 25.0%, to an allocation of $1.8 million of income from an allocation of $2.4 million of income for the three months ended September 30, 2023 and 2022,</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spacing w:after="0" w:line="277" w:lineRule="auto"/>
        <w:rPr>
          <w:sz w:val="20"/>
          <w:szCs w:val="20"/>
          <w:color w:val="auto"/>
        </w:rPr>
      </w:pPr>
      <w:r>
        <w:rPr>
          <w:rFonts w:ascii="Arial" w:cs="Arial" w:eastAsia="Arial" w:hAnsi="Arial"/>
          <w:sz w:val="18"/>
          <w:szCs w:val="18"/>
          <w:color w:val="auto"/>
        </w:rPr>
        <w:t>respectively, primarily as a result of decreased profitability at certain less than wholly owned subsidiaries within this segment.</w:t>
      </w:r>
    </w:p>
    <w:p>
      <w:pPr>
        <w:spacing w:after="0" w:line="170" w:lineRule="exact"/>
        <w:rPr>
          <w:sz w:val="20"/>
          <w:szCs w:val="20"/>
          <w:color w:val="auto"/>
        </w:rPr>
      </w:pPr>
    </w:p>
    <w:p>
      <w:pPr>
        <w:ind w:left="720" w:right="139" w:hanging="319"/>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Within our US Telecom segment, net loss attributable to noncontrolling interests, net of tax</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$0.5 million, or 35.7%, to an allocation of losses of $1.9 million from an allocation of losses of $1.4 million for the three months ended September 30, 2023 and 2022, respectively, as a result of increased losses at our less than wholly owned subsidiaries within this segment.</w:t>
      </w:r>
    </w:p>
    <w:p>
      <w:pPr>
        <w:spacing w:after="0" w:line="223" w:lineRule="exact"/>
        <w:rPr>
          <w:sz w:val="20"/>
          <w:szCs w:val="20"/>
          <w:color w:val="auto"/>
        </w:rPr>
      </w:pPr>
    </w:p>
    <w:p>
      <w:pPr>
        <w:ind w:left="60" w:right="199" w:firstLine="693"/>
        <w:spacing w:after="0" w:line="266" w:lineRule="auto"/>
        <w:rPr>
          <w:sz w:val="20"/>
          <w:szCs w:val="20"/>
          <w:color w:val="auto"/>
        </w:rPr>
      </w:pPr>
      <w:r>
        <w:rPr>
          <w:rFonts w:ascii="Arial" w:cs="Arial" w:eastAsia="Arial" w:hAnsi="Arial"/>
          <w:sz w:val="18"/>
          <w:szCs w:val="18"/>
          <w:b w:val="1"/>
          <w:bCs w:val="1"/>
          <w:color w:val="auto"/>
        </w:rPr>
        <w:t xml:space="preserve">Net loss attributable to ATN International, Inc. stockholders. </w:t>
      </w:r>
      <w:r>
        <w:rPr>
          <w:rFonts w:ascii="Arial" w:cs="Arial" w:eastAsia="Arial" w:hAnsi="Arial"/>
          <w:sz w:val="18"/>
          <w:szCs w:val="18"/>
          <w:color w:val="auto"/>
        </w:rPr>
        <w:t>Net loss attributable to ATN International, Inc.</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was $3.6 million for the three months ended September 30, 2023 as compared to $2.8 million for the three months ended September 30, 2022.</w:t>
      </w:r>
    </w:p>
    <w:p>
      <w:pPr>
        <w:spacing w:after="0" w:line="220"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On a per share basis, net loss was $0.31 per share for the three months ended September 30, 2023 as compared to $0.25 per share for the three months ended September 30, 2022. Such per share amounts were negatively impacted by accrued preferred dividends of $1.3 million and $1.2 million for the three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Selected Segment Financial Information</w:t>
      </w:r>
    </w:p>
    <w:p>
      <w:pPr>
        <w:spacing w:after="0" w:line="22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represents selected segment information for the nine months ended September 30, 2023 and 2022 (in thousands):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6"/>
                <w:szCs w:val="16"/>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8"/>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Telecom</w:t>
            </w:r>
          </w:p>
        </w:tc>
        <w:tc>
          <w:tcPr>
            <w:tcW w:w="220" w:type="dxa"/>
            <w:vAlign w:val="bottom"/>
          </w:tcPr>
          <w:p>
            <w:pPr>
              <w:spacing w:after="0"/>
              <w:rPr>
                <w:sz w:val="16"/>
                <w:szCs w:val="16"/>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Telecom</w:t>
            </w:r>
          </w:p>
        </w:tc>
        <w:tc>
          <w:tcPr>
            <w:tcW w:w="10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b w:val="1"/>
                <w:bCs w:val="1"/>
                <w:color w:val="auto"/>
                <w:w w:val="87"/>
              </w:rPr>
              <w:t>Consolidated</w:t>
            </w: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11,899</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71,936</w:t>
            </w: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83,835</w:t>
            </w:r>
          </w:p>
        </w:tc>
      </w:tr>
      <w:tr>
        <w:trPr>
          <w:trHeight w:val="209"/>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107,494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160,096</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193,796</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178,546</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175,346</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353,892</w:t>
            </w:r>
          </w:p>
        </w:tc>
      </w:tr>
      <w:tr>
        <w:trPr>
          <w:trHeight w:val="21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106,989</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2,768</w:t>
            </w:r>
          </w:p>
        </w:tc>
      </w:tr>
      <w:tr>
        <w:trPr>
          <w:trHeight w:val="182"/>
        </w:trPr>
        <w:tc>
          <w:tcPr>
            <w:tcW w:w="3500" w:type="dxa"/>
            <w:vAlign w:val="bottom"/>
            <w:tcBorders>
              <w:top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Total Communication Services</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272,395</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275,089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547,484</w:t>
            </w:r>
          </w:p>
        </w:tc>
      </w:tr>
      <w:tr>
        <w:trPr>
          <w:trHeight w:val="21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w:t>
            </w: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12,118</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12,118</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276,267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286,983</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563,250</w:t>
            </w:r>
          </w:p>
        </w:tc>
      </w:tr>
      <w:tr>
        <w:trPr>
          <w:trHeight w:val="197"/>
        </w:trPr>
        <w:tc>
          <w:tcPr>
            <w:tcW w:w="3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41,177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(27,547)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6"/>
                <w:szCs w:val="16"/>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8"/>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Telecom</w:t>
            </w:r>
          </w:p>
        </w:tc>
        <w:tc>
          <w:tcPr>
            <w:tcW w:w="220" w:type="dxa"/>
            <w:vAlign w:val="bottom"/>
          </w:tcPr>
          <w:p>
            <w:pPr>
              <w:spacing w:after="0"/>
              <w:rPr>
                <w:sz w:val="16"/>
                <w:szCs w:val="16"/>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Telecom</w:t>
            </w:r>
          </w:p>
        </w:tc>
        <w:tc>
          <w:tcPr>
            <w:tcW w:w="10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b w:val="1"/>
                <w:bCs w:val="1"/>
                <w:color w:val="auto"/>
                <w:w w:val="87"/>
              </w:rPr>
              <w:t>Consolidated</w:t>
            </w: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69,088</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81,058</w:t>
            </w:r>
          </w:p>
        </w:tc>
      </w:tr>
      <w:tr>
        <w:trPr>
          <w:trHeight w:val="209"/>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144,348</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179,714</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175,262</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148,800</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324,062</w:t>
            </w:r>
          </w:p>
        </w:tc>
      </w:tr>
      <w:tr>
        <w:trPr>
          <w:trHeight w:val="20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106,144</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182"/>
        </w:trPr>
        <w:tc>
          <w:tcPr>
            <w:tcW w:w="3500" w:type="dxa"/>
            <w:vAlign w:val="bottom"/>
            <w:tcBorders>
              <w:top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Total Communication Services</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261,377</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250,938</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512,315</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8,615</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8,615</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12,800</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265,197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268,533</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533,730</w:t>
            </w:r>
          </w:p>
        </w:tc>
      </w:tr>
      <w:tr>
        <w:trPr>
          <w:trHeight w:val="196"/>
        </w:trPr>
        <w:tc>
          <w:tcPr>
            <w:tcW w:w="3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36,889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(29,418)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3,272</w:t>
            </w:r>
          </w:p>
        </w:tc>
      </w:tr>
    </w:tbl>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Reconciling items refer to corporate overhead costs and consolidating adjustments.</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comparison of our segment results for the nine months ended September 30, 2023, and 2022 is as follows:</w:t>
      </w:r>
    </w:p>
    <w:p>
      <w:pPr>
        <w:spacing w:after="0" w:line="264"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i w:val="1"/>
          <w:iCs w:val="1"/>
          <w:color w:val="auto"/>
        </w:rPr>
        <w:t xml:space="preserve">International Telecom. </w:t>
      </w:r>
      <w:r>
        <w:rPr>
          <w:rFonts w:ascii="Arial" w:cs="Arial" w:eastAsia="Arial" w:hAnsi="Arial"/>
          <w:sz w:val="17"/>
          <w:szCs w:val="17"/>
          <w:color w:val="auto"/>
        </w:rPr>
        <w:t>Revenues within our International Telecom segment increased $11.1 million, or 4.2%, to</w:t>
      </w:r>
      <w:r>
        <w:rPr>
          <w:rFonts w:ascii="Arial" w:cs="Arial" w:eastAsia="Arial" w:hAnsi="Arial"/>
          <w:sz w:val="17"/>
          <w:szCs w:val="17"/>
          <w:i w:val="1"/>
          <w:iCs w:val="1"/>
          <w:color w:val="auto"/>
        </w:rPr>
        <w:t xml:space="preserve"> </w:t>
      </w:r>
      <w:r>
        <w:rPr>
          <w:rFonts w:ascii="Arial" w:cs="Arial" w:eastAsia="Arial" w:hAnsi="Arial"/>
          <w:sz w:val="17"/>
          <w:szCs w:val="17"/>
          <w:color w:val="auto"/>
        </w:rPr>
        <w:t>$276.3 million from $265.2 million for the nine months ended September 30, 2023 and 2022, respectively, as a result of improved customer care, marketing strategies and network upgrades and expansions which led to an increase in mobile subscribers and equipment sales as well as fixed subscriber growth including an increase in the number of homes passed by high-speed data solutions which allowed us to migrate many legacy copper customers to more durable fiber services. In addition, we recognized growth in Carrier Services revenue as a result of increased roaming revenues due to an increase in international travel in some of our markets.</w:t>
      </w:r>
    </w:p>
    <w:p>
      <w:pPr>
        <w:spacing w:after="0" w:line="21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Operating expenses within our International Telecom segment increased by $6.8 million, or 3.0%, to $235.1 million from $228.3 million for the nine months ended September 30, 2023 and 2022, respectively. The increase was primarily the result of increases in retail and marketing personnel and program costs to support the expansion of our mobile and broadband customer bases and in certain regulatory fees.</w:t>
      </w:r>
    </w:p>
    <w:p>
      <w:pPr>
        <w:spacing w:after="0" w:line="227" w:lineRule="exact"/>
        <w:rPr>
          <w:sz w:val="20"/>
          <w:szCs w:val="20"/>
          <w:color w:val="auto"/>
        </w:rPr>
      </w:pPr>
    </w:p>
    <w:p>
      <w:pPr>
        <w:ind w:left="60" w:right="459" w:firstLine="648"/>
        <w:spacing w:after="0" w:line="308" w:lineRule="auto"/>
        <w:rPr>
          <w:sz w:val="20"/>
          <w:szCs w:val="20"/>
          <w:color w:val="auto"/>
        </w:rPr>
      </w:pPr>
      <w:r>
        <w:rPr>
          <w:rFonts w:ascii="Arial" w:cs="Arial" w:eastAsia="Arial" w:hAnsi="Arial"/>
          <w:sz w:val="17"/>
          <w:szCs w:val="17"/>
          <w:color w:val="auto"/>
        </w:rPr>
        <w:t>As a result, our International Telecom segment’s operating income increased $4.3 million, or 11.7%, to $41.2 million from $36.9 million for the nine months ended September 30, 2023 and 2022, respectively.</w:t>
      </w:r>
    </w:p>
    <w:p>
      <w:pPr>
        <w:spacing w:after="0" w:line="173"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Revenue within our US Telecom segment increased by $18.5 million, or 6.9%, to $287.0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$268.5 million for the nine months ended September 30, 2023 and 2022, respectively. Increases in revenue from business customers within our Alaska subsidiary and the impact of the Sacred Wind Transaction were partially offset by a reduction in construction revenue related to the FirstNet Transaction, reduction in roaming revenue due to the restructuring of certain carrier contracts in our western United States operations, and a reduction in our international long-distance service revenues.</w:t>
      </w:r>
    </w:p>
    <w:p>
      <w:pPr>
        <w:spacing w:after="0" w:line="233"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Operating expenses within our US Telecom segment increased $18.0 million, or 6.6%, to $290.7 million from $272.7 million for the nine months ended September 30, 2023 and 2022, respectively, as a result of increases in expenses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59" w:lineRule="auto"/>
        <w:rPr>
          <w:sz w:val="20"/>
          <w:szCs w:val="20"/>
          <w:color w:val="auto"/>
        </w:rPr>
      </w:pPr>
      <w:r>
        <w:rPr>
          <w:rFonts w:ascii="Arial" w:cs="Arial" w:eastAsia="Arial" w:hAnsi="Arial"/>
          <w:sz w:val="18"/>
          <w:szCs w:val="18"/>
          <w:color w:val="auto"/>
        </w:rPr>
        <w:t>being incurred to support the increased revenues within our Alaska operations and the impact of the Sacred Wind Transaction partially offset by the decrease in FirstNet construction costs as fewer sites were completed in 2023 as compared to 2022 and a reduction in costs related to our wholesale long-distance business as a result of its decrease in revenues.</w:t>
      </w:r>
    </w:p>
    <w:p>
      <w:pPr>
        <w:spacing w:after="0" w:line="227"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As a result of the above, our US Telecom segment’s operating loss decreased by $0.5 million, or 11.9%, to a loss of $3.7 million from a loss of $4.2 million for the nine months ended September 30, 2023 and 2022, respectively.</w:t>
      </w:r>
    </w:p>
    <w:p>
      <w:pPr>
        <w:spacing w:after="0" w:line="164"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following represents a year over year discussion and analysis of our results of operations for the nine months ended September 30, 2023 and 2022 (in thousands):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Amount of</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Increase</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(Decrease)</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Communication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547,484</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512,315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35,169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563,250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533,730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29,520</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8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t>
            </w:r>
            <w:r>
              <w:rPr>
                <w:rFonts w:ascii="Arial" w:cs="Arial" w:eastAsia="Arial" w:hAnsi="Arial"/>
                <w:sz w:val="18"/>
                <w:szCs w:val="18"/>
                <w:i w:val="1"/>
                <w:iCs w:val="1"/>
                <w:color w:val="auto"/>
              </w:rPr>
              <w:t>excluding depreciation and</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amortization unless otherwise indicated</w:t>
            </w: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communication services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237,125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229,821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Cost of construction revenue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(5,005)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184,055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167,879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Transaction-related charges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4,640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100,421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Amortization of intangibles from acquisitions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disposition of long-lived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553,339</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530,458</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22,881</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1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(30,700)</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(13,107)</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(17,593)</w:t>
            </w:r>
          </w:p>
        </w:tc>
        <w:tc>
          <w:tcPr>
            <w:tcW w:w="640" w:type="dxa"/>
            <w:vAlign w:val="bottom"/>
          </w:tcPr>
          <w:p>
            <w:pPr>
              <w:jc w:val="right"/>
              <w:spacing w:after="0"/>
              <w:rPr>
                <w:sz w:val="20"/>
                <w:szCs w:val="20"/>
                <w:color w:val="auto"/>
              </w:rPr>
            </w:pPr>
            <w:r>
              <w:rPr>
                <w:rFonts w:ascii="Arial" w:cs="Arial" w:eastAsia="Arial" w:hAnsi="Arial"/>
                <w:sz w:val="18"/>
                <w:szCs w:val="18"/>
                <w:color w:val="auto"/>
              </w:rPr>
              <w:t>134.2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expense, net</w:t>
            </w: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(27,715)</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(9,687)</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(18,028)</w:t>
            </w:r>
          </w:p>
        </w:tc>
        <w:tc>
          <w:tcPr>
            <w:tcW w:w="1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(11,389)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(6,369)</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(4,991)</w:t>
            </w:r>
          </w:p>
        </w:tc>
        <w:tc>
          <w:tcPr>
            <w:tcW w:w="640" w:type="dxa"/>
            <w:vAlign w:val="bottom"/>
          </w:tcPr>
          <w:p>
            <w:pPr>
              <w:jc w:val="right"/>
              <w:spacing w:after="0"/>
              <w:rPr>
                <w:sz w:val="20"/>
                <w:szCs w:val="20"/>
                <w:color w:val="auto"/>
              </w:rPr>
            </w:pPr>
            <w:r>
              <w:rPr>
                <w:rFonts w:ascii="Arial" w:cs="Arial" w:eastAsia="Arial" w:hAnsi="Arial"/>
                <w:sz w:val="18"/>
                <w:szCs w:val="18"/>
                <w:color w:val="auto"/>
              </w:rPr>
              <w:t>362.2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20"/>
              <w:spacing w:after="0" w:line="201" w:lineRule="exact"/>
              <w:rPr>
                <w:sz w:val="20"/>
                <w:szCs w:val="20"/>
                <w:color w:val="auto"/>
              </w:rPr>
            </w:pPr>
            <w:r>
              <w:rPr>
                <w:rFonts w:ascii="Arial" w:cs="Arial" w:eastAsia="Arial" w:hAnsi="Arial"/>
                <w:sz w:val="18"/>
                <w:szCs w:val="18"/>
                <w:color w:val="auto"/>
                <w:w w:val="96"/>
              </w:rPr>
              <w:t>Net (income) loss attributable to noncontrolling interests, net of</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8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rPr>
              <w:t>NET INCOME (LOSS) ATTRIBUTABLE TO ATN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(8,702)</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(4,255)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(4,447)</w:t>
            </w:r>
          </w:p>
        </w:tc>
        <w:tc>
          <w:tcPr>
            <w:tcW w:w="90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104.5 %</w:t>
            </w: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INC. STOCKHOLDERS</w:t>
            </w:r>
          </w:p>
        </w:tc>
        <w:tc>
          <w:tcPr>
            <w:tcW w:w="10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Communications Services Revenue</w:t>
      </w:r>
    </w:p>
    <w:p>
      <w:pPr>
        <w:spacing w:after="0" w:line="262" w:lineRule="exact"/>
        <w:rPr>
          <w:sz w:val="20"/>
          <w:szCs w:val="20"/>
          <w:color w:val="auto"/>
        </w:rPr>
      </w:pPr>
    </w:p>
    <w:p>
      <w:pPr>
        <w:ind w:left="60" w:right="239" w:firstLine="648"/>
        <w:spacing w:after="0" w:line="261" w:lineRule="auto"/>
        <w:rPr>
          <w:sz w:val="20"/>
          <w:szCs w:val="20"/>
          <w:color w:val="auto"/>
        </w:rPr>
      </w:pPr>
      <w:r>
        <w:rPr>
          <w:rFonts w:ascii="Arial" w:cs="Arial" w:eastAsia="Arial" w:hAnsi="Arial"/>
          <w:sz w:val="18"/>
          <w:szCs w:val="18"/>
          <w:b w:val="1"/>
          <w:bCs w:val="1"/>
          <w:color w:val="auto"/>
        </w:rPr>
        <w:t xml:space="preserve">Mobility Revenue. </w:t>
      </w:r>
      <w:r>
        <w:rPr>
          <w:rFonts w:ascii="Arial" w:cs="Arial" w:eastAsia="Arial" w:hAnsi="Arial"/>
          <w:sz w:val="18"/>
          <w:szCs w:val="18"/>
          <w:color w:val="auto"/>
        </w:rPr>
        <w:t>Mobility revenue increased by $2.7 million, or 3.3%, to $83.8 million for the nine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2023 from $81.1 million for the nine months ended September 30, 2022. Of this increase, Mobility revenue from consumer customers increased by $2.8 million, partially offset by a reduction in Mobility revenue from business customers of $0.1million.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increase in Mobility revenue, within our segments, consisted of the following:</w:t>
      </w:r>
    </w:p>
    <w:p>
      <w:pPr>
        <w:spacing w:after="0" w:line="266" w:lineRule="exact"/>
        <w:rPr>
          <w:sz w:val="20"/>
          <w:szCs w:val="20"/>
          <w:color w:val="auto"/>
        </w:rPr>
      </w:pPr>
    </w:p>
    <w:p>
      <w:pPr>
        <w:ind w:left="720" w:right="79" w:hanging="319"/>
        <w:spacing w:after="0" w:line="275"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Telecom. </w:t>
      </w:r>
      <w:r>
        <w:rPr>
          <w:rFonts w:ascii="Arial" w:cs="Arial" w:eastAsia="Arial" w:hAnsi="Arial"/>
          <w:sz w:val="17"/>
          <w:szCs w:val="17"/>
          <w:color w:val="auto"/>
        </w:rPr>
        <w:t>Within our International Telecom segment, Mobility revenue increased by $5.8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7.7%, to $80.8 million for the nine months ended September 30, 2023 from $75.0 million for the nine months ended September 30, 2022. The increase in Mobility revenue within this segment was recognized in all of our international markets and was attributable to an increase in revenue from consumers as a result of improved retail and marketing strategies which led to an increase in subscribers and in equipment sales.</w:t>
      </w:r>
    </w:p>
    <w:p>
      <w:pPr>
        <w:spacing w:after="0" w:line="176" w:lineRule="exact"/>
        <w:rPr>
          <w:rFonts w:ascii="Arial" w:cs="Arial" w:eastAsia="Arial" w:hAnsi="Arial"/>
          <w:sz w:val="17"/>
          <w:szCs w:val="17"/>
          <w:color w:val="auto"/>
        </w:rPr>
      </w:pPr>
    </w:p>
    <w:p>
      <w:pPr>
        <w:ind w:left="720" w:right="79" w:hanging="319"/>
        <w:spacing w:after="0" w:line="279"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US Telecom</w:t>
      </w:r>
      <w:r>
        <w:rPr>
          <w:rFonts w:ascii="Arial" w:cs="Arial" w:eastAsia="Arial" w:hAnsi="Arial"/>
          <w:sz w:val="17"/>
          <w:szCs w:val="17"/>
          <w:color w:val="auto"/>
        </w:rPr>
        <w:t>. Mobility revenue within our US Telecom segment decreased by $2.9 million, or 48.3%, to $3.1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$6.0 million for the nine months ended September 30, 2023 and 2022, respectively. Substantially all of the decrease related to a decrease in revenue from consumers within our retail operations due to a decrease in subscribers as we continue to put more emphasis on other revenue sources within this segment.</w:t>
      </w:r>
    </w:p>
    <w:p>
      <w:pPr>
        <w:spacing w:after="0" w:line="208" w:lineRule="exact"/>
        <w:rPr>
          <w:sz w:val="20"/>
          <w:szCs w:val="20"/>
          <w:color w:val="auto"/>
        </w:rPr>
      </w:pPr>
    </w:p>
    <w:p>
      <w:pPr>
        <w:ind w:left="60" w:right="119" w:firstLine="648"/>
        <w:spacing w:after="0" w:line="261" w:lineRule="auto"/>
        <w:rPr>
          <w:sz w:val="20"/>
          <w:szCs w:val="20"/>
          <w:color w:val="auto"/>
        </w:rPr>
      </w:pPr>
      <w:r>
        <w:rPr>
          <w:rFonts w:ascii="Arial" w:cs="Arial" w:eastAsia="Arial" w:hAnsi="Arial"/>
          <w:sz w:val="18"/>
          <w:szCs w:val="18"/>
          <w:b w:val="1"/>
          <w:bCs w:val="1"/>
          <w:color w:val="auto"/>
        </w:rPr>
        <w:t xml:space="preserve">Fixed Revenue. </w:t>
      </w:r>
      <w:r>
        <w:rPr>
          <w:rFonts w:ascii="Arial" w:cs="Arial" w:eastAsia="Arial" w:hAnsi="Arial"/>
          <w:sz w:val="18"/>
          <w:szCs w:val="18"/>
          <w:color w:val="auto"/>
        </w:rPr>
        <w:t>Fixed revenue increased by $29.8 million, or 9.2%, to $353.9 million from $324.1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30, 2023 and 2022, respectively. Of this increase, $15.7 million and $14.1 million relate to increases in revenue from business and consumer customers, respectively. The increase in Fixed revenue, within our segments, consisted of the following:</w:t>
      </w:r>
    </w:p>
    <w:p>
      <w:pPr>
        <w:spacing w:after="0" w:line="211" w:lineRule="exact"/>
        <w:rPr>
          <w:sz w:val="20"/>
          <w:szCs w:val="20"/>
          <w:color w:val="auto"/>
        </w:rPr>
      </w:pPr>
    </w:p>
    <w:p>
      <w:pPr>
        <w:ind w:left="720" w:right="299" w:hanging="319"/>
        <w:spacing w:after="0" w:line="296"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International Telecom</w:t>
      </w:r>
      <w:r>
        <w:rPr>
          <w:rFonts w:ascii="Arial" w:cs="Arial" w:eastAsia="Arial" w:hAnsi="Arial"/>
          <w:sz w:val="16"/>
          <w:szCs w:val="16"/>
          <w:color w:val="auto"/>
        </w:rPr>
        <w:t>. Within our International Telecom segment, Fixed revenue increased by $3.2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1.8%, to $178.5 million from $175.3 million for the nine months ended September 30, 2023 and 2022, respectively. This increase was a result of improved customer care, marketing strategies and network upgrades and expansions which led to an increase in subscribers and the number of homes passed by high-speed data solutions which allowed us to migrate many legacy copper customers to more durable fiber services.</w:t>
      </w:r>
    </w:p>
    <w:p>
      <w:pPr>
        <w:spacing w:after="0" w:line="161" w:lineRule="exact"/>
        <w:rPr>
          <w:rFonts w:ascii="Arial" w:cs="Arial" w:eastAsia="Arial" w:hAnsi="Arial"/>
          <w:sz w:val="16"/>
          <w:szCs w:val="16"/>
          <w:color w:val="auto"/>
        </w:rPr>
      </w:pPr>
    </w:p>
    <w:p>
      <w:pPr>
        <w:ind w:left="720" w:right="119" w:hanging="319"/>
        <w:spacing w:after="0" w:line="25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Fixed revenue within our US Telecom segment increased by $26.5 million, or 17.8%, to $175.3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$148.8 million for the nine months ended September 30, 2023 and 2022, respectively. This increase was primarily related to an increase in revenue from business customers in Alaska and the revenue impact of the Sacred Wind Transaction.</w:t>
      </w:r>
    </w:p>
    <w:p>
      <w:pPr>
        <w:spacing w:after="0" w:line="223" w:lineRule="exact"/>
        <w:rPr>
          <w:sz w:val="20"/>
          <w:szCs w:val="20"/>
          <w:color w:val="auto"/>
        </w:rPr>
      </w:pPr>
    </w:p>
    <w:p>
      <w:pPr>
        <w:jc w:val="both"/>
        <w:ind w:left="60" w:right="179" w:firstLine="648"/>
        <w:spacing w:after="0" w:line="266" w:lineRule="auto"/>
        <w:rPr>
          <w:sz w:val="20"/>
          <w:szCs w:val="20"/>
          <w:color w:val="auto"/>
        </w:rPr>
      </w:pPr>
      <w:r>
        <w:rPr>
          <w:rFonts w:ascii="Arial" w:cs="Arial" w:eastAsia="Arial" w:hAnsi="Arial"/>
          <w:sz w:val="18"/>
          <w:szCs w:val="18"/>
          <w:b w:val="1"/>
          <w:bCs w:val="1"/>
          <w:color w:val="auto"/>
        </w:rPr>
        <w:t xml:space="preserve">Carrier Services Revenue. </w:t>
      </w:r>
      <w:r>
        <w:rPr>
          <w:rFonts w:ascii="Arial" w:cs="Arial" w:eastAsia="Arial" w:hAnsi="Arial"/>
          <w:sz w:val="18"/>
          <w:szCs w:val="18"/>
          <w:color w:val="auto"/>
        </w:rPr>
        <w:t>Carrier Services revenue increased by $0.9 million, or 0.8%, to $107.0 million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$106.1 million for the nine months ended September 30, 2023 and 2022, respectively. The increase, within our segments, consisted of the following:</w:t>
      </w:r>
    </w:p>
    <w:p>
      <w:pPr>
        <w:spacing w:after="0" w:line="220" w:lineRule="exact"/>
        <w:rPr>
          <w:sz w:val="20"/>
          <w:szCs w:val="20"/>
          <w:color w:val="auto"/>
        </w:rPr>
      </w:pPr>
    </w:p>
    <w:p>
      <w:pPr>
        <w:ind w:left="720" w:right="159" w:hanging="319"/>
        <w:spacing w:after="0" w:line="311"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International Telecom</w:t>
      </w:r>
      <w:r>
        <w:rPr>
          <w:rFonts w:ascii="Arial" w:cs="Arial" w:eastAsia="Arial" w:hAnsi="Arial"/>
          <w:sz w:val="16"/>
          <w:szCs w:val="16"/>
          <w:color w:val="auto"/>
        </w:rPr>
        <w:t>. Within our International Telecom segment, Carrier Services revenue increased by $1.0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10.0%, to $11.0 million, from $10.0 million for the nine months ended September 30, 2023 and 2022, respectively, as a result of an increase in international travel that resulted in an increase in roaming revenues.</w:t>
      </w:r>
    </w:p>
    <w:p>
      <w:pPr>
        <w:spacing w:after="0" w:line="148" w:lineRule="exact"/>
        <w:rPr>
          <w:rFonts w:ascii="Arial" w:cs="Arial" w:eastAsia="Arial" w:hAnsi="Arial"/>
          <w:sz w:val="16"/>
          <w:szCs w:val="16"/>
          <w:color w:val="auto"/>
        </w:rPr>
      </w:pPr>
    </w:p>
    <w:p>
      <w:pPr>
        <w:ind w:left="720" w:right="339" w:hanging="319"/>
        <w:spacing w:after="0" w:line="25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Carrier Services revenue within our US Telecom segment decreased by $0.1 million, or 0.1%, to</w:t>
      </w:r>
      <w:r>
        <w:rPr>
          <w:rFonts w:ascii="Arial" w:cs="Arial" w:eastAsia="Arial" w:hAnsi="Arial"/>
          <w:sz w:val="18"/>
          <w:szCs w:val="18"/>
          <w:i w:val="1"/>
          <w:iCs w:val="1"/>
          <w:color w:val="auto"/>
        </w:rPr>
        <w:t xml:space="preserve"> </w:t>
      </w:r>
      <w:r>
        <w:rPr>
          <w:rFonts w:ascii="Arial" w:cs="Arial" w:eastAsia="Arial" w:hAnsi="Arial"/>
          <w:sz w:val="18"/>
          <w:szCs w:val="18"/>
          <w:color w:val="auto"/>
        </w:rPr>
        <w:t>$96.0 million from $96.1 million, for the nine months ended September 30, 2023 and 2022, respectively. This decrease reflects an increase from the Sacred Wind Transaction and an increase in these revenues from our Alaska operations, which were offset by a decline in revenue from our wholesale long-distance voice services business.</w:t>
      </w:r>
    </w:p>
    <w:p>
      <w:pPr>
        <w:spacing w:after="0" w:line="211" w:lineRule="exact"/>
        <w:rPr>
          <w:sz w:val="20"/>
          <w:szCs w:val="20"/>
          <w:color w:val="auto"/>
        </w:rPr>
      </w:pPr>
    </w:p>
    <w:p>
      <w:pPr>
        <w:ind w:left="60" w:right="139" w:firstLine="648"/>
        <w:spacing w:after="0" w:line="258" w:lineRule="auto"/>
        <w:rPr>
          <w:sz w:val="20"/>
          <w:szCs w:val="20"/>
          <w:color w:val="auto"/>
        </w:rPr>
      </w:pPr>
      <w:r>
        <w:rPr>
          <w:rFonts w:ascii="Arial" w:cs="Arial" w:eastAsia="Arial" w:hAnsi="Arial"/>
          <w:sz w:val="18"/>
          <w:szCs w:val="18"/>
          <w:b w:val="1"/>
          <w:bCs w:val="1"/>
          <w:color w:val="auto"/>
        </w:rPr>
        <w:t xml:space="preserve">Other Communications Services Revenue. </w:t>
      </w:r>
      <w:r>
        <w:rPr>
          <w:rFonts w:ascii="Arial" w:cs="Arial" w:eastAsia="Arial" w:hAnsi="Arial"/>
          <w:sz w:val="18"/>
          <w:szCs w:val="18"/>
          <w:color w:val="auto"/>
        </w:rPr>
        <w:t>Other Communications Services revenue includes 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that the operations within our International Telecom segment provide to retail subscribers. Other Communications Services revenue increased to $2.1 million from $1.1 million for the nine months ended September 30, 2023 and 2022, respectively, as a result of certain project-related revenue being recognized during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Construction Revenue</w:t>
      </w:r>
    </w:p>
    <w:p>
      <w:pPr>
        <w:spacing w:after="0" w:line="266"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During the nine months ended September 30, 2023 and 2022, Construction revenue decreased to $3.6 million from $8.6 million, respectively, as a result of a decrease in the number of sites completed during 2023 as compared to 2022.</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Revenue</w:t>
      </w:r>
    </w:p>
    <w:p>
      <w:pPr>
        <w:spacing w:after="0" w:line="248" w:lineRule="exact"/>
        <w:rPr>
          <w:sz w:val="20"/>
          <w:szCs w:val="20"/>
          <w:color w:val="auto"/>
        </w:rPr>
      </w:pPr>
    </w:p>
    <w:p>
      <w:pPr>
        <w:ind w:left="60" w:right="339" w:firstLine="648"/>
        <w:spacing w:after="0" w:line="282" w:lineRule="auto"/>
        <w:rPr>
          <w:sz w:val="20"/>
          <w:szCs w:val="20"/>
          <w:color w:val="auto"/>
        </w:rPr>
      </w:pPr>
      <w:r>
        <w:rPr>
          <w:rFonts w:ascii="Arial" w:cs="Arial" w:eastAsia="Arial" w:hAnsi="Arial"/>
          <w:sz w:val="18"/>
          <w:szCs w:val="18"/>
          <w:b w:val="1"/>
          <w:bCs w:val="1"/>
          <w:color w:val="auto"/>
        </w:rPr>
        <w:t xml:space="preserve">Managed Services Revenue. </w:t>
      </w:r>
      <w:r>
        <w:rPr>
          <w:rFonts w:ascii="Arial" w:cs="Arial" w:eastAsia="Arial" w:hAnsi="Arial"/>
          <w:sz w:val="18"/>
          <w:szCs w:val="18"/>
          <w:color w:val="auto"/>
        </w:rPr>
        <w:t>Managed Services revenue decreased by $0.7 million, or 5.5%, to $12.1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$12.8 million for the nine months ended September 30, 2023 and 2022, respectively.</w:t>
      </w:r>
    </w:p>
    <w:p>
      <w:pPr>
        <w:spacing w:after="0" w:line="206"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i w:val="1"/>
          <w:iCs w:val="1"/>
          <w:color w:val="auto"/>
        </w:rPr>
        <w:t xml:space="preserve">International Telecom. </w:t>
      </w:r>
      <w:r>
        <w:rPr>
          <w:rFonts w:ascii="Arial" w:cs="Arial" w:eastAsia="Arial" w:hAnsi="Arial"/>
          <w:sz w:val="16"/>
          <w:szCs w:val="16"/>
          <w:color w:val="auto"/>
        </w:rPr>
        <w:t>Managed Services revenue in our International Telecom segment increased by $0.1, or</w:t>
      </w:r>
      <w:r>
        <w:rPr>
          <w:rFonts w:ascii="Arial" w:cs="Arial" w:eastAsia="Arial" w:hAnsi="Arial"/>
          <w:sz w:val="16"/>
          <w:szCs w:val="16"/>
          <w:i w:val="1"/>
          <w:iCs w:val="1"/>
          <w:color w:val="auto"/>
        </w:rPr>
        <w:t xml:space="preserve"> </w:t>
      </w:r>
      <w:r>
        <w:rPr>
          <w:rFonts w:ascii="Arial" w:cs="Arial" w:eastAsia="Arial" w:hAnsi="Arial"/>
          <w:sz w:val="16"/>
          <w:szCs w:val="16"/>
          <w:color w:val="auto"/>
        </w:rPr>
        <w:t>2.6%, to $3.9 million from $3.8 million for the nine months ended September 30, 2023 and 2022, respectively.</w:t>
      </w:r>
    </w:p>
    <w:p>
      <w:pPr>
        <w:spacing w:after="0" w:line="164" w:lineRule="exact"/>
        <w:rPr>
          <w:sz w:val="20"/>
          <w:szCs w:val="20"/>
          <w:color w:val="auto"/>
        </w:rPr>
      </w:pPr>
    </w:p>
    <w:p>
      <w:pPr>
        <w:ind w:left="60" w:right="379" w:firstLine="648"/>
        <w:spacing w:after="0" w:line="308" w:lineRule="auto"/>
        <w:rPr>
          <w:sz w:val="20"/>
          <w:szCs w:val="20"/>
          <w:color w:val="auto"/>
        </w:rPr>
      </w:pPr>
      <w:r>
        <w:rPr>
          <w:rFonts w:ascii="Arial" w:cs="Arial" w:eastAsia="Arial" w:hAnsi="Arial"/>
          <w:sz w:val="17"/>
          <w:szCs w:val="17"/>
          <w:i w:val="1"/>
          <w:iCs w:val="1"/>
          <w:color w:val="auto"/>
        </w:rPr>
        <w:t>US Telecom</w:t>
      </w:r>
      <w:r>
        <w:rPr>
          <w:rFonts w:ascii="Arial" w:cs="Arial" w:eastAsia="Arial" w:hAnsi="Arial"/>
          <w:sz w:val="17"/>
          <w:szCs w:val="17"/>
          <w:color w:val="auto"/>
        </w:rPr>
        <w:t>. Within our US Telecom segment, Managed Services revenue decreased $0.8 million, or 8.9%, to</w:t>
      </w:r>
      <w:r>
        <w:rPr>
          <w:rFonts w:ascii="Arial" w:cs="Arial" w:eastAsia="Arial" w:hAnsi="Arial"/>
          <w:sz w:val="17"/>
          <w:szCs w:val="17"/>
          <w:i w:val="1"/>
          <w:iCs w:val="1"/>
          <w:color w:val="auto"/>
        </w:rPr>
        <w:t xml:space="preserve"> </w:t>
      </w:r>
      <w:r>
        <w:rPr>
          <w:rFonts w:ascii="Arial" w:cs="Arial" w:eastAsia="Arial" w:hAnsi="Arial"/>
          <w:sz w:val="17"/>
          <w:szCs w:val="17"/>
          <w:color w:val="auto"/>
        </w:rPr>
        <w:t>$8.2 million from $9.0 million for the nine months ended September 30, 2023 and 2022, respectively.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2" w:lineRule="exact"/>
        <w:rPr>
          <w:sz w:val="20"/>
          <w:szCs w:val="20"/>
          <w:color w:val="auto"/>
        </w:rPr>
      </w:pPr>
    </w:p>
    <w:p>
      <w:pPr>
        <w:ind w:left="60" w:right="639" w:firstLine="648"/>
        <w:spacing w:after="0" w:line="261" w:lineRule="auto"/>
        <w:rPr>
          <w:sz w:val="20"/>
          <w:szCs w:val="20"/>
          <w:color w:val="auto"/>
        </w:rPr>
      </w:pPr>
      <w:r>
        <w:rPr>
          <w:rFonts w:ascii="Arial" w:cs="Arial" w:eastAsia="Arial" w:hAnsi="Arial"/>
          <w:sz w:val="18"/>
          <w:szCs w:val="18"/>
          <w:b w:val="1"/>
          <w:bCs w:val="1"/>
          <w:color w:val="auto"/>
        </w:rPr>
        <w:t xml:space="preserve">Cost of communication services and other. </w:t>
      </w:r>
      <w:r>
        <w:rPr>
          <w:rFonts w:ascii="Arial" w:cs="Arial" w:eastAsia="Arial" w:hAnsi="Arial"/>
          <w:sz w:val="18"/>
          <w:szCs w:val="18"/>
          <w:color w:val="auto"/>
        </w:rPr>
        <w:t>Cost of communication services and other increased by $7.3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3.2%, to $237.1 million from $229.8 million for the nine months ended September 30, 2023 and 2022, respectively. The net increase in cost of communication services and other, within our segments, consisted of the following:</w:t>
      </w:r>
    </w:p>
    <w:p>
      <w:pPr>
        <w:spacing w:after="0" w:line="224" w:lineRule="exact"/>
        <w:rPr>
          <w:sz w:val="20"/>
          <w:szCs w:val="20"/>
          <w:color w:val="auto"/>
        </w:rPr>
      </w:pPr>
    </w:p>
    <w:p>
      <w:pPr>
        <w:ind w:left="720" w:right="99" w:hanging="319"/>
        <w:spacing w:after="0" w:line="301"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Telecom. </w:t>
      </w:r>
      <w:r>
        <w:rPr>
          <w:rFonts w:ascii="Arial" w:cs="Arial" w:eastAsia="Arial" w:hAnsi="Arial"/>
          <w:sz w:val="16"/>
          <w:szCs w:val="16"/>
          <w:color w:val="auto"/>
        </w:rPr>
        <w:t>Within our International Telecom segment, cost of communication services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$1.4 million, or 1.3%, to $106.1 million from $104.7 million, for the nine months ended September 30, 2023 and 2022, respectively. This increase was the result of increased regulatory costs in certain international markets partially offset by decreases in credit loss allowances and in equipment expenses.</w:t>
      </w:r>
    </w:p>
    <w:p>
      <w:pPr>
        <w:spacing w:after="0" w:line="89" w:lineRule="exact"/>
        <w:rPr>
          <w:rFonts w:ascii="Arial" w:cs="Arial" w:eastAsia="Arial" w:hAnsi="Arial"/>
          <w:sz w:val="16"/>
          <w:szCs w:val="16"/>
          <w:color w:val="auto"/>
        </w:rPr>
      </w:pPr>
    </w:p>
    <w:p>
      <w:pPr>
        <w:ind w:left="720" w:right="119" w:hanging="319"/>
        <w:spacing w:after="0" w:line="296"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US Telecom</w:t>
      </w:r>
      <w:r>
        <w:rPr>
          <w:rFonts w:ascii="Arial" w:cs="Arial" w:eastAsia="Arial" w:hAnsi="Arial"/>
          <w:sz w:val="16"/>
          <w:szCs w:val="16"/>
          <w:color w:val="auto"/>
        </w:rPr>
        <w:t>. Cost of communication services and other within our US Telecom segment increased by $5.9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4.7%, to $131.7 million from $125.8 million for the nine months ended September 30, 2023 and 2022, respectively. Such increase was primarily related to an increase in direct costs in Alaska to support revenue growth and the impact of the Sacred Wind Transaction. These increases were partially offset by reductions in our wholesale long-distance voice services business as a result of decreases in that operation’s revenues.</w:t>
      </w:r>
    </w:p>
    <w:p>
      <w:pPr>
        <w:spacing w:after="0" w:line="184" w:lineRule="exact"/>
        <w:rPr>
          <w:sz w:val="20"/>
          <w:szCs w:val="20"/>
          <w:color w:val="auto"/>
        </w:rPr>
      </w:pPr>
    </w:p>
    <w:p>
      <w:pPr>
        <w:jc w:val="both"/>
        <w:ind w:left="60" w:right="99" w:firstLine="648"/>
        <w:spacing w:after="0" w:line="266" w:lineRule="auto"/>
        <w:rPr>
          <w:sz w:val="20"/>
          <w:szCs w:val="20"/>
          <w:color w:val="auto"/>
        </w:rPr>
      </w:pPr>
      <w:r>
        <w:rPr>
          <w:rFonts w:ascii="Arial" w:cs="Arial" w:eastAsia="Arial" w:hAnsi="Arial"/>
          <w:sz w:val="18"/>
          <w:szCs w:val="18"/>
          <w:b w:val="1"/>
          <w:bCs w:val="1"/>
          <w:color w:val="auto"/>
        </w:rPr>
        <w:t xml:space="preserve">Cost of construction revenue. </w:t>
      </w:r>
      <w:r>
        <w:rPr>
          <w:rFonts w:ascii="Arial" w:cs="Arial" w:eastAsia="Arial" w:hAnsi="Arial"/>
          <w:sz w:val="18"/>
          <w:szCs w:val="18"/>
          <w:color w:val="auto"/>
        </w:rPr>
        <w:t>During the nine months ended September 30, 2023 and 2022, cost of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decreased to $3.6 million from $8.6 million as a result of a decrease in the number of sites completed during 2023 as compared to 2022.</w:t>
      </w:r>
    </w:p>
    <w:p>
      <w:pPr>
        <w:spacing w:after="0" w:line="216"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increased by $16.2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9.6%, to $184.1 million from $167.9 million for the nine months ended September 30, 2023 and 2022, respectively. The net increase in selling, general and administrative expenses, within our segments, consisted of the following:</w:t>
      </w:r>
    </w:p>
    <w:p>
      <w:pPr>
        <w:spacing w:after="0" w:line="224" w:lineRule="exact"/>
        <w:rPr>
          <w:sz w:val="20"/>
          <w:szCs w:val="20"/>
          <w:color w:val="auto"/>
        </w:rPr>
      </w:pPr>
    </w:p>
    <w:p>
      <w:pPr>
        <w:ind w:left="720" w:right="359" w:hanging="319"/>
        <w:spacing w:after="0" w:line="275"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International Telecom</w:t>
      </w:r>
      <w:r>
        <w:rPr>
          <w:rFonts w:ascii="Arial" w:cs="Arial" w:eastAsia="Arial" w:hAnsi="Arial"/>
          <w:sz w:val="17"/>
          <w:szCs w:val="17"/>
          <w:color w:val="auto"/>
        </w:rPr>
        <w:t>. Within our International Telecom segment, our selling, general and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increased by $7.0 million, or 9.0%, to $85.1 million from $78.1 million for the nine months ended September 30, 2023 and 2022, respectively. This increase was incurred within all of our international markets primarily as a result of an increase in our sales and marketing costs needed to support the expansion of our subscriber base, as well as in increase in professional fees.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75"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US Telecom</w:t>
      </w:r>
      <w:r>
        <w:rPr>
          <w:rFonts w:ascii="Arial" w:cs="Arial" w:eastAsia="Arial" w:hAnsi="Arial"/>
          <w:sz w:val="17"/>
          <w:szCs w:val="17"/>
          <w:color w:val="auto"/>
        </w:rPr>
        <w:t>. Selling, general and administrative expenses increased within our US Telecom segment by $7.5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10.5%, to $79.2 million from $71.7 million, for the nine months ended September 30, 2023 and 2022, respectively. This increase was primarily related to expenses to support the operations from the Sacred Wind Transaction and an increase in sales and marketing efforts and administrative costs in our Alaska operations which helped drive the increase in that operation’s revenues.</w:t>
      </w:r>
    </w:p>
    <w:p>
      <w:pPr>
        <w:spacing w:after="0" w:line="176" w:lineRule="exact"/>
        <w:rPr>
          <w:rFonts w:ascii="Arial" w:cs="Arial" w:eastAsia="Arial" w:hAnsi="Arial"/>
          <w:sz w:val="17"/>
          <w:szCs w:val="17"/>
          <w:color w:val="auto"/>
        </w:rPr>
      </w:pPr>
    </w:p>
    <w:p>
      <w:pPr>
        <w:jc w:val="both"/>
        <w:ind w:left="720" w:right="279" w:hanging="319"/>
        <w:spacing w:after="0" w:line="311"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Corporate Overhead. </w:t>
      </w:r>
      <w:r>
        <w:rPr>
          <w:rFonts w:ascii="Arial" w:cs="Arial" w:eastAsia="Arial" w:hAnsi="Arial"/>
          <w:sz w:val="16"/>
          <w:szCs w:val="16"/>
          <w:color w:val="auto"/>
        </w:rPr>
        <w:t>Selling, general and administrative expenses within our corporate overhead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$1.7 million, or 9.4%, to $19.7 million from $18.0 million, for the nine months ended September 30, 2023 and 2022, respectively, primarily related to the support needed for our recent acquisitions and expanded operations.</w:t>
      </w:r>
    </w:p>
    <w:p>
      <w:pPr>
        <w:spacing w:after="0" w:line="200" w:lineRule="exact"/>
        <w:rPr>
          <w:sz w:val="20"/>
          <w:szCs w:val="20"/>
          <w:color w:val="auto"/>
        </w:rPr>
      </w:pPr>
    </w:p>
    <w:p>
      <w:pPr>
        <w:spacing w:after="0" w:line="201" w:lineRule="exact"/>
        <w:rPr>
          <w:sz w:val="20"/>
          <w:szCs w:val="20"/>
          <w:color w:val="auto"/>
        </w:rPr>
      </w:pPr>
    </w:p>
    <w:p>
      <w:pPr>
        <w:ind w:left="60" w:right="99" w:firstLine="648"/>
        <w:spacing w:after="0" w:line="28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Stock-based compensation for the nine months ended September 30, 2023 and 2022</w:t>
      </w:r>
      <w:r>
        <w:rPr>
          <w:rFonts w:ascii="Arial" w:cs="Arial" w:eastAsia="Arial" w:hAnsi="Arial"/>
          <w:sz w:val="18"/>
          <w:szCs w:val="18"/>
          <w:b w:val="1"/>
          <w:bCs w:val="1"/>
          <w:color w:val="auto"/>
        </w:rPr>
        <w:t xml:space="preserve"> </w:t>
      </w:r>
      <w:r>
        <w:rPr>
          <w:rFonts w:ascii="Arial" w:cs="Arial" w:eastAsia="Arial" w:hAnsi="Arial"/>
          <w:sz w:val="18"/>
          <w:szCs w:val="18"/>
          <w:color w:val="auto"/>
        </w:rPr>
        <w:t>was $6.5 million and $5.7 million, respectively.</w:t>
      </w:r>
    </w:p>
    <w:p>
      <w:pPr>
        <w:spacing w:after="0" w:line="202" w:lineRule="exact"/>
        <w:rPr>
          <w:sz w:val="20"/>
          <w:szCs w:val="20"/>
          <w:color w:val="auto"/>
        </w:rPr>
      </w:pPr>
    </w:p>
    <w:p>
      <w:pPr>
        <w:ind w:left="60" w:right="319" w:firstLine="648"/>
        <w:spacing w:after="0" w:line="282" w:lineRule="auto"/>
        <w:rPr>
          <w:sz w:val="20"/>
          <w:szCs w:val="20"/>
          <w:color w:val="auto"/>
        </w:rPr>
      </w:pPr>
      <w:r>
        <w:rPr>
          <w:rFonts w:ascii="Arial" w:cs="Arial" w:eastAsia="Arial" w:hAnsi="Arial"/>
          <w:sz w:val="18"/>
          <w:szCs w:val="18"/>
          <w:b w:val="1"/>
          <w:bCs w:val="1"/>
          <w:color w:val="auto"/>
        </w:rPr>
        <w:t xml:space="preserve">Transaction-related charges. </w:t>
      </w:r>
      <w:r>
        <w:rPr>
          <w:rFonts w:ascii="Arial" w:cs="Arial" w:eastAsia="Arial" w:hAnsi="Arial"/>
          <w:sz w:val="18"/>
          <w:szCs w:val="18"/>
          <w:color w:val="auto"/>
        </w:rPr>
        <w:t>We incurred $0.5 million and $4.4 million of transaction-related charges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30, 2023 and 2022, respectively.</w:t>
      </w:r>
    </w:p>
    <w:p>
      <w:pPr>
        <w:spacing w:after="0" w:line="189" w:lineRule="exact"/>
        <w:rPr>
          <w:sz w:val="20"/>
          <w:szCs w:val="20"/>
          <w:color w:val="auto"/>
        </w:rPr>
      </w:pPr>
    </w:p>
    <w:p>
      <w:pPr>
        <w:ind w:left="60" w:right="519" w:firstLine="648"/>
        <w:spacing w:after="0" w:line="266" w:lineRule="auto"/>
        <w:rPr>
          <w:sz w:val="20"/>
          <w:szCs w:val="20"/>
          <w:color w:val="auto"/>
        </w:rPr>
      </w:pPr>
      <w:r>
        <w:rPr>
          <w:rFonts w:ascii="Arial" w:cs="Arial" w:eastAsia="Arial" w:hAnsi="Arial"/>
          <w:sz w:val="18"/>
          <w:szCs w:val="18"/>
          <w:b w:val="1"/>
          <w:bCs w:val="1"/>
          <w:color w:val="auto"/>
        </w:rPr>
        <w:t xml:space="preserve">Restructuring expenses. </w:t>
      </w:r>
      <w:r>
        <w:rPr>
          <w:rFonts w:ascii="Arial" w:cs="Arial" w:eastAsia="Arial" w:hAnsi="Arial"/>
          <w:sz w:val="18"/>
          <w:szCs w:val="18"/>
          <w:color w:val="auto"/>
        </w:rPr>
        <w:t>In order to reduce our US Telecom’s cost structure to an optimal level needed to</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the segment’s operations going forward, we incurred certain network termination and reduction in force costs totaling $4.6 million during the nine months ended September 30, 2023.</w:t>
      </w:r>
    </w:p>
    <w:p>
      <w:pPr>
        <w:spacing w:after="0" w:line="216" w:lineRule="exact"/>
        <w:rPr>
          <w:sz w:val="20"/>
          <w:szCs w:val="20"/>
          <w:color w:val="auto"/>
        </w:rPr>
      </w:pPr>
    </w:p>
    <w:p>
      <w:pPr>
        <w:ind w:left="60" w:right="79" w:firstLine="693"/>
        <w:spacing w:after="0" w:line="314" w:lineRule="auto"/>
        <w:rPr>
          <w:sz w:val="20"/>
          <w:szCs w:val="20"/>
          <w:color w:val="auto"/>
        </w:rPr>
      </w:pPr>
      <w:r>
        <w:rPr>
          <w:rFonts w:ascii="Arial" w:cs="Arial" w:eastAsia="Arial" w:hAnsi="Arial"/>
          <w:sz w:val="16"/>
          <w:szCs w:val="16"/>
          <w:b w:val="1"/>
          <w:bCs w:val="1"/>
          <w:color w:val="auto"/>
        </w:rPr>
        <w:t xml:space="preserve">Depreciation and amortization expenses. </w:t>
      </w:r>
      <w:r>
        <w:rPr>
          <w:rFonts w:ascii="Arial" w:cs="Arial" w:eastAsia="Arial" w:hAnsi="Arial"/>
          <w:sz w:val="16"/>
          <w:szCs w:val="16"/>
          <w:color w:val="auto"/>
        </w:rPr>
        <w:t>Depreciation and amortization expenses increased by $6.6 million, or</w:t>
      </w:r>
      <w:r>
        <w:rPr>
          <w:rFonts w:ascii="Arial" w:cs="Arial" w:eastAsia="Arial" w:hAnsi="Arial"/>
          <w:sz w:val="16"/>
          <w:szCs w:val="16"/>
          <w:b w:val="1"/>
          <w:bCs w:val="1"/>
          <w:color w:val="auto"/>
        </w:rPr>
        <w:t xml:space="preserve"> </w:t>
      </w:r>
      <w:r>
        <w:rPr>
          <w:rFonts w:ascii="Arial" w:cs="Arial" w:eastAsia="Arial" w:hAnsi="Arial"/>
          <w:sz w:val="16"/>
          <w:szCs w:val="16"/>
          <w:color w:val="auto"/>
        </w:rPr>
        <w:t>6.6%, to $107.0 million from $100.4 million for the nine months ended September 30, 2023 and 2022, respectively. The net increase in depreciation and amortization expenses, within our segments, consisted primarily of the following:</w:t>
      </w:r>
    </w:p>
    <w:p>
      <w:pPr>
        <w:spacing w:after="0" w:line="186" w:lineRule="exact"/>
        <w:rPr>
          <w:sz w:val="20"/>
          <w:szCs w:val="20"/>
          <w:color w:val="auto"/>
        </w:rPr>
      </w:pPr>
    </w:p>
    <w:p>
      <w:pPr>
        <w:ind w:left="720" w:right="179" w:hanging="319"/>
        <w:spacing w:after="0" w:line="311"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International Telecom</w:t>
      </w:r>
      <w:r>
        <w:rPr>
          <w:rFonts w:ascii="Arial" w:cs="Arial" w:eastAsia="Arial" w:hAnsi="Arial"/>
          <w:sz w:val="16"/>
          <w:szCs w:val="16"/>
          <w:color w:val="auto"/>
        </w:rPr>
        <w:t>. Depreciation and amortization expenses decreased within our International Telecom</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by $0.5 million, or 1.2%, to $42.6 million from $43.1 million, for the nine months ended September 30, 2023 and 2022, respectively, primarily as a result of certain assets becoming fully depreciated in recent periods.</w:t>
      </w:r>
    </w:p>
    <w:p>
      <w:pPr>
        <w:spacing w:after="0" w:line="148" w:lineRule="exact"/>
        <w:rPr>
          <w:rFonts w:ascii="Arial" w:cs="Arial" w:eastAsia="Arial" w:hAnsi="Arial"/>
          <w:sz w:val="16"/>
          <w:szCs w:val="16"/>
          <w:color w:val="auto"/>
        </w:rPr>
      </w:pPr>
    </w:p>
    <w:p>
      <w:pPr>
        <w:ind w:left="720" w:right="179" w:hanging="319"/>
        <w:spacing w:after="0" w:line="279"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US Telecom</w:t>
      </w:r>
      <w:r>
        <w:rPr>
          <w:rFonts w:ascii="Arial" w:cs="Arial" w:eastAsia="Arial" w:hAnsi="Arial"/>
          <w:sz w:val="17"/>
          <w:szCs w:val="17"/>
          <w:color w:val="auto"/>
        </w:rPr>
        <w:t>. Depreciation and amortization expenses increased within our US Telecom segment by $7.8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14.3%, to $62.3 million from $54.5 million, for the nine months ended September 30, 2023 and 2022, respectively, primarily as a result of the impact of the Sacred Wind Transaction, which was completed in November 2022, and the depreciation expense recorded on recent capital expenditures.</w:t>
      </w:r>
    </w:p>
    <w:p>
      <w:pPr>
        <w:spacing w:after="0" w:line="171" w:lineRule="exact"/>
        <w:rPr>
          <w:rFonts w:ascii="Arial" w:cs="Arial" w:eastAsia="Arial" w:hAnsi="Arial"/>
          <w:sz w:val="17"/>
          <w:szCs w:val="17"/>
          <w:color w:val="auto"/>
        </w:rPr>
      </w:pPr>
    </w:p>
    <w:p>
      <w:pPr>
        <w:ind w:left="720" w:right="219" w:hanging="319"/>
        <w:spacing w:after="0" w:line="286"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Corporate Overhead</w:t>
      </w:r>
      <w:r>
        <w:rPr>
          <w:rFonts w:ascii="Arial" w:cs="Arial" w:eastAsia="Arial" w:hAnsi="Arial"/>
          <w:sz w:val="17"/>
          <w:szCs w:val="17"/>
          <w:color w:val="auto"/>
        </w:rPr>
        <w:t>. Depreciation and amortization expenses decreased within our corporate overhead by $0.8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28.6%, to $2.0 million from $2.8 million, for the nine months ended September 30, 2023 and 2022, respectively, primarily as a result of certain assets becoming fully depreciated in recent periods.</w:t>
      </w:r>
    </w:p>
    <w:p>
      <w:pPr>
        <w:spacing w:after="0" w:line="188" w:lineRule="exact"/>
        <w:rPr>
          <w:sz w:val="20"/>
          <w:szCs w:val="20"/>
          <w:color w:val="auto"/>
        </w:rPr>
      </w:pPr>
    </w:p>
    <w:p>
      <w:pPr>
        <w:ind w:left="60" w:right="79" w:firstLine="648"/>
        <w:spacing w:after="0" w:line="312" w:lineRule="auto"/>
        <w:rPr>
          <w:sz w:val="20"/>
          <w:szCs w:val="20"/>
          <w:color w:val="auto"/>
        </w:rPr>
      </w:pPr>
      <w:r>
        <w:rPr>
          <w:rFonts w:ascii="Arial" w:cs="Arial" w:eastAsia="Arial" w:hAnsi="Arial"/>
          <w:sz w:val="17"/>
          <w:szCs w:val="17"/>
          <w:b w:val="1"/>
          <w:bCs w:val="1"/>
          <w:color w:val="auto"/>
        </w:rPr>
        <w:t xml:space="preserve">Amortization of intangibles from acquisitions. </w:t>
      </w:r>
      <w:r>
        <w:rPr>
          <w:rFonts w:ascii="Arial" w:cs="Arial" w:eastAsia="Arial" w:hAnsi="Arial"/>
          <w:sz w:val="17"/>
          <w:szCs w:val="17"/>
          <w:color w:val="auto"/>
        </w:rPr>
        <w:t>Amortization of intangibles from acquisitions decreased by $0.2</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to $9.5 million from $9.7 million for the nine months ended September 30, 2023 and 2022, respectively.</w:t>
      </w:r>
    </w:p>
    <w:p>
      <w:pPr>
        <w:spacing w:after="0" w:line="180" w:lineRule="exact"/>
        <w:rPr>
          <w:sz w:val="20"/>
          <w:szCs w:val="20"/>
          <w:color w:val="auto"/>
        </w:rPr>
      </w:pPr>
    </w:p>
    <w:p>
      <w:pPr>
        <w:ind w:left="60" w:right="99" w:firstLine="648"/>
        <w:spacing w:after="0" w:line="282" w:lineRule="auto"/>
        <w:rPr>
          <w:sz w:val="20"/>
          <w:szCs w:val="20"/>
          <w:color w:val="auto"/>
        </w:rPr>
      </w:pPr>
      <w:r>
        <w:rPr>
          <w:rFonts w:ascii="Arial" w:cs="Arial" w:eastAsia="Arial" w:hAnsi="Arial"/>
          <w:sz w:val="18"/>
          <w:szCs w:val="18"/>
          <w:b w:val="1"/>
          <w:bCs w:val="1"/>
          <w:color w:val="auto"/>
        </w:rPr>
        <w:t>Loss on disposition of long-lived assets</w:t>
      </w:r>
      <w:r>
        <w:rPr>
          <w:rFonts w:ascii="Arial" w:cs="Arial" w:eastAsia="Arial" w:hAnsi="Arial"/>
          <w:sz w:val="18"/>
          <w:szCs w:val="18"/>
          <w:color w:val="auto"/>
        </w:rPr>
        <w:t>. During the nine months ended September 30, 2023, we recorded a loss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disposition of long-lived assets of $0.4 million within our US Telecom segment.</w:t>
      </w:r>
    </w:p>
    <w:p>
      <w:pPr>
        <w:spacing w:after="0" w:line="206"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During the nine months ended September 30, 2022, we recorded a loss on the disposition of long-lived assets of $3.9 million. Of this amount, $2.1 million was incurred in our US Telecom segment relating to the disposal of certain assets while $1.0 million was incurred in our International Telecom segment as a result of the modification of agreements for the use of other certain assets while the remaining amount pertains to the final settlement of the Vibrant Transaction within our Renewable Energy segment.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Interest income. </w:t>
      </w:r>
      <w:r>
        <w:rPr>
          <w:rFonts w:ascii="Arial" w:cs="Arial" w:eastAsia="Arial" w:hAnsi="Arial"/>
          <w:sz w:val="16"/>
          <w:szCs w:val="16"/>
          <w:color w:val="auto"/>
        </w:rPr>
        <w:t>Interest income was a nominal amount for both the nine months ended September 30, 2023 and</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w:t>
      </w:r>
    </w:p>
    <w:p>
      <w:pPr>
        <w:spacing w:after="0" w:line="247" w:lineRule="exact"/>
        <w:rPr>
          <w:sz w:val="20"/>
          <w:szCs w:val="20"/>
          <w:color w:val="auto"/>
        </w:rPr>
      </w:pPr>
    </w:p>
    <w:p>
      <w:pPr>
        <w:ind w:left="60" w:right="299" w:firstLine="648"/>
        <w:spacing w:after="0" w:line="261"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increased to $30.7 million from $13.1 million for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2023 and 2022, respectively, as additional interest expense was incurred as a result an increase in borrowings under our credit facilities, the inclusion of Sacred Wind Term Debt and the GTT Credit Facilities in 2023, as well as an increase in interest rates on all floating-rate borrowings.</w:t>
      </w:r>
    </w:p>
    <w:p>
      <w:pPr>
        <w:spacing w:after="0" w:line="220" w:lineRule="exact"/>
        <w:rPr>
          <w:sz w:val="20"/>
          <w:szCs w:val="20"/>
          <w:color w:val="auto"/>
        </w:rPr>
      </w:pPr>
    </w:p>
    <w:p>
      <w:pPr>
        <w:ind w:left="60" w:right="619" w:firstLine="648"/>
        <w:spacing w:after="0" w:line="282"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For the nine months ended September 30, 2023, other income was $2.6 million of income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related to gains from our noncontrolling investments.</w:t>
      </w:r>
    </w:p>
    <w:p>
      <w:pPr>
        <w:spacing w:after="0" w:line="193"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For the nine months ended September 30, 2022, other income was $3.4 million of income primarily related to gains from our noncontrolling investments partially offset by increased expense associated with certain employee benefit plans and losses on foreign currency transactions.</w:t>
      </w:r>
    </w:p>
    <w:p>
      <w:pPr>
        <w:spacing w:after="0" w:line="220" w:lineRule="exact"/>
        <w:rPr>
          <w:sz w:val="20"/>
          <w:szCs w:val="20"/>
          <w:color w:val="auto"/>
        </w:rPr>
      </w:pPr>
    </w:p>
    <w:p>
      <w:pPr>
        <w:ind w:left="60" w:right="399" w:firstLine="648"/>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Our effective tax rate for the nine months ended September 30, 2023 and 2022 was 35.8% and</w:t>
      </w:r>
      <w:r>
        <w:rPr>
          <w:rFonts w:ascii="Arial" w:cs="Arial" w:eastAsia="Arial" w:hAnsi="Arial"/>
          <w:sz w:val="18"/>
          <w:szCs w:val="18"/>
          <w:b w:val="1"/>
          <w:bCs w:val="1"/>
          <w:color w:val="auto"/>
        </w:rPr>
        <w:t xml:space="preserve"> </w:t>
      </w:r>
      <w:r>
        <w:rPr>
          <w:rFonts w:ascii="Arial" w:cs="Arial" w:eastAsia="Arial" w:hAnsi="Arial"/>
          <w:sz w:val="18"/>
          <w:szCs w:val="18"/>
          <w:color w:val="auto"/>
        </w:rPr>
        <w:t>21.5%, respectively.</w:t>
      </w:r>
    </w:p>
    <w:p>
      <w:pPr>
        <w:spacing w:after="0" w:line="166"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recorded an income tax benefit of $6.4 million in relation to a pretax loss of $17.8 million for the nine months ended September 30, 2023. The effective tax rate for the nine months ended September 30, 2023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$4.0 million benefit from the reversal of an unrecognized tax position due to a statute of limitations expiration, and a $2.0 million expense for interest on unrecognized tax positions.</w:t>
      </w:r>
    </w:p>
    <w:p>
      <w:pPr>
        <w:spacing w:after="0" w:line="195"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We recorded an income tax benefit of $1.4 million in relation to a pretax loss of $6.4 million for the nine months ended September 30, 2022. The effective tax rate for the nine months ended September 30, 2022 was primarily impacted by the following items (i) the mix of income generated among the jurisdictions in which we operate, (ii) a $2.1 million net expense recognized discretely to record a valuation allowance on certain deferred tax assets that are not expected to be realizable based on the weight of positive and negative evidence and (iii) discrete items including a $3.3 million benefit from the reversal of an unrecognized tax position due to a statute of limitations expiration, and a $1.7 million expense for interest on unrecognized tax positions.</w:t>
      </w:r>
    </w:p>
    <w:p>
      <w:pPr>
        <w:spacing w:after="0" w:line="218"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204" w:lineRule="exact"/>
        <w:rPr>
          <w:sz w:val="20"/>
          <w:szCs w:val="20"/>
          <w:color w:val="auto"/>
        </w:rPr>
      </w:pPr>
    </w:p>
    <w:p>
      <w:pPr>
        <w:ind w:left="60" w:right="139" w:firstLine="648"/>
        <w:spacing w:after="0" w:line="281" w:lineRule="auto"/>
        <w:rPr>
          <w:sz w:val="20"/>
          <w:szCs w:val="20"/>
          <w:color w:val="auto"/>
        </w:rPr>
      </w:pPr>
      <w:r>
        <w:rPr>
          <w:rFonts w:ascii="Arial" w:cs="Arial" w:eastAsia="Arial" w:hAnsi="Arial"/>
          <w:sz w:val="17"/>
          <w:szCs w:val="17"/>
          <w:b w:val="1"/>
          <w:bCs w:val="1"/>
          <w:color w:val="auto"/>
        </w:rPr>
        <w:t xml:space="preserve">Net loss (income) attributable to noncontrolling interests, net of tax. </w:t>
      </w:r>
      <w:r>
        <w:rPr>
          <w:rFonts w:ascii="Arial" w:cs="Arial" w:eastAsia="Arial" w:hAnsi="Arial"/>
          <w:sz w:val="17"/>
          <w:szCs w:val="17"/>
          <w:color w:val="auto"/>
        </w:rPr>
        <w:t>Net loss attributable to noncontrolling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net of tax reflected an allocation of losses of $2.7 million and $0.8 million generated by our less than wholly owned subsidiaries for the nine months ended September 30, 2023 and 2022, respectively. Changes in net loss attributable to noncontrolling interests, net of tax, within our segments, consisted of the following:</w:t>
      </w:r>
    </w:p>
    <w:p>
      <w:pPr>
        <w:spacing w:after="0" w:line="209" w:lineRule="exact"/>
        <w:rPr>
          <w:sz w:val="20"/>
          <w:szCs w:val="20"/>
          <w:color w:val="auto"/>
        </w:rPr>
      </w:pPr>
    </w:p>
    <w:p>
      <w:pPr>
        <w:ind w:left="720" w:right="79" w:hanging="319"/>
        <w:spacing w:after="0" w:line="311"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International Telecom</w:t>
      </w:r>
      <w:r>
        <w:rPr>
          <w:rFonts w:ascii="Arial" w:cs="Arial" w:eastAsia="Arial" w:hAnsi="Arial"/>
          <w:sz w:val="16"/>
          <w:szCs w:val="16"/>
          <w:color w:val="auto"/>
        </w:rPr>
        <w:t>. Within our International Telecom segment, net loss (income) attributable to noncontrolling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net of tax increased by $0.9 million, or 18.8%, to an allocation of $5.7 million of income from an allocation of $4.8 million of income for the nine months ended September 30, 2023 and 2022,</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39"/>
        <w:spacing w:after="0" w:line="277" w:lineRule="auto"/>
        <w:rPr>
          <w:sz w:val="20"/>
          <w:szCs w:val="20"/>
          <w:color w:val="auto"/>
        </w:rPr>
      </w:pPr>
      <w:r>
        <w:rPr>
          <w:rFonts w:ascii="Arial" w:cs="Arial" w:eastAsia="Arial" w:hAnsi="Arial"/>
          <w:sz w:val="18"/>
          <w:szCs w:val="18"/>
          <w:color w:val="auto"/>
        </w:rPr>
        <w:t>respectively, primarily as a result of increased profitability at certain less than wholly owned subsidiaries within this segment.</w:t>
      </w:r>
    </w:p>
    <w:p>
      <w:pPr>
        <w:spacing w:after="0" w:line="170" w:lineRule="exact"/>
        <w:rPr>
          <w:sz w:val="20"/>
          <w:szCs w:val="20"/>
          <w:color w:val="auto"/>
        </w:rPr>
      </w:pPr>
    </w:p>
    <w:p>
      <w:pPr>
        <w:ind w:left="720" w:right="139" w:hanging="319"/>
        <w:spacing w:after="0" w:line="259"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Within our US Telecom segment, net loss attributable to noncontrolling interests, net of tax</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$2.8 million, or 50.0%, to an allocation of losses of $8.4 million from an allocation of losses of $5.6 million for the nine months ended September 30, 2023 and 2022, respectively, as a result of increased losses at our less than wholly owned subsidiaries within this segment.</w:t>
      </w:r>
    </w:p>
    <w:p>
      <w:pPr>
        <w:spacing w:after="0" w:line="183" w:lineRule="exact"/>
        <w:rPr>
          <w:sz w:val="20"/>
          <w:szCs w:val="20"/>
          <w:color w:val="auto"/>
        </w:rPr>
      </w:pPr>
    </w:p>
    <w:p>
      <w:pPr>
        <w:ind w:left="60" w:right="239" w:firstLine="648"/>
        <w:spacing w:after="0" w:line="266" w:lineRule="auto"/>
        <w:rPr>
          <w:sz w:val="20"/>
          <w:szCs w:val="20"/>
          <w:color w:val="auto"/>
        </w:rPr>
      </w:pPr>
      <w:r>
        <w:rPr>
          <w:rFonts w:ascii="Arial" w:cs="Arial" w:eastAsia="Arial" w:hAnsi="Arial"/>
          <w:sz w:val="18"/>
          <w:szCs w:val="18"/>
          <w:b w:val="1"/>
          <w:bCs w:val="1"/>
          <w:color w:val="auto"/>
        </w:rPr>
        <w:t xml:space="preserve">Net loss attributable to ATN International, Inc. stockholders. </w:t>
      </w:r>
      <w:r>
        <w:rPr>
          <w:rFonts w:ascii="Arial" w:cs="Arial" w:eastAsia="Arial" w:hAnsi="Arial"/>
          <w:sz w:val="18"/>
          <w:szCs w:val="18"/>
          <w:color w:val="auto"/>
        </w:rPr>
        <w:t>Net loss attributable to ATN International, Inc.</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was $8.7 million for the nine months ended September 30, 2023 as compared to $4.3 million for the nine months ended September 30, 2022.</w:t>
      </w:r>
    </w:p>
    <w:p>
      <w:pPr>
        <w:spacing w:after="0" w:line="220"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On a per diluted share basis, net loss was a loss of $0.80 per diluted share for the nine months ended September 30, 2023 as compared to a loss of $0.49 per diluted share for the nine months ended September 30, 2022. Such per share amounts were negatively impacted by accrued preferred dividends of $3.6 million and $3.5 million for the nine months ended September 30, 2023 and 2022, respectively.</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Regulatory and Tax Issues</w:t>
      </w:r>
    </w:p>
    <w:p>
      <w:pPr>
        <w:spacing w:after="0" w:line="256"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We are involved in several regulatory and tax proceedings. A material and adverse outcome in one or more of these proceedings could have a material adverse impact on our financial condition and future operations. For a discussion of ongoing proceedings, see Note 14 of the Consolidated Financial Statements in this Report.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70"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Historically, we have met our operational liquidity needs and have funded our capital expenditures and acquisitions through a combination of cash-on-hand, internally generated funds, proceeds from dispositions, borrowings under our credit facilities and seller financings. We believe our current cash, cash equivalents, short term investments and availability under our current credit facilities will be sufficient to meet our cash needs for at least the next twelve months for working capital needs and capital expenditures.</w:t>
      </w:r>
    </w:p>
    <w:p>
      <w:pPr>
        <w:spacing w:after="0" w:line="188"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i w:val="1"/>
          <w:iCs w:val="1"/>
          <w:color w:val="auto"/>
        </w:rPr>
        <w:t>Total liquidity</w:t>
      </w:r>
      <w:r>
        <w:rPr>
          <w:rFonts w:ascii="Arial" w:cs="Arial" w:eastAsia="Arial" w:hAnsi="Arial"/>
          <w:sz w:val="17"/>
          <w:szCs w:val="17"/>
          <w:color w:val="auto"/>
        </w:rPr>
        <w:t>. As of September 30, 2023, we had approximately $73.1 million in cash, cash equivalents,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cash as well as $146.9 million available under our 2023 CoBank Revolving Loan. Of the $73.1 million in cash, cash equivalents and restricted cash, $32.4 million was held by our foreign subsidiaries and is indefinitely invested outside the United States. In addition, we had approximately $498.4 million of debt, net of unamortized deferred financing costs, as of September 30, 2023. How and when we deploy our balance sheet capacity will figure prominently in our longer-term growth prospects and stockholder returns.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Uses of Cash</w:t>
      </w:r>
    </w:p>
    <w:p>
      <w:pPr>
        <w:spacing w:after="0" w:line="252"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i w:val="1"/>
          <w:iCs w:val="1"/>
          <w:color w:val="auto"/>
        </w:rPr>
        <w:t xml:space="preserve">Acquisitions and investments. </w:t>
      </w:r>
      <w:r>
        <w:rPr>
          <w:rFonts w:ascii="Arial" w:cs="Arial" w:eastAsia="Arial" w:hAnsi="Arial"/>
          <w:sz w:val="18"/>
          <w:szCs w:val="18"/>
          <w:color w:val="auto"/>
        </w:rPr>
        <w:t>We have historically funded our acquisitions with a combination of cash-on-hand,</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under our credit facilities as well as equity investor and seller financings.</w:t>
      </w:r>
    </w:p>
    <w:p>
      <w:pPr>
        <w:spacing w:after="0" w:line="211"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i w:val="1"/>
          <w:iCs w:val="1"/>
          <w:color w:val="auto"/>
        </w:rPr>
        <w:t xml:space="preserve">Sacred Wind Transaction. </w:t>
      </w:r>
      <w:r>
        <w:rPr>
          <w:rFonts w:ascii="Arial" w:cs="Arial" w:eastAsia="Arial" w:hAnsi="Arial"/>
          <w:sz w:val="18"/>
          <w:szCs w:val="18"/>
          <w:color w:val="auto"/>
        </w:rPr>
        <w:t>On November 7, 2022, we assumed $31.6 million of debt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Sacred Wind Transaction. See </w:t>
      </w:r>
      <w:r>
        <w:rPr>
          <w:rFonts w:ascii="Arial" w:cs="Arial" w:eastAsia="Arial" w:hAnsi="Arial"/>
          <w:sz w:val="18"/>
          <w:szCs w:val="18"/>
          <w:i w:val="1"/>
          <w:iCs w:val="1"/>
          <w:color w:val="auto"/>
        </w:rPr>
        <w:t>Acquisition of Sacred Wind Enterprises.</w:t>
      </w:r>
    </w:p>
    <w:p>
      <w:pPr>
        <w:spacing w:after="0" w:line="211"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We continue to explore opportunities to expand our telecommunications business or acquire new businesses in the United States,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Cash used in investing activities. </w:t>
      </w:r>
      <w:r>
        <w:rPr>
          <w:rFonts w:ascii="Arial" w:cs="Arial" w:eastAsia="Arial" w:hAnsi="Arial"/>
          <w:sz w:val="17"/>
          <w:szCs w:val="17"/>
          <w:color w:val="auto"/>
        </w:rPr>
        <w:t>Cash used in investing activities was $124.6 million and $94.6 million for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nine months ended September 30, 2023 and 2022, respectively. The net increase in cash used for investing activities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$30.0 million was primarily the result of an increase in capital expenditures of $26.9 million, which includes an increase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reimbursable capital expenditures under certain government programs of $10.2 million. Partially offsetting these cash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usages was an increase of $13.4 million in government grants received for capital projects. In addition, cash used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investing activities for the nine months ended September 30, 2022 includes $15.7 million in proceeds from the sale of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strategic investment.</w:t>
      </w:r>
    </w:p>
    <w:p>
      <w:pPr>
        <w:spacing w:after="0" w:line="251"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i w:val="1"/>
          <w:iCs w:val="1"/>
          <w:color w:val="auto"/>
        </w:rPr>
        <w:t xml:space="preserve">Cash provided by financing activities. </w:t>
      </w:r>
      <w:r>
        <w:rPr>
          <w:rFonts w:ascii="Arial" w:cs="Arial" w:eastAsia="Arial" w:hAnsi="Arial"/>
          <w:sz w:val="16"/>
          <w:szCs w:val="16"/>
          <w:color w:val="auto"/>
        </w:rPr>
        <w:t>Cash provided by financing activities increased by $35.7 million to $48.5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$12.8 million for the three months ended September 30, 2023 and 2022, respectively. This increase was primarily related to an increase in borrowings, net of repayments, under our credit facilities of $56.3 million and a $3.8 million reduction in cash used to repurchase non-controlling interests in certain less than wholly-owned subsidiaries. These increases in cash provided by financing activities were partially offset by an increase in share repurchases of $10.7 million, a reduction in borrowings, net of repayments, under our customer receivable credit facility of $9.4 million, cash paid for debt issuance costs of $3.7 million and a $1.9 million increase in dividends paid on our common stock.</w:t>
      </w:r>
    </w:p>
    <w:p>
      <w:pPr>
        <w:spacing w:after="0" w:line="207"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Historically, we have internally funded our working capital needs. Pursuant to the FirstNet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AT&amp;T has the option to repay construction costs, with interest, over an eight-year period. To fund the working capital needs created by AT&amp;T’s option to extend its payment terms, we completed the Receivables Credit Facility, as discussed below, on March 26, 2020.</w:t>
      </w:r>
    </w:p>
    <w:p>
      <w:pPr>
        <w:spacing w:after="0" w:line="214"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Historically, a significant use of our cash has been for capital expenditures to expand and</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our telecommunications networks and business support systems.</w:t>
      </w:r>
    </w:p>
    <w:p>
      <w:pPr>
        <w:spacing w:after="0" w:line="211"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For the nine months ended September 30, 2023 and 2022, we spent approximately $140.9 million and $114.0 million, respectively, on capital expenditures relating to our telecommunications networks and business support systems of which $14.3 million and $4.0 million, respectively, are reimbursable under various government programs. The following notes our capital expenditures, by operating segment, for these periods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Capital Expenditures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International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81"/>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31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Telecom</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Telecom</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Other (1)</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140,901</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53,270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8"/>
                <w:szCs w:val="18"/>
                <w:color w:val="auto"/>
              </w:rPr>
              <w:t>633</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113,959</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  Corporate and other items refer to corporate overhead costs and consolidating adjustments.</w:t>
      </w:r>
    </w:p>
    <w:p>
      <w:pPr>
        <w:spacing w:after="0" w:line="252"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7"/>
          <w:szCs w:val="17"/>
          <w:color w:val="auto"/>
        </w:rPr>
        <w:t>We are continuing to invest in our telecommunication networks along with our operating and business support systems in many of our markets. For the year ended December 31, 2023, such investments are expected to total approximately $160 million to $170 million, net of reimbursable amounts, and will primarily relate to network expansion and upgrades which are expected to further drive subscriber and revenue growth in future periods.</w:t>
      </w:r>
    </w:p>
    <w:p>
      <w:pPr>
        <w:spacing w:after="0" w:line="212"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have historically used cash-on-hand to make payments for income taxes. Our policy is to</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 capital where we believe we will get the best returns and to date has been to indefinitely reinvest the undistributed earnings of our foreign subsidiaries. As we continue to reinvest our remaining foreign earnings, no additional provision for income taxes has been made on the accumulated earnings of foreign subsidiaries.</w:t>
      </w:r>
    </w:p>
    <w:p>
      <w:pPr>
        <w:spacing w:after="0" w:line="212" w:lineRule="exact"/>
        <w:rPr>
          <w:sz w:val="20"/>
          <w:szCs w:val="20"/>
          <w:color w:val="auto"/>
        </w:rPr>
      </w:pPr>
    </w:p>
    <w:p>
      <w:pPr>
        <w:jc w:val="both"/>
        <w:ind w:left="60" w:right="499" w:firstLine="648"/>
        <w:spacing w:after="0" w:line="286"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For the nine months ended September 30, 2023, our Board of Directors declared $9.9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to our stockholders which includes a $0.21 per share dividend declared on September 14, 2023 and paid on October 6, 2023. We have declared quarterly dividends since the fourth quarter of 1998.</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i w:val="1"/>
          <w:iCs w:val="1"/>
          <w:color w:val="auto"/>
        </w:rPr>
        <w:t xml:space="preserve">Stock Repurchase Plan. </w:t>
      </w:r>
      <w:r>
        <w:rPr>
          <w:rFonts w:ascii="Arial" w:cs="Arial" w:eastAsia="Arial" w:hAnsi="Arial"/>
          <w:sz w:val="17"/>
          <w:szCs w:val="17"/>
          <w:color w:val="auto"/>
        </w:rPr>
        <w:t>On September 19, 2016, our Board of Directors authorized the repurchase of up to $50.0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our common stock from time to time on the open market or in privately negotiated transactions (the “2016 Repurchase Plan”). We repurchased $11.7 million and $0.9 million of our common stock under the 2016 Repurchase Plan during the nine months ended September 30, 2023 and 2022, respectively. As of September 30, 2023, we had $7.8 million authorized and available for share repurchases under the 2016 Repurchase Plan.</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Cash</w:t>
      </w:r>
    </w:p>
    <w:p>
      <w:pPr>
        <w:spacing w:after="0" w:line="266"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i w:val="1"/>
          <w:iCs w:val="1"/>
          <w:color w:val="auto"/>
        </w:rPr>
        <w:t xml:space="preserve">Cash provided by operations. </w:t>
      </w:r>
      <w:r>
        <w:rPr>
          <w:rFonts w:ascii="Arial" w:cs="Arial" w:eastAsia="Arial" w:hAnsi="Arial"/>
          <w:sz w:val="16"/>
          <w:szCs w:val="16"/>
          <w:color w:val="auto"/>
        </w:rPr>
        <w:t>Cash provided by operating activities was $89.5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2023 as compared to $79.0 million for the nine months ended September 30, 2022. The increase of $10.5 million was primarily related to an increase in cash provided by operating assets and liabilities, primarily prepayments of expenses and other current assets of $16.8 million partially offset by a decrease in net income of $6.4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2023 CoBank Credit Facility</w:t>
      </w:r>
    </w:p>
    <w:p>
      <w:pPr>
        <w:spacing w:after="0" w:line="266"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On July 13, 2023, we, along with certain of our subsidiaries as guarantors, entered into a new Credit Agreement with CoBank, ACB and a syndicate of other lenders (as may be amended from time to time, the “2023 CoBank Credit Facility”).</w:t>
      </w:r>
    </w:p>
    <w:p>
      <w:pPr>
        <w:spacing w:after="0" w:line="224"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Credit Facility for letters of credit, and (ii) up to $20 million under a swingline sub-facility. Upon the closing of the 2023 CoBank Credit Facility, we drew all of the 2023 CoBank Term Loan and approximately $13.6 million of the 2023 CoBank Revolving Loan. These borrowings were used to repay $139.5 million of debt outstanding under the 2019 CoBank Credit Facility at close.</w:t>
      </w:r>
    </w:p>
    <w:p>
      <w:pPr>
        <w:spacing w:after="0" w:line="20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2023 CoBank Term Loan must be repaid in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2023 CoBank Term Loan Quarterly Payment Dates 2023 CoBank Term Loan Quarterly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-113030</wp:posOffset>
            </wp:positionV>
            <wp:extent cx="5014595" cy="6254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14595" cy="625475"/>
                    </a:xfrm>
                    <a:prstGeom prst="rect">
                      <a:avLst/>
                    </a:prstGeom>
                    <a:noFill/>
                  </pic:spPr>
                </pic:pic>
              </a:graphicData>
            </a:graphic>
          </wp:anchor>
        </w:drawing>
      </w:r>
    </w:p>
    <w:p>
      <w:pPr>
        <w:spacing w:after="0" w:line="43"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41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December 31, 2023 – June 30, 2025</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$812,500 (2.5% per annum)</w:t>
            </w:r>
          </w:p>
        </w:tc>
      </w:tr>
      <w:tr>
        <w:trPr>
          <w:trHeight w:val="223"/>
        </w:trPr>
        <w:tc>
          <w:tcPr>
            <w:tcW w:w="41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September 30, 2025 – June 30, 2026</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$1,625,000 (5% per annum)</w:t>
            </w:r>
          </w:p>
        </w:tc>
      </w:tr>
      <w:tr>
        <w:trPr>
          <w:trHeight w:val="230"/>
        </w:trPr>
        <w:tc>
          <w:tcPr>
            <w:tcW w:w="4120" w:type="dxa"/>
            <w:vAlign w:val="bottom"/>
          </w:tcPr>
          <w:p>
            <w:pPr>
              <w:ind w:left="680"/>
              <w:spacing w:after="0"/>
              <w:rPr>
                <w:sz w:val="20"/>
                <w:szCs w:val="20"/>
                <w:color w:val="auto"/>
              </w:rPr>
            </w:pPr>
            <w:r>
              <w:rPr>
                <w:rFonts w:ascii="Arial" w:cs="Arial" w:eastAsia="Arial" w:hAnsi="Arial"/>
                <w:sz w:val="18"/>
                <w:szCs w:val="18"/>
                <w:color w:val="auto"/>
              </w:rPr>
              <w:t>September 30, 2026 – June 30, 2029</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$2,437,500 (7.5% per annum)</w:t>
            </w:r>
          </w:p>
        </w:tc>
      </w:tr>
    </w:tbl>
    <w:p>
      <w:pPr>
        <w:spacing w:after="0" w:line="25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Amounts borrowed under the 2023 CoBank Credit Facility bear interest at a rate equal to, at our option, either (i) the secured overnight financing rate as administered by the Federal Reserve Bank of New York (SOFR) 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our indebtedness to EBITDA. Under the terms of the 2023 CoBank Credit Agreement, the Company must also pay a fee ranging from 0.25% to 0.50% on the average daily unused portion of the 2023 CoBank Credit Facility over each calendar quarter.</w:t>
      </w:r>
    </w:p>
    <w:p>
      <w:pPr>
        <w:spacing w:after="0" w:line="222"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The 2023 CoBank Credit Agreement contains a financial covenant (as further defined in the 2023 CoBank Credit Agreement) that imposes a maximum ratio of indebtedness to EBITDA, as well as customary representations,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warranties and covenants, including covenants limiting additional indebtedness, liens, guaranties, mergers and consolidations, substantial asset sales, investments and loans, sale and leasebacks, transactions with affiliates and fundamental changes. The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33"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We capitalized $4.0 million of fees associated with the 2023 CoBank Credit Facility which are being amortized over the life of the debt and $3.8 million were unamortized as of September 30, 2023.</w:t>
      </w:r>
    </w:p>
    <w:p>
      <w:pPr>
        <w:spacing w:after="0" w:line="211"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We had $130.0 million outstanding under the 2023 CoBank Term Loan as of September 30, 2023. Under the 2023 CoBank Revolving Loan, we had $23.1 million outstanding and $146.9 million of availability as of September 30, 2023. There were no outstanding interest rate hedge agreements under the 2023 CoBank Credit Facility as of September 30, 2023 and we were in compliance with all financial covenants as of that date.</w:t>
      </w:r>
    </w:p>
    <w:p>
      <w:pPr>
        <w:spacing w:after="0" w:line="214"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In October 2023, we entered a two year, forward starting 1-month floating to fixed SOFR interest rate swap agreement. The swap becomes effective on November 13, 2023 in a notional amount of $50.0 million, has a fixed SOFR rate of 4.896% and matures on November 13, 2025.</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2019 CoBank Credit Facility</w:t>
      </w:r>
    </w:p>
    <w:p>
      <w:pPr>
        <w:spacing w:after="0" w:line="266"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On April 10, 2019, we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below, outstanding borrowings under the 2019 CoBank Credit Facility were repaid in full.</w:t>
      </w:r>
    </w:p>
    <w:p>
      <w:pPr>
        <w:spacing w:after="0" w:line="21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Amounts borrowed under the 2019 CoBank Credit Facility bore interest at a rate equal to, at our option, either (i) the London Interbank Offered Rate (“LIBOR”) plus an applicable margin ranging between 1.25% to 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we also paid a commitment fee ranging from 0.150% to 0.375% of the average daily unused portion of the 2019 CoBank Credit Facility over each calendar quarter.</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 of Credit Facility</w:t>
      </w:r>
    </w:p>
    <w:p>
      <w:pPr>
        <w:spacing w:after="0" w:line="266"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On November 14, 2022, we entered into a General Agreement of Indemnity to issue performance Standby Letters of Credit on behalf of us and our subsidiaries. As of September 30, 2023, $31.6 million of Standby Letters of Credit had been issued under this agreement.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Alaska Credit Facility</w:t>
      </w:r>
    </w:p>
    <w:p>
      <w:pPr>
        <w:spacing w:after="0" w:line="266"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On December 23, 2022, Alaska Communications entered into a First Amendment Agreement (the “ACS Amendment’). The ACS Amendment amends the Alaska Credit Facility to increase its Revolving Credit Commitment from $35.0 million to $75.0 million and Term Loan Commitment from $210.0 million to $230.0 million. As a part of the transaction, the Term Loan commitment was fully funded as the outstanding Revolving Credit Commitment balance was transferred.</w:t>
      </w:r>
    </w:p>
    <w:p>
      <w:pPr>
        <w:spacing w:after="0" w:line="228"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As of September 30, 2023, Alaska Communications had drawn $25.0 million on its Revolving Credit Commitment and had $50.0 million available to draw. The Term Loan balance was $230.0 million and principal payments commence in the fourth quarter of 2023. Both facilities mature on July 22, 2026.</w:t>
      </w:r>
    </w:p>
    <w:p>
      <w:pPr>
        <w:spacing w:after="0" w:line="224" w:lineRule="exact"/>
        <w:rPr>
          <w:sz w:val="20"/>
          <w:szCs w:val="20"/>
          <w:color w:val="auto"/>
        </w:rPr>
      </w:pPr>
    </w:p>
    <w:p>
      <w:pPr>
        <w:jc w:val="both"/>
        <w:ind w:left="60" w:right="399" w:firstLine="648"/>
        <w:spacing w:after="0" w:line="263" w:lineRule="auto"/>
        <w:rPr>
          <w:sz w:val="20"/>
          <w:szCs w:val="20"/>
          <w:color w:val="auto"/>
        </w:rPr>
      </w:pPr>
      <w:r>
        <w:rPr>
          <w:rFonts w:ascii="Arial" w:cs="Arial" w:eastAsia="Arial" w:hAnsi="Arial"/>
          <w:sz w:val="18"/>
          <w:szCs w:val="18"/>
          <w:color w:val="auto"/>
        </w:rPr>
        <w:t>In addition to the above changes, the ACS Amendment replaced the calculation of interest from an applicable margin applied to LIBOR with the same applicable margin applied to the Secured Overnight Financing Rate (“SOFR”) plus a 10-basis point adjustment.</w:t>
      </w:r>
    </w:p>
    <w:p>
      <w:pPr>
        <w:spacing w:after="0" w:line="211"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We capitalized $7.3 million of fees associated with the Alaska Credit Facility which are being amortized over the life of the debt and $4.2 million were unamortized as of September 30, 2023.</w:t>
      </w:r>
    </w:p>
    <w:p>
      <w:pPr>
        <w:spacing w:after="0" w:line="211" w:lineRule="exact"/>
        <w:rPr>
          <w:sz w:val="20"/>
          <w:szCs w:val="20"/>
          <w:color w:val="auto"/>
        </w:rPr>
      </w:pPr>
    </w:p>
    <w:p>
      <w:pPr>
        <w:jc w:val="both"/>
        <w:ind w:left="60" w:right="479" w:firstLine="648"/>
        <w:spacing w:after="0" w:line="263" w:lineRule="auto"/>
        <w:rPr>
          <w:sz w:val="20"/>
          <w:szCs w:val="20"/>
          <w:color w:val="auto"/>
        </w:rPr>
      </w:pPr>
      <w:r>
        <w:rPr>
          <w:rFonts w:ascii="Arial" w:cs="Arial" w:eastAsia="Arial" w:hAnsi="Arial"/>
          <w:sz w:val="18"/>
          <w:szCs w:val="18"/>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terms and conditions of the Alaska Credit Facility include the following:</w:t>
      </w:r>
    </w:p>
    <w:p>
      <w:pPr>
        <w:spacing w:after="0" w:line="252" w:lineRule="exact"/>
        <w:rPr>
          <w:sz w:val="20"/>
          <w:szCs w:val="20"/>
          <w:color w:val="auto"/>
        </w:rPr>
      </w:pPr>
    </w:p>
    <w:p>
      <w:pPr>
        <w:ind w:left="1040" w:right="119" w:hanging="315"/>
        <w:spacing w:after="0" w:line="25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outstanding bear an interest rate of the forward-looking SOFR rate with a one-month interest period, plus the SOFR Spread Adjustment of 10 basis points, plus a margin ranging from 3.00% to 4.00% based on Alaska Communications’ Consolidated Total Net Leverage Ratio (as defined in the Credit Agreement) or an alternate base rate may be selected at a margin that is 1% lower than the counterpart SOFR margin;</w:t>
      </w:r>
    </w:p>
    <w:p>
      <w:pPr>
        <w:spacing w:after="0" w:line="187" w:lineRule="exact"/>
        <w:rPr>
          <w:rFonts w:ascii="Arial" w:cs="Arial" w:eastAsia="Arial" w:hAnsi="Arial"/>
          <w:sz w:val="18"/>
          <w:szCs w:val="18"/>
          <w:color w:val="auto"/>
        </w:rPr>
      </w:pPr>
    </w:p>
    <w:p>
      <w:pPr>
        <w:ind w:left="1040" w:right="199" w:hanging="315"/>
        <w:spacing w:after="0" w:line="259"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Principal repayments are due quarterly commencing in the fourth quarter of 2023 in quarterly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86" w:lineRule="exact"/>
        <w:rPr>
          <w:rFonts w:ascii="Arial" w:cs="Arial" w:eastAsia="Arial" w:hAnsi="Arial"/>
          <w:sz w:val="18"/>
          <w:szCs w:val="18"/>
          <w:color w:val="auto"/>
        </w:rPr>
      </w:pPr>
    </w:p>
    <w:p>
      <w:pPr>
        <w:ind w:left="1040" w:right="259" w:hanging="315"/>
        <w:spacing w:after="0" w:line="259"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86"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Alaska Credit Facility is non-recourse to us and is secured by substantially all of the personal property and certain material real property owned by Alaska Communications.</w:t>
      </w:r>
    </w:p>
    <w:p>
      <w:pPr>
        <w:spacing w:after="0" w:line="211"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Alaska Communication’s interest rate swap, which had been designated as a cash flow hedge with an interest rate of 1.6735%, expired on June 30, 2022. As of September 30, 2023, there are no outstanding interest rate hedge agreements associated with the Alaska Credit Facility. In November 2023, Alaska Communications entered two forward starting 1-month floating to fixed SOFR interest rate swap agreements. The total notional amount of the agreements is $200.0 million, with fixed SOFR rates of 4.8695% and 4.8980% and both agreements mature on November 7, 2025.</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Alaska Term Facility</w:t>
      </w:r>
    </w:p>
    <w:p>
      <w:pPr>
        <w:spacing w:after="0" w:line="266"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On June 15, 2022, Alaska Communications Systems Holdings, the parent company of Alaska Communications, entered into a secured lending arrangement with Bristol Bay Industrial, LLC (the “Alaska Term Facility”).</w:t>
      </w:r>
    </w:p>
    <w:p>
      <w:pPr>
        <w:spacing w:after="0" w:line="16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and is payable commencing on March 31, 2023. Scheduled quarterly payments of principal commenced on March 31, 2023. The Alaska Term Facility matures on June 30, 2024.</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Alaska Term Facility contains events of default customary for facilities of this type.</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2023, we had $6.4 million outstanding and no available borrowings under the Alaska Term</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Facility.</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FirstNet Receivables Credit Facility</w:t>
      </w:r>
    </w:p>
    <w:p>
      <w:pPr>
        <w:spacing w:after="0" w:line="252" w:lineRule="exact"/>
        <w:rPr>
          <w:sz w:val="20"/>
          <w:szCs w:val="20"/>
          <w:color w:val="auto"/>
        </w:rPr>
      </w:pPr>
    </w:p>
    <w:p>
      <w:pPr>
        <w:ind w:left="60" w:right="779" w:firstLine="648"/>
        <w:spacing w:after="0" w:line="342" w:lineRule="auto"/>
        <w:rPr>
          <w:sz w:val="20"/>
          <w:szCs w:val="20"/>
          <w:color w:val="auto"/>
        </w:rPr>
      </w:pPr>
      <w:r>
        <w:rPr>
          <w:rFonts w:ascii="Arial" w:cs="Arial" w:eastAsia="Arial" w:hAnsi="Arial"/>
          <w:sz w:val="16"/>
          <w:szCs w:val="16"/>
          <w:color w:val="auto"/>
        </w:rPr>
        <w:t>On March 26, 2020, Commnet Finance, a wholly owned subsidiary of Commnet Wireless, entered into a receivables credit facility with us, Commnet Wireless, and CoBank, ACB (the “Receivables Credit Facility”).</w:t>
      </w:r>
    </w:p>
    <w:p>
      <w:pPr>
        <w:spacing w:after="0" w:line="164"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22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On December 23, 2022, CoBank amended the Receivables Credit Facility and extended the delayed draw period to December 31, 2023.</w:t>
      </w:r>
    </w:p>
    <w:p>
      <w:pPr>
        <w:spacing w:after="0" w:line="197"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maturity date for each loan will be set by CoBank and will match the weighted average maturity of the certain receivables financed.</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on the loans accrues at a fixed annual interest rate to be quoted by CoBank.</w:t>
      </w:r>
    </w:p>
    <w:p>
      <w:pPr>
        <w:spacing w:after="0" w:line="266"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197"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As of September 30, 2023, we had $45.3 million outstanding, of which $6.7 million was current, and $18.0 million of availability under the Receivables Credit Facility. We capitalized $0.8 million in fees associated with the Receivables Credit Facility which are being amortized over the life of the debt and $0.5 million were unamortized as of September 30, 2023.</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GTT Credit Facilities</w:t>
      </w:r>
    </w:p>
    <w:p>
      <w:pPr>
        <w:spacing w:after="0" w:line="266" w:lineRule="exact"/>
        <w:rPr>
          <w:sz w:val="20"/>
          <w:szCs w:val="20"/>
          <w:color w:val="auto"/>
        </w:rPr>
      </w:pPr>
    </w:p>
    <w:p>
      <w:pPr>
        <w:jc w:val="both"/>
        <w:ind w:left="60" w:right="499" w:firstLine="648"/>
        <w:spacing w:after="0" w:line="263" w:lineRule="auto"/>
        <w:rPr>
          <w:sz w:val="20"/>
          <w:szCs w:val="20"/>
          <w:color w:val="auto"/>
        </w:rPr>
      </w:pPr>
      <w:r>
        <w:rPr>
          <w:rFonts w:ascii="Arial" w:cs="Arial" w:eastAsia="Arial" w:hAnsi="Arial"/>
          <w:sz w:val="18"/>
          <w:szCs w:val="18"/>
          <w:color w:val="auto"/>
        </w:rPr>
        <w:t>On October 12, 2022, GTT received approval from Republic Bank (Guyana) Limited for a $2.9 million term facility and a $5.7 million overdraft facility (the “GTT Credit Facilities”) subject to the approval from the Minister of Finance at the Bank of Guyana that was received on March 31, 2023.</w:t>
      </w:r>
    </w:p>
    <w:p>
      <w:pPr>
        <w:spacing w:after="0" w:line="211"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The GTT Credit Facilities are secured by real estate assets and carry a fixed interest rate of 7.5% which will be reviewed by the bank from time to time and subject to change at the bank’s discretion. The term facility is repayable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over five years in equal monthly installments of principal and interest, commencing one month after funds are advanced.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overdraft facility will expire on October 31, 2024.</w:t>
      </w:r>
    </w:p>
    <w:p>
      <w:pPr>
        <w:spacing w:after="0" w:line="251"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As of September 30, 2023, $3.5 million was outstanding under the overdraft facility and there were no outstanding amounts under the term facility.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Sacred Wind Term Debt</w:t>
      </w:r>
    </w:p>
    <w:p>
      <w:pPr>
        <w:spacing w:after="0" w:line="25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In connection with the Sacred Wind acquisition completed on November 7, 2022, we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228"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224"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September 30, 2023, we were in compliance with that corrective action plan.</w:t>
      </w:r>
    </w:p>
    <w:p>
      <w:pPr>
        <w:spacing w:after="0" w:line="219"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As of September 30, 2023, $29.0 million was outstanding under the Sacred Wind Term Debt. Of that amount, $3.2 million was current and $25.8 million was long term.</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mortgage notes carry fixed interest rates ranging from 0.88% to 5.0%</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Viya Debt</w:t>
      </w:r>
    </w:p>
    <w:p>
      <w:pPr>
        <w:spacing w:after="0" w:line="25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We,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our Viya subsidiaries and is guaranteed by us.</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paid a fee of $0.9 million in 2016 to lock the interest rate at 4% per annum over the term of the Viya Debt.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fee was recorded as a reduction to the Viya Debt carrying amount and is being amortized over the life of the loan.</w:t>
      </w:r>
    </w:p>
    <w:p>
      <w:pPr>
        <w:spacing w:after="0" w:line="263"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As of September 30, 2023, $60.0 million of the Viya Debt remained outstanding and $0.3 million of the rate lock fee was unamortized.</w:t>
      </w:r>
    </w:p>
    <w:p>
      <w:pPr>
        <w:spacing w:after="0" w:line="197"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On May 5, 2022, RTFC agreed to amend the Net Leverage Ratio to 7.0 to 1.0 through the maturity date of July 1, 2026. The Ratio is tested annually, and we were in compliance with the Net Leverage Ratio as of December 31, 2022.</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One Communications Debt</w:t>
      </w:r>
    </w:p>
    <w:p>
      <w:pPr>
        <w:spacing w:after="0" w:line="266" w:lineRule="exact"/>
        <w:rPr>
          <w:sz w:val="20"/>
          <w:szCs w:val="20"/>
          <w:color w:val="auto"/>
        </w:rPr>
      </w:pPr>
    </w:p>
    <w:p>
      <w:pPr>
        <w:ind w:left="60" w:right="519" w:firstLine="648"/>
        <w:spacing w:after="0" w:line="263" w:lineRule="auto"/>
        <w:rPr>
          <w:sz w:val="20"/>
          <w:szCs w:val="20"/>
          <w:color w:val="auto"/>
        </w:rPr>
      </w:pPr>
      <w:r>
        <w:rPr>
          <w:rFonts w:ascii="Arial" w:cs="Arial" w:eastAsia="Arial" w:hAnsi="Arial"/>
          <w:sz w:val="18"/>
          <w:szCs w:val="18"/>
          <w:color w:val="auto"/>
        </w:rPr>
        <w:t>We had an outstanding loan from HSBC Bank Bermuda Limited (the “One Communications Debt”) which matured and was repaid in full on December 22, 2022. This loan bore interest at the one-month LIBOR plus a margin ranging between 2.5% to 2.75% per annum paid quarterly.</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summarizes the annual maturities of all of our debt facilities:</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Customer</w:t>
            </w:r>
          </w:p>
        </w:tc>
      </w:tr>
      <w:tr>
        <w:trPr>
          <w:trHeight w:val="243"/>
        </w:trPr>
        <w:tc>
          <w:tcPr>
            <w:tcW w:w="4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US</w:t>
            </w:r>
          </w:p>
        </w:tc>
        <w:tc>
          <w:tcPr>
            <w:tcW w:w="178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InternationalCorporate and</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Receivable</w:t>
            </w:r>
          </w:p>
        </w:tc>
      </w:tr>
      <w:tr>
        <w:trPr>
          <w:trHeight w:val="228"/>
        </w:trPr>
        <w:tc>
          <w:tcPr>
            <w:tcW w:w="4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1"/>
              </w:rPr>
              <w:t>Telecom</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Telecom</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Other</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Debt</w:t>
            </w: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Credit Facility</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0"/>
              </w:rPr>
              <w:t>2023 (excluding the nine months ended September 30, 2023)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19,786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6,787</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238,469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306,594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7,393</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r>
      <w:tr>
        <w:trPr>
          <w:trHeight w:val="216"/>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14,028</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126,307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2"/>
              </w:rPr>
              <w:t>140,335</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14,794</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290,362</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63,481</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153,120</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506,963</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45,251</w:t>
            </w:r>
          </w:p>
        </w:tc>
      </w:tr>
      <w:tr>
        <w:trPr>
          <w:trHeight w:val="209"/>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Debt Discounts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(8,586)</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Book Value</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285,841</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63,210</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149,326</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498,377</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44,737</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252"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demand for our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competition, regulatory developments, economic conditions in the markets where we operate our businesses and industry trends within the telecommunications industry.</w:t>
      </w:r>
    </w:p>
    <w:p>
      <w:pPr>
        <w:spacing w:after="0" w:line="224" w:lineRule="exact"/>
        <w:rPr>
          <w:sz w:val="20"/>
          <w:szCs w:val="20"/>
          <w:color w:val="auto"/>
        </w:rPr>
      </w:pPr>
    </w:p>
    <w:p>
      <w:pPr>
        <w:ind w:left="60" w:right="739" w:firstLine="648"/>
        <w:spacing w:after="0" w:line="259" w:lineRule="auto"/>
        <w:rPr>
          <w:sz w:val="20"/>
          <w:szCs w:val="20"/>
          <w:color w:val="auto"/>
        </w:rPr>
      </w:pPr>
      <w:r>
        <w:rPr>
          <w:rFonts w:ascii="Arial" w:cs="Arial" w:eastAsia="Arial" w:hAnsi="Arial"/>
          <w:sz w:val="18"/>
          <w:szCs w:val="18"/>
          <w:i w:val="1"/>
          <w:iCs w:val="1"/>
          <w:color w:val="auto"/>
        </w:rPr>
        <w:t xml:space="preserve">Restrictions under Credit Facility. </w:t>
      </w:r>
      <w:r>
        <w:rPr>
          <w:rFonts w:ascii="Arial" w:cs="Arial" w:eastAsia="Arial" w:hAnsi="Arial"/>
          <w:sz w:val="18"/>
          <w:szCs w:val="18"/>
          <w:color w:val="auto"/>
        </w:rPr>
        <w:t>Our 2023 CoBank Credit Facility contains customary representations,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and covenants, including covenants limiting additional indebtedness, liens, guaranties, mergers and consolidations, substantial asset sales, investments and loans, sale and leasebacks, transactions with affiliates and fundamental changes.</w:t>
      </w:r>
    </w:p>
    <w:p>
      <w:pPr>
        <w:spacing w:after="0" w:line="227"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i w:val="1"/>
          <w:iCs w:val="1"/>
          <w:color w:val="auto"/>
        </w:rPr>
        <w:t xml:space="preserve">Capital markets. </w:t>
      </w:r>
      <w:r>
        <w:rPr>
          <w:rFonts w:ascii="Arial" w:cs="Arial" w:eastAsia="Arial" w:hAnsi="Arial"/>
          <w:sz w:val="17"/>
          <w:szCs w:val="17"/>
          <w:color w:val="auto"/>
        </w:rPr>
        <w:t>Our ability to raise funds in the capital markets depends on, among other things,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conditions, the conditions of the telecommunications industry, our financial performance, the state of the capital markets and our compliance with SEC requirements for the offering of securities. On August 9, 2022 we filed a new “universal” shelf registration statement with the SEC, to register potential future offerings of our securities.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66"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the three months ended September 30, 2023 and 2022, we recorded $0.3 million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and $0.2 million, respectively, of losses on foreign currency transactions. During the nine months ended September 30, 2023 and 2022, we recorded $0.9 million and $0.7 million, respectively, of losses on foreign currency transactions. We will continue to assess the impact of our exposure to the Guyana Dollar.</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w:t>
      </w:r>
    </w:p>
    <w:p>
      <w:pPr>
        <w:spacing w:after="0" w:line="266"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 outs on a fixed budget for our carrier customers or by accepting government grants, inflation may result in build costs that exceed our original budget given the ongoing challenges experienced in procuring equipment and material due to global supply chain uncertainties. To the extent that we are unable to pass on these costs through increased prices, revised budget estimates, or offset them in other ways, they may impact our financial condition and cash flows.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139" w:firstLine="551"/>
        <w:spacing w:after="0" w:line="263" w:lineRule="auto"/>
        <w:rPr>
          <w:sz w:val="20"/>
          <w:szCs w:val="20"/>
          <w:color w:val="auto"/>
        </w:rPr>
      </w:pPr>
      <w:r>
        <w:rPr>
          <w:rFonts w:ascii="Arial" w:cs="Arial" w:eastAsia="Arial" w:hAnsi="Arial"/>
          <w:sz w:val="18"/>
          <w:szCs w:val="18"/>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2022.</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0"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i w:val="1"/>
          <w:iCs w:val="1"/>
          <w:color w:val="auto"/>
        </w:rPr>
        <w:t xml:space="preserve">Translation and Remeasurement. </w:t>
      </w:r>
      <w:r>
        <w:rPr>
          <w:rFonts w:ascii="Arial" w:cs="Arial" w:eastAsia="Arial" w:hAnsi="Arial"/>
          <w:sz w:val="16"/>
          <w:szCs w:val="16"/>
          <w:color w:val="auto"/>
        </w:rPr>
        <w:t>We translate the assets and liabilities of our foreign subsidiaries from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pacing w:after="0" w:line="21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Employee Benefit Plans. </w:t>
      </w:r>
      <w:r>
        <w:rPr>
          <w:rFonts w:ascii="Arial" w:cs="Arial" w:eastAsia="Arial" w:hAnsi="Arial"/>
          <w:sz w:val="18"/>
          <w:szCs w:val="18"/>
          <w:color w:val="auto"/>
        </w:rPr>
        <w:t>We sponsor pension and other postretirement benefit plans for employees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Net periodic pension expense is recognized in our 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228"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As of September 30, 2023, we had $281.6 million of variable rate debt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subject to fluctuations in interest rates. Our interest expense may be affected by changes in interest rates. We believe that a 100-basis-point change in the interest rates on our variable rate debt would result in a $2.8 million change in our annual interest expense. We may have additional exposure to fluctuations in interest rates if we again borrow amounts under our revolver loans within our credit facilities.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0"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2023.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of our disclosure controls and procedures as of September 30, 2023, our Chief Executive Officer and Chief Financial Officer concluded that, as of such date, our disclosure controls and procedures were effective at the reasonable assurance level.</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2023 that have materially affected, or are reasonably likely to materially affect, our internal control over financial reporting.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 14 to the Unaudited Condensed Consolidated Financial Statements included in this Report.</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under Part I, Item 1A “Risk Factors” of our 2022 Annual Report on Form 10-K. The risks described herein and in our 2022 Annual Report on Form 10-K, as amended, are not the only risks facing our Company.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Purchases of Equity Securities by the Issuer</w:t>
      </w:r>
    </w:p>
    <w:p>
      <w:pPr>
        <w:spacing w:after="0" w:line="2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September 19, 2016, our Board of Directors authorized the repurchase of up to $50.0 million of our common stock from time to time on the open market or in privately negotiated transactions (the “2016 Repurchase Plan”). We have $7.8 million available to be repurchased under that plan as of September 30, 2023.</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reflects the repurchases by us of our common stock during the quarter ended September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tbl>
      <w:tblPr>
        <w:tblLayout w:type="fixed"/>
        <w:tblInd w:w="40" w:type="dxa"/>
        <w:tblCellMar>
          <w:top w:w="0" w:type="dxa"/>
          <w:left w:w="0" w:type="dxa"/>
          <w:bottom w:w="0" w:type="dxa"/>
          <w:right w:w="0" w:type="dxa"/>
        </w:tblCellMar>
      </w:tblP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 (or</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(b)</w:t>
            </w:r>
          </w:p>
        </w:tc>
        <w:tc>
          <w:tcPr>
            <w:tcW w:w="130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w:t>
            </w:r>
          </w:p>
        </w:tc>
        <w:tc>
          <w:tcPr>
            <w:tcW w:w="76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Total Number</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of Shares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Paid per</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Announced Plans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201"/>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1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42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2023 — July 31, 2023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56,962</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86"/>
              </w:rPr>
              <w:t>$ 35.58</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56,962</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10,596,728</w:t>
            </w:r>
          </w:p>
        </w:tc>
        <w:tc>
          <w:tcPr>
            <w:tcW w:w="0" w:type="dxa"/>
            <w:vAlign w:val="bottom"/>
          </w:tcPr>
          <w:p>
            <w:pPr>
              <w:spacing w:after="0"/>
              <w:rPr>
                <w:sz w:val="1"/>
                <w:szCs w:val="1"/>
                <w:color w:val="auto"/>
              </w:rPr>
            </w:pPr>
          </w:p>
        </w:tc>
      </w:tr>
      <w:tr>
        <w:trPr>
          <w:trHeight w:val="432"/>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August 1, 2023 — August 31, 2023</w:t>
            </w:r>
          </w:p>
        </w:tc>
        <w:tc>
          <w:tcPr>
            <w:tcW w:w="900" w:type="dxa"/>
            <w:vAlign w:val="bottom"/>
          </w:tcPr>
          <w:p>
            <w:pPr>
              <w:jc w:val="right"/>
              <w:spacing w:after="0"/>
              <w:rPr>
                <w:sz w:val="20"/>
                <w:szCs w:val="20"/>
                <w:color w:val="auto"/>
              </w:rPr>
            </w:pPr>
            <w:r>
              <w:rPr>
                <w:rFonts w:ascii="Arial" w:cs="Arial" w:eastAsia="Arial" w:hAnsi="Arial"/>
                <w:sz w:val="18"/>
                <w:szCs w:val="18"/>
                <w:color w:val="auto"/>
              </w:rPr>
              <w:t>9,256</w:t>
            </w:r>
          </w:p>
        </w:tc>
        <w:tc>
          <w:tcPr>
            <w:tcW w:w="14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Arial" w:cs="Arial" w:eastAsia="Arial" w:hAnsi="Arial"/>
                <w:sz w:val="18"/>
                <w:szCs w:val="18"/>
                <w:color w:val="auto"/>
              </w:rPr>
              <w:t>35.98</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8,212</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10,303,756</w:t>
            </w:r>
          </w:p>
        </w:tc>
        <w:tc>
          <w:tcPr>
            <w:tcW w:w="0" w:type="dxa"/>
            <w:vAlign w:val="bottom"/>
          </w:tcPr>
          <w:p>
            <w:pPr>
              <w:spacing w:after="0"/>
              <w:rPr>
                <w:sz w:val="1"/>
                <w:szCs w:val="1"/>
                <w:color w:val="auto"/>
              </w:rPr>
            </w:pPr>
          </w:p>
        </w:tc>
      </w:tr>
      <w:tr>
        <w:trPr>
          <w:trHeight w:val="43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2023 — September 30, 2023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75,705</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33.45</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75,705</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7,771,292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Rule 10b5-1 Trading Arrangements</w:t>
      </w:r>
    </w:p>
    <w:p>
      <w:pPr>
        <w:spacing w:after="0" w:line="26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While the Company does allow for its officers and directors to enter into trading arrangements intended to satisfy the affirmative defense conditions of Rule 10b5-1 with the Company’s prior approval, during the quarter ended September 30, 2023, none of the Company's directors or officers informed the Company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1"/>
              </w:rPr>
              <w:t>10.1</w:t>
            </w:r>
          </w:p>
        </w:tc>
        <w:tc>
          <w:tcPr>
            <w:tcW w:w="7740" w:type="dxa"/>
            <w:vAlign w:val="bottom"/>
            <w:tcBorders>
              <w:bottom w:val="single" w:sz="8" w:color="0000EE"/>
            </w:tcBorders>
            <w:gridSpan w:val="10"/>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Credit Agreement, dated as of July 13, 2023 , among, ATN International, Inc., as Borrower, CoBank, ACB,</w:t>
              </w:r>
            </w:hyperlink>
          </w:p>
        </w:tc>
      </w:tr>
      <w:tr>
        <w:trPr>
          <w:trHeight w:val="196"/>
        </w:trPr>
        <w:tc>
          <w:tcPr>
            <w:tcW w:w="1060" w:type="dxa"/>
            <w:vAlign w:val="bottom"/>
          </w:tcPr>
          <w:p>
            <w:pPr>
              <w:spacing w:after="0"/>
              <w:rPr>
                <w:sz w:val="17"/>
                <w:szCs w:val="17"/>
                <w:color w:val="auto"/>
              </w:rPr>
            </w:pPr>
          </w:p>
        </w:tc>
        <w:tc>
          <w:tcPr>
            <w:tcW w:w="7740" w:type="dxa"/>
            <w:vAlign w:val="bottom"/>
            <w:gridSpan w:val="10"/>
          </w:tcPr>
          <w:p>
            <w:pPr>
              <w:spacing w:after="0" w:line="196" w:lineRule="exact"/>
              <w:rPr>
                <w:rFonts w:ascii="Arial" w:cs="Arial" w:eastAsia="Arial" w:hAnsi="Arial"/>
                <w:sz w:val="18"/>
                <w:szCs w:val="18"/>
                <w:color w:val="0000EE"/>
                <w:w w:val="97"/>
              </w:rPr>
            </w:pPr>
            <w:hyperlink r:id="rId98">
              <w:r>
                <w:rPr>
                  <w:rFonts w:ascii="Arial" w:cs="Arial" w:eastAsia="Arial" w:hAnsi="Arial"/>
                  <w:sz w:val="18"/>
                  <w:szCs w:val="18"/>
                  <w:color w:val="0000EE"/>
                  <w:w w:val="97"/>
                </w:rPr>
                <w:t>as Administrative Agent, Fifth Third Bank, N.A., MUFG Bank, Ltd. and the Guarantors party thereto,</w:t>
              </w:r>
            </w:hyperlink>
          </w:p>
        </w:tc>
      </w:tr>
      <w:tr>
        <w:trPr>
          <w:trHeight w:val="20"/>
        </w:trPr>
        <w:tc>
          <w:tcPr>
            <w:tcW w:w="10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740" w:type="dxa"/>
            <w:vAlign w:val="bottom"/>
            <w:gridSpan w:val="10"/>
          </w:tcPr>
          <w:p>
            <w:pPr>
              <w:spacing w:after="0" w:line="196" w:lineRule="exact"/>
              <w:rPr>
                <w:rFonts w:ascii="Arial" w:cs="Arial" w:eastAsia="Arial" w:hAnsi="Arial"/>
                <w:sz w:val="18"/>
                <w:szCs w:val="18"/>
                <w:color w:val="0000EE"/>
                <w:w w:val="95"/>
              </w:rPr>
            </w:pPr>
            <w:hyperlink r:id="rId98">
              <w:r>
                <w:rPr>
                  <w:rFonts w:ascii="Arial" w:cs="Arial" w:eastAsia="Arial" w:hAnsi="Arial"/>
                  <w:sz w:val="18"/>
                  <w:szCs w:val="18"/>
                  <w:color w:val="0000EE"/>
                  <w:w w:val="95"/>
                </w:rPr>
                <w:t>incorporated by reference to Exhibit 10.1 to the Company’s Current Report on Form 8-K (file No. 001-</w:t>
              </w:r>
            </w:hyperlink>
          </w:p>
        </w:tc>
      </w:tr>
      <w:tr>
        <w:trPr>
          <w:trHeight w:val="196"/>
        </w:trPr>
        <w:tc>
          <w:tcPr>
            <w:tcW w:w="1060" w:type="dxa"/>
            <w:vAlign w:val="bottom"/>
          </w:tcPr>
          <w:p>
            <w:pPr>
              <w:spacing w:after="0"/>
              <w:rPr>
                <w:sz w:val="17"/>
                <w:szCs w:val="17"/>
                <w:color w:val="auto"/>
              </w:rPr>
            </w:pPr>
          </w:p>
        </w:tc>
        <w:tc>
          <w:tcPr>
            <w:tcW w:w="2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12593) filed on July 17, 2023.</w:t>
              </w:r>
            </w:hyperlink>
          </w:p>
        </w:tc>
        <w:tc>
          <w:tcPr>
            <w:tcW w:w="5240" w:type="dxa"/>
            <w:vAlign w:val="bottom"/>
            <w:tcBorders>
              <w:top w:val="single" w:sz="8" w:color="0000EE"/>
            </w:tcBorders>
            <w:gridSpan w:val="7"/>
          </w:tcPr>
          <w:p>
            <w:pPr>
              <w:spacing w:after="0"/>
              <w:rPr>
                <w:sz w:val="17"/>
                <w:szCs w:val="17"/>
                <w:color w:val="auto"/>
              </w:rPr>
            </w:pPr>
          </w:p>
        </w:tc>
        <w:tc>
          <w:tcPr>
            <w:tcW w:w="320" w:type="dxa"/>
            <w:vAlign w:val="bottom"/>
            <w:gridSpan w:val="2"/>
          </w:tcPr>
          <w:p>
            <w:pPr>
              <w:spacing w:after="0"/>
              <w:rPr>
                <w:sz w:val="17"/>
                <w:szCs w:val="17"/>
                <w:color w:val="auto"/>
              </w:rPr>
            </w:pPr>
          </w:p>
        </w:tc>
      </w:tr>
      <w:tr>
        <w:trPr>
          <w:trHeight w:val="196"/>
        </w:trPr>
        <w:tc>
          <w:tcPr>
            <w:tcW w:w="106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95"/>
              </w:rPr>
              <w:t>31.1*</w:t>
            </w:r>
          </w:p>
        </w:tc>
        <w:tc>
          <w:tcPr>
            <w:tcW w:w="7740" w:type="dxa"/>
            <w:vAlign w:val="bottom"/>
            <w:gridSpan w:val="10"/>
          </w:tcPr>
          <w:p>
            <w:pPr>
              <w:spacing w:after="0" w:line="196" w:lineRule="exact"/>
              <w:rPr>
                <w:sz w:val="20"/>
                <w:szCs w:val="20"/>
                <w:color w:val="auto"/>
              </w:rPr>
            </w:pPr>
            <w:r>
              <w:rPr>
                <w:rFonts w:ascii="Arial" w:cs="Arial" w:eastAsia="Arial" w:hAnsi="Arial"/>
                <w:sz w:val="18"/>
                <w:szCs w:val="18"/>
                <w:color w:val="0000EE"/>
                <w:w w:val="97"/>
              </w:rPr>
              <w:t>Certification of Chief Executive Officer pursuant to Rule 13a-14(a) of the Securities Exchange Act of</w:t>
            </w:r>
          </w:p>
        </w:tc>
      </w:tr>
      <w:tr>
        <w:trPr>
          <w:trHeight w:val="196"/>
        </w:trPr>
        <w:tc>
          <w:tcPr>
            <w:tcW w:w="1060" w:type="dxa"/>
            <w:vAlign w:val="bottom"/>
          </w:tcPr>
          <w:p>
            <w:pPr>
              <w:spacing w:after="0"/>
              <w:rPr>
                <w:sz w:val="17"/>
                <w:szCs w:val="17"/>
                <w:color w:val="auto"/>
              </w:rPr>
            </w:pPr>
          </w:p>
        </w:tc>
        <w:tc>
          <w:tcPr>
            <w:tcW w:w="55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1934, as adopted pursuant to Section 302 of the Sarbanes-Oxley Act of 2002.</w:t>
            </w:r>
          </w:p>
        </w:tc>
        <w:tc>
          <w:tcPr>
            <w:tcW w:w="17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196"/>
        </w:trPr>
        <w:tc>
          <w:tcPr>
            <w:tcW w:w="106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95"/>
              </w:rPr>
              <w:t>31.2*</w:t>
            </w:r>
          </w:p>
        </w:tc>
        <w:tc>
          <w:tcPr>
            <w:tcW w:w="7740" w:type="dxa"/>
            <w:vAlign w:val="bottom"/>
            <w:gridSpan w:val="10"/>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Rule 13a-14(a) of the Securities Exchange Act of 1934,</w:t>
            </w:r>
          </w:p>
        </w:tc>
      </w:tr>
      <w:tr>
        <w:trPr>
          <w:trHeight w:val="196"/>
        </w:trPr>
        <w:tc>
          <w:tcPr>
            <w:tcW w:w="106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as adopted pursuant to Section 302 of the Sarbanes-Oxley Act of 2002.</w:t>
            </w:r>
          </w:p>
        </w:tc>
        <w:tc>
          <w:tcPr>
            <w:tcW w:w="26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7"/>
              </w:rPr>
              <w:t>32.1**</w:t>
            </w:r>
          </w:p>
        </w:tc>
        <w:tc>
          <w:tcPr>
            <w:tcW w:w="7740" w:type="dxa"/>
            <w:vAlign w:val="bottom"/>
            <w:gridSpan w:val="10"/>
          </w:tcPr>
          <w:p>
            <w:pPr>
              <w:spacing w:after="0"/>
              <w:rPr>
                <w:sz w:val="20"/>
                <w:szCs w:val="20"/>
                <w:color w:val="auto"/>
              </w:rPr>
            </w:pPr>
            <w:r>
              <w:rPr>
                <w:rFonts w:ascii="Arial" w:cs="Arial" w:eastAsia="Arial" w:hAnsi="Arial"/>
                <w:sz w:val="18"/>
                <w:szCs w:val="18"/>
                <w:color w:val="0000EE"/>
              </w:rPr>
              <w:t>Certification of Chief Executive Officer pursuant to 18 USC Section 1350, as adopted pursuant to</w:t>
            </w:r>
          </w:p>
        </w:tc>
      </w:tr>
      <w:tr>
        <w:trPr>
          <w:trHeight w:val="196"/>
        </w:trPr>
        <w:tc>
          <w:tcPr>
            <w:tcW w:w="1060" w:type="dxa"/>
            <w:vAlign w:val="bottom"/>
          </w:tcPr>
          <w:p>
            <w:pPr>
              <w:spacing w:after="0"/>
              <w:rPr>
                <w:sz w:val="17"/>
                <w:szCs w:val="17"/>
                <w:color w:val="auto"/>
              </w:rPr>
            </w:pPr>
          </w:p>
        </w:tc>
        <w:tc>
          <w:tcPr>
            <w:tcW w:w="70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700" w:type="dxa"/>
            <w:vAlign w:val="bottom"/>
            <w:gridSpan w:val="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r>
      <w:tr>
        <w:trPr>
          <w:trHeight w:val="412"/>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7"/>
              </w:rPr>
              <w:t>32.2**</w:t>
            </w:r>
          </w:p>
        </w:tc>
        <w:tc>
          <w:tcPr>
            <w:tcW w:w="70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of Chief Financial Officer pursuant to 18 USC Section 1350, as adopted pursuant to</w:t>
            </w:r>
          </w:p>
        </w:tc>
        <w:tc>
          <w:tcPr>
            <w:tcW w:w="74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40" w:type="dxa"/>
            <w:vAlign w:val="bottom"/>
            <w:gridSpan w:val="10"/>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r>
      <w:tr>
        <w:trPr>
          <w:trHeight w:val="20"/>
        </w:trPr>
        <w:tc>
          <w:tcPr>
            <w:tcW w:w="106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4280" w:type="dxa"/>
            <w:vAlign w:val="bottom"/>
            <w:gridSpan w:val="8"/>
          </w:tcPr>
          <w:p>
            <w:pPr>
              <w:spacing w:after="0" w:line="20" w:lineRule="exact"/>
              <w:rPr>
                <w:sz w:val="1"/>
                <w:szCs w:val="1"/>
                <w:color w:val="auto"/>
              </w:rPr>
            </w:pPr>
          </w:p>
        </w:tc>
      </w:tr>
      <w:tr>
        <w:trPr>
          <w:trHeight w:val="438"/>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2"/>
              </w:rPr>
              <w:t>101.INS</w:t>
            </w:r>
          </w:p>
        </w:tc>
        <w:tc>
          <w:tcPr>
            <w:tcW w:w="7740" w:type="dxa"/>
            <w:vAlign w:val="bottom"/>
            <w:gridSpan w:val="10"/>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 Data File</w:t>
            </w:r>
          </w:p>
        </w:tc>
      </w:tr>
      <w:tr>
        <w:trPr>
          <w:trHeight w:val="230"/>
        </w:trPr>
        <w:tc>
          <w:tcPr>
            <w:tcW w:w="1060" w:type="dxa"/>
            <w:vAlign w:val="bottom"/>
          </w:tcPr>
          <w:p>
            <w:pPr>
              <w:spacing w:after="0"/>
              <w:rPr>
                <w:sz w:val="20"/>
                <w:szCs w:val="20"/>
                <w:color w:val="auto"/>
              </w:rPr>
            </w:pPr>
          </w:p>
        </w:tc>
        <w:tc>
          <w:tcPr>
            <w:tcW w:w="7740" w:type="dxa"/>
            <w:vAlign w:val="bottom"/>
            <w:gridSpan w:val="10"/>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392"/>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4"/>
              </w:rPr>
              <w:t>101.SCH*</w:t>
            </w:r>
          </w:p>
        </w:tc>
        <w:tc>
          <w:tcPr>
            <w:tcW w:w="77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8"/>
              </w:rPr>
              <w:t>101.CAL*</w:t>
            </w:r>
          </w:p>
        </w:tc>
        <w:tc>
          <w:tcPr>
            <w:tcW w:w="77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7"/>
              </w:rPr>
              <w:t>101.DEF*</w:t>
            </w:r>
          </w:p>
        </w:tc>
        <w:tc>
          <w:tcPr>
            <w:tcW w:w="77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9"/>
              </w:rPr>
              <w:t>101.LAB*</w:t>
            </w:r>
          </w:p>
        </w:tc>
        <w:tc>
          <w:tcPr>
            <w:tcW w:w="77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1"/>
              </w:rPr>
              <w:t>101.PRE*</w:t>
            </w:r>
          </w:p>
        </w:tc>
        <w:tc>
          <w:tcPr>
            <w:tcW w:w="77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60" w:right="919" w:firstLine="326"/>
        <w:spacing w:after="0" w:line="641" w:lineRule="auto"/>
        <w:tabs>
          <w:tab w:leader="none" w:pos="1213"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embedded within Exhibit 101). * Filed herewith.</w:t>
      </w:r>
    </w:p>
    <w:p>
      <w:pPr>
        <w:spacing w:after="0" w:line="1" w:lineRule="exact"/>
        <w:rPr>
          <w:rFonts w:ascii="Arial" w:cs="Arial" w:eastAsia="Arial" w:hAnsi="Arial"/>
          <w:sz w:val="18"/>
          <w:szCs w:val="18"/>
          <w:color w:val="auto"/>
        </w:rPr>
      </w:pPr>
    </w:p>
    <w:p>
      <w:pPr>
        <w:ind w:left="60" w:right="99" w:hanging="10"/>
        <w:spacing w:after="0" w:line="263" w:lineRule="auto"/>
        <w:tabs>
          <w:tab w:leader="none" w:pos="2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ATN International, Inc.</w:t>
            </w: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Date: November 8, 2023</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T. Prior</w:t>
            </w:r>
          </w:p>
        </w:tc>
      </w:tr>
      <w:tr>
        <w:trPr>
          <w:trHeight w:val="195"/>
        </w:trPr>
        <w:tc>
          <w:tcPr>
            <w:tcW w:w="444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T. Prior</w:t>
            </w:r>
          </w:p>
        </w:tc>
      </w:tr>
      <w:tr>
        <w:trPr>
          <w:trHeight w:val="230"/>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Date: November 8, 2023</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D. Benincasa</w:t>
            </w:r>
          </w:p>
        </w:tc>
      </w:tr>
      <w:tr>
        <w:trPr>
          <w:trHeight w:val="195"/>
        </w:trPr>
        <w:tc>
          <w:tcPr>
            <w:tcW w:w="444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Justin D. Benincasa</w:t>
            </w:r>
          </w:p>
        </w:tc>
      </w:tr>
      <w:tr>
        <w:trPr>
          <w:trHeight w:val="230"/>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Michael T. Prior, certify that:</w:t>
      </w:r>
    </w:p>
    <w:p>
      <w:pPr>
        <w:spacing w:after="0" w:line="225" w:lineRule="exact"/>
        <w:rPr>
          <w:sz w:val="20"/>
          <w:szCs w:val="20"/>
          <w:color w:val="auto"/>
        </w:rPr>
      </w:pPr>
    </w:p>
    <w:p>
      <w:pPr>
        <w:ind w:left="880" w:hanging="438"/>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ATN International, Inc.;</w:t>
      </w:r>
    </w:p>
    <w:p>
      <w:pPr>
        <w:spacing w:after="0" w:line="157" w:lineRule="exact"/>
        <w:rPr>
          <w:rFonts w:ascii="Arial" w:cs="Arial" w:eastAsia="Arial" w:hAnsi="Arial"/>
          <w:sz w:val="18"/>
          <w:szCs w:val="18"/>
          <w:color w:val="auto"/>
        </w:rPr>
      </w:pPr>
    </w:p>
    <w:p>
      <w:pPr>
        <w:ind w:left="880" w:right="320" w:hanging="438"/>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80" w:right="40" w:hanging="438"/>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880" w:right="140" w:hanging="438"/>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880" w:right="400" w:hanging="439"/>
        <w:spacing w:after="0" w:line="259" w:lineRule="auto"/>
        <w:tabs>
          <w:tab w:leader="none" w:pos="1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1880" w:right="120" w:hanging="439"/>
        <w:spacing w:after="0" w:line="259" w:lineRule="auto"/>
        <w:tabs>
          <w:tab w:leader="none" w:pos="1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ind w:left="1880" w:right="20" w:hanging="439"/>
        <w:spacing w:after="0" w:line="263" w:lineRule="auto"/>
        <w:tabs>
          <w:tab w:leader="none" w:pos="1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80" w:right="140" w:hanging="439"/>
        <w:spacing w:after="0" w:line="259" w:lineRule="auto"/>
        <w:tabs>
          <w:tab w:leader="none" w:pos="1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880" w:right="480" w:hanging="438"/>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880" w:right="200" w:hanging="439"/>
        <w:spacing w:after="0" w:line="263" w:lineRule="auto"/>
        <w:tabs>
          <w:tab w:leader="none" w:pos="1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80" w:right="20" w:hanging="439"/>
        <w:spacing w:after="0" w:line="277" w:lineRule="auto"/>
        <w:tabs>
          <w:tab w:leader="none" w:pos="1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ATN International, Inc.</w:t>
            </w:r>
          </w:p>
        </w:tc>
      </w:tr>
      <w:tr>
        <w:trPr>
          <w:trHeight w:val="432"/>
        </w:trPr>
        <w:tc>
          <w:tcPr>
            <w:tcW w:w="5440" w:type="dxa"/>
            <w:vAlign w:val="bottom"/>
          </w:tcPr>
          <w:p>
            <w:pPr>
              <w:ind w:left="20"/>
              <w:spacing w:after="0"/>
              <w:rPr>
                <w:sz w:val="20"/>
                <w:szCs w:val="20"/>
                <w:color w:val="auto"/>
              </w:rPr>
            </w:pPr>
            <w:r>
              <w:rPr>
                <w:rFonts w:ascii="Arial" w:cs="Arial" w:eastAsia="Arial" w:hAnsi="Arial"/>
                <w:sz w:val="18"/>
                <w:szCs w:val="18"/>
                <w:color w:val="auto"/>
              </w:rPr>
              <w:t>Date: November 8, 2023</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/s/ Michael T. Prior</w:t>
            </w:r>
          </w:p>
        </w:tc>
      </w:tr>
      <w:tr>
        <w:trPr>
          <w:trHeight w:val="195"/>
        </w:trPr>
        <w:tc>
          <w:tcPr>
            <w:tcW w:w="5440" w:type="dxa"/>
            <w:vAlign w:val="bottom"/>
          </w:tcPr>
          <w:p>
            <w:pPr>
              <w:spacing w:after="0"/>
              <w:rPr>
                <w:sz w:val="16"/>
                <w:szCs w:val="16"/>
                <w:color w:val="auto"/>
              </w:rPr>
            </w:pPr>
          </w:p>
        </w:tc>
        <w:tc>
          <w:tcPr>
            <w:tcW w:w="47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Michael T. Prior</w:t>
            </w:r>
          </w:p>
        </w:tc>
        <w:tc>
          <w:tcPr>
            <w:tcW w:w="20" w:type="dxa"/>
            <w:vAlign w:val="bottom"/>
          </w:tcPr>
          <w:p>
            <w:pPr>
              <w:spacing w:after="0"/>
              <w:rPr>
                <w:sz w:val="16"/>
                <w:szCs w:val="16"/>
                <w:color w:val="auto"/>
              </w:rPr>
            </w:pPr>
          </w:p>
        </w:tc>
      </w:tr>
      <w:tr>
        <w:trPr>
          <w:trHeight w:val="230"/>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804"/>
        </w:trPr>
        <w:tc>
          <w:tcPr>
            <w:tcW w:w="54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1" w:right="8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Justin D. Benincasa, certify that:</w:t>
      </w:r>
    </w:p>
    <w:p>
      <w:pPr>
        <w:spacing w:after="0" w:line="225" w:lineRule="exact"/>
        <w:rPr>
          <w:sz w:val="20"/>
          <w:szCs w:val="20"/>
          <w:color w:val="auto"/>
        </w:rPr>
      </w:pPr>
    </w:p>
    <w:p>
      <w:pPr>
        <w:ind w:left="880" w:hanging="438"/>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ATN International, Inc.;</w:t>
      </w:r>
    </w:p>
    <w:p>
      <w:pPr>
        <w:spacing w:after="0" w:line="157" w:lineRule="exact"/>
        <w:rPr>
          <w:rFonts w:ascii="Arial" w:cs="Arial" w:eastAsia="Arial" w:hAnsi="Arial"/>
          <w:sz w:val="18"/>
          <w:szCs w:val="18"/>
          <w:color w:val="auto"/>
        </w:rPr>
      </w:pPr>
    </w:p>
    <w:p>
      <w:pPr>
        <w:ind w:left="880" w:right="320" w:hanging="438"/>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80" w:right="40" w:hanging="438"/>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880" w:right="140" w:hanging="438"/>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880" w:right="400" w:hanging="439"/>
        <w:spacing w:after="0" w:line="259" w:lineRule="auto"/>
        <w:tabs>
          <w:tab w:leader="none" w:pos="18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1880" w:right="120" w:hanging="439"/>
        <w:spacing w:after="0" w:line="259" w:lineRule="auto"/>
        <w:tabs>
          <w:tab w:leader="none" w:pos="18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ind w:left="1880" w:right="20" w:hanging="439"/>
        <w:spacing w:after="0" w:line="263" w:lineRule="auto"/>
        <w:tabs>
          <w:tab w:leader="none" w:pos="18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60" w:right="160" w:hanging="432"/>
        <w:spacing w:after="0" w:line="259" w:lineRule="auto"/>
        <w:tabs>
          <w:tab w:leader="none" w:pos="1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880" w:right="480" w:hanging="438"/>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860" w:right="200" w:hanging="432"/>
        <w:spacing w:after="0" w:line="263" w:lineRule="auto"/>
        <w:tabs>
          <w:tab w:leader="none" w:pos="1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80" w:right="20" w:hanging="439"/>
        <w:spacing w:after="0" w:line="277" w:lineRule="auto"/>
        <w:tabs>
          <w:tab w:leader="none" w:pos="18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rPr>
              <w:t>ATN International, Inc.</w:t>
            </w:r>
          </w:p>
        </w:tc>
      </w:tr>
      <w:tr>
        <w:trPr>
          <w:trHeight w:val="432"/>
        </w:trPr>
        <w:tc>
          <w:tcPr>
            <w:tcW w:w="3480" w:type="dxa"/>
            <w:vAlign w:val="bottom"/>
          </w:tcPr>
          <w:p>
            <w:pPr>
              <w:ind w:left="20"/>
              <w:spacing w:after="0"/>
              <w:rPr>
                <w:sz w:val="20"/>
                <w:szCs w:val="20"/>
                <w:color w:val="auto"/>
              </w:rPr>
            </w:pPr>
            <w:r>
              <w:rPr>
                <w:rFonts w:ascii="Arial" w:cs="Arial" w:eastAsia="Arial" w:hAnsi="Arial"/>
                <w:sz w:val="18"/>
                <w:szCs w:val="18"/>
                <w:color w:val="auto"/>
              </w:rPr>
              <w:t>Date: November 8, 2023</w:t>
            </w: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rPr>
              <w:t>By:  /s/ Justin D. Benincasa</w:t>
            </w:r>
          </w:p>
        </w:tc>
      </w:tr>
      <w:tr>
        <w:trPr>
          <w:trHeight w:val="195"/>
        </w:trPr>
        <w:tc>
          <w:tcPr>
            <w:tcW w:w="34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Justin D. Benincasa</w:t>
            </w:r>
          </w:p>
        </w:tc>
        <w:tc>
          <w:tcPr>
            <w:tcW w:w="20" w:type="dxa"/>
            <w:vAlign w:val="bottom"/>
          </w:tcPr>
          <w:p>
            <w:pPr>
              <w:spacing w:after="0"/>
              <w:rPr>
                <w:sz w:val="16"/>
                <w:szCs w:val="16"/>
                <w:color w:val="auto"/>
              </w:rPr>
            </w:pPr>
          </w:p>
        </w:tc>
      </w:tr>
      <w:tr>
        <w:trPr>
          <w:trHeight w:val="230"/>
        </w:trPr>
        <w:tc>
          <w:tcPr>
            <w:tcW w:w="3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804"/>
        </w:trPr>
        <w:tc>
          <w:tcPr>
            <w:tcW w:w="3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1" w:right="839" w:bottom="1440" w:gutter="0" w:footer="0" w:header="0"/>
        </w:sectPr>
      </w:pPr>
    </w:p>
    <w:bookmarkStart w:id="75" w:name="page76"/>
    <w:bookmarkEnd w:id="7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0" w:right="179" w:firstLine="441"/>
        <w:spacing w:after="0" w:line="259" w:lineRule="auto"/>
        <w:rPr>
          <w:sz w:val="20"/>
          <w:szCs w:val="20"/>
          <w:color w:val="auto"/>
        </w:rPr>
      </w:pPr>
      <w:r>
        <w:rPr>
          <w:rFonts w:ascii="Arial" w:cs="Arial" w:eastAsia="Arial" w:hAnsi="Arial"/>
          <w:sz w:val="18"/>
          <w:szCs w:val="18"/>
          <w:color w:val="auto"/>
        </w:rPr>
        <w:t>In connection with the quarterly report on Form 10-Q of ATN International, Inc. (the “Company”) for the period ended September 30, 2023 as filed with the Securities and Exchange Commission on the date hereof (the “Report”), I, Michael T. Prior, President and Chief Executive Officer of the Company, certify, pursuant to 18 U.S.C. § 1350, as adopted pursuant to § 906 of the Sarbanes-Oxley Act of 2002, that:</w:t>
      </w:r>
    </w:p>
    <w:p>
      <w:pPr>
        <w:spacing w:after="0" w:line="187" w:lineRule="exact"/>
        <w:rPr>
          <w:sz w:val="20"/>
          <w:szCs w:val="20"/>
          <w:color w:val="auto"/>
        </w:rPr>
      </w:pPr>
    </w:p>
    <w:p>
      <w:pPr>
        <w:ind w:left="900" w:right="299" w:hanging="424"/>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00" w:right="419" w:hanging="424"/>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5760" w:type="dxa"/>
            <w:vAlign w:val="bottom"/>
            <w:gridSpan w:val="2"/>
          </w:tcPr>
          <w:p>
            <w:pPr>
              <w:jc w:val="center"/>
              <w:ind w:right="1230"/>
              <w:spacing w:after="0"/>
              <w:rPr>
                <w:sz w:val="20"/>
                <w:szCs w:val="20"/>
                <w:color w:val="auto"/>
              </w:rPr>
            </w:pPr>
            <w:r>
              <w:rPr>
                <w:rFonts w:ascii="Arial" w:cs="Arial" w:eastAsia="Arial" w:hAnsi="Arial"/>
                <w:sz w:val="18"/>
                <w:szCs w:val="18"/>
                <w:color w:val="auto"/>
                <w:w w:val="93"/>
              </w:rPr>
              <w:t>ATN International,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8, 2023</w:t>
            </w:r>
          </w:p>
        </w:tc>
        <w:tc>
          <w:tcPr>
            <w:tcW w:w="5760" w:type="dxa"/>
            <w:vAlign w:val="bottom"/>
            <w:gridSpan w:val="2"/>
          </w:tcPr>
          <w:p>
            <w:pPr>
              <w:jc w:val="center"/>
              <w:ind w:right="1250"/>
              <w:spacing w:after="0"/>
              <w:rPr>
                <w:sz w:val="20"/>
                <w:szCs w:val="20"/>
                <w:color w:val="auto"/>
              </w:rPr>
            </w:pPr>
            <w:r>
              <w:rPr>
                <w:rFonts w:ascii="Arial" w:cs="Arial" w:eastAsia="Arial" w:hAnsi="Arial"/>
                <w:sz w:val="18"/>
                <w:szCs w:val="18"/>
                <w:color w:val="auto"/>
                <w:w w:val="94"/>
              </w:rPr>
              <w:t>By:/s/ Michael T. Prior</w:t>
            </w:r>
          </w:p>
        </w:tc>
      </w:tr>
      <w:tr>
        <w:trPr>
          <w:trHeight w:val="195"/>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Borders>
              <w:top w:val="single" w:sz="8" w:color="auto"/>
            </w:tcBorders>
          </w:tcPr>
          <w:p>
            <w:pPr>
              <w:jc w:val="center"/>
              <w:ind w:right="2830"/>
              <w:spacing w:after="0" w:line="195" w:lineRule="exact"/>
              <w:rPr>
                <w:sz w:val="20"/>
                <w:szCs w:val="20"/>
                <w:color w:val="auto"/>
              </w:rPr>
            </w:pPr>
            <w:r>
              <w:rPr>
                <w:rFonts w:ascii="Arial" w:cs="Arial" w:eastAsia="Arial" w:hAnsi="Arial"/>
                <w:sz w:val="18"/>
                <w:szCs w:val="18"/>
                <w:color w:val="auto"/>
                <w:w w:val="95"/>
              </w:rPr>
              <w:t>Michael T. Prior</w:t>
            </w:r>
          </w:p>
        </w:tc>
      </w:tr>
      <w:tr>
        <w:trPr>
          <w:trHeight w:val="230"/>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803"/>
        </w:trPr>
        <w:tc>
          <w:tcPr>
            <w:tcW w:w="3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76" w:name="page77"/>
    <w:bookmarkEnd w:id="7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0" w:right="159" w:firstLine="441"/>
        <w:spacing w:after="0" w:line="287" w:lineRule="auto"/>
        <w:rPr>
          <w:sz w:val="20"/>
          <w:szCs w:val="20"/>
          <w:color w:val="auto"/>
        </w:rPr>
      </w:pPr>
      <w:r>
        <w:rPr>
          <w:rFonts w:ascii="Arial" w:cs="Arial" w:eastAsia="Arial" w:hAnsi="Arial"/>
          <w:sz w:val="16"/>
          <w:szCs w:val="16"/>
          <w:color w:val="auto"/>
        </w:rPr>
        <w:t>In connection with the quarterly report on Form 10-Q of ATN International, Inc. (the “Company”) for the period ended September 30, 2023 as filed with the Securities and Exchange Commission on the date hereof (the “Report”), I, Justin D. Benincasa, Chief Financial Officer of the Company, certify, pursuant to 18 U.S.C. § 1350, as adopted pursuant to</w:t>
      </w:r>
    </w:p>
    <w:p>
      <w:pPr>
        <w:spacing w:after="0" w:line="2" w:lineRule="exact"/>
        <w:rPr>
          <w:sz w:val="20"/>
          <w:szCs w:val="20"/>
          <w:color w:val="auto"/>
        </w:rPr>
      </w:pPr>
    </w:p>
    <w:p>
      <w:pPr>
        <w:ind w:left="180" w:hanging="136"/>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906 of the Sarbanes-Oxley Act of 2002, that:</w:t>
      </w:r>
    </w:p>
    <w:p>
      <w:pPr>
        <w:spacing w:after="0" w:line="210" w:lineRule="exact"/>
        <w:rPr>
          <w:rFonts w:ascii="Arial" w:cs="Arial" w:eastAsia="Arial" w:hAnsi="Arial"/>
          <w:sz w:val="18"/>
          <w:szCs w:val="18"/>
          <w:color w:val="auto"/>
        </w:rPr>
      </w:pPr>
    </w:p>
    <w:p>
      <w:pPr>
        <w:ind w:left="900" w:right="299" w:hanging="424"/>
        <w:spacing w:after="0" w:line="277"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00" w:right="419" w:hanging="424"/>
        <w:spacing w:after="0" w:line="277"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5760" w:type="dxa"/>
            <w:vAlign w:val="bottom"/>
            <w:gridSpan w:val="2"/>
          </w:tcPr>
          <w:p>
            <w:pPr>
              <w:ind w:left="1400"/>
              <w:spacing w:after="0"/>
              <w:rPr>
                <w:sz w:val="20"/>
                <w:szCs w:val="20"/>
                <w:color w:val="auto"/>
              </w:rPr>
            </w:pPr>
            <w:r>
              <w:rPr>
                <w:rFonts w:ascii="Arial" w:cs="Arial" w:eastAsia="Arial" w:hAnsi="Arial"/>
                <w:sz w:val="18"/>
                <w:szCs w:val="18"/>
                <w:color w:val="auto"/>
              </w:rPr>
              <w:t>ATN International,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8, 2023</w:t>
            </w:r>
          </w:p>
        </w:tc>
        <w:tc>
          <w:tcPr>
            <w:tcW w:w="5760" w:type="dxa"/>
            <w:vAlign w:val="bottom"/>
            <w:gridSpan w:val="2"/>
          </w:tcPr>
          <w:p>
            <w:pPr>
              <w:ind w:left="1400"/>
              <w:spacing w:after="0"/>
              <w:rPr>
                <w:sz w:val="20"/>
                <w:szCs w:val="20"/>
                <w:color w:val="auto"/>
              </w:rPr>
            </w:pPr>
            <w:r>
              <w:rPr>
                <w:rFonts w:ascii="Arial" w:cs="Arial" w:eastAsia="Arial" w:hAnsi="Arial"/>
                <w:sz w:val="18"/>
                <w:szCs w:val="18"/>
                <w:color w:val="auto"/>
              </w:rPr>
              <w:t>By: /s/ Justin D. Benincasa</w:t>
            </w:r>
          </w:p>
        </w:tc>
      </w:tr>
      <w:tr>
        <w:trPr>
          <w:trHeight w:val="19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Justin D. Benincasa</w:t>
            </w:r>
          </w:p>
        </w:tc>
      </w:tr>
      <w:tr>
        <w:trPr>
          <w:trHeight w:val="230"/>
        </w:trPr>
        <w:tc>
          <w:tcPr>
            <w:tcW w:w="3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03"/>
        </w:trPr>
        <w:tc>
          <w:tcPr>
            <w:tcW w:w="3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lvl w:ilvl="1">
      <w:lvlJc w:val="left"/>
      <w:lvlText w:val="(%2)"/>
      <w:numFmt w:val="decimal"/>
      <w:start w:val="1"/>
    </w:lvl>
  </w:abstractNum>
  <w:abstractNum w:abstractNumId="5">
    <w:nsid w:val="436C6125"/>
    <w:multiLevelType w:val="hybridMultilevel"/>
    <w:lvl w:ilvl="0">
      <w:lvlJc w:val="left"/>
      <w:lvlText w:val="%1."/>
      <w:numFmt w:val="decimal"/>
      <w:start w:val="14"/>
    </w:lvl>
    <w:lvl w:ilvl="1">
      <w:lvlJc w:val="left"/>
      <w:lvlText w:val="%2"/>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lvl w:ilvl="1">
      <w:lvlJc w:val="left"/>
      <w:lvlText w:val="%2"/>
      <w:numFmt w:val="decimal"/>
      <w:start w:val="104"/>
    </w:lvl>
  </w:abstractNum>
  <w:abstractNum w:abstractNumId="28">
    <w:nsid w:val="6CEAF087"/>
    <w:multiLevelType w:val="hybridMultilevel"/>
    <w:lvl w:ilvl="0">
      <w:lvlJc w:val="left"/>
      <w:lvlText w:val="**"/>
      <w:numFmt w:val="bullet"/>
      <w:start w:val="1"/>
    </w:lvl>
    <w:lvl w:ilvl="1">
      <w:lvlJc w:val="left"/>
      <w:lvlText w:val="%2"/>
      <w:numFmt w:val="decimal"/>
      <w:start w:val="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1">
    <w:nsid w:val="3006C83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2">
    <w:nsid w:val="614FD4A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98" Type="http://schemas.openxmlformats.org/officeDocument/2006/relationships/hyperlink" Target="https://www.sec.gov/Archives/edgar/data/879585/000110465923081668/tm232137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2023-11-08T14:55:26Z</dcterms:created>
  <dcterms:modified xsi:type="dcterms:W3CDTF">2023-11-08T14:55:26Z</dcterms:modified>
</cp:coreProperties>
</file>