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128905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163195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72" w:lineRule="exact"/>
        <w:rPr>
          <w:sz w:val="24"/>
          <w:szCs w:val="24"/>
          <w:color w:val="auto"/>
        </w:rPr>
      </w:pPr>
    </w:p>
    <w:p>
      <w:pPr>
        <w:ind w:left="660" w:right="200" w:hanging="409"/>
        <w:spacing w:after="0" w:line="273"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8" w:lineRule="exact"/>
        <w:rPr>
          <w:sz w:val="24"/>
          <w:szCs w:val="24"/>
          <w:color w:val="auto"/>
        </w:rPr>
      </w:pPr>
    </w:p>
    <w:p>
      <w:pPr>
        <w:ind w:left="220"/>
        <w:spacing w:after="0" w:line="230" w:lineRule="exact"/>
        <w:tabs>
          <w:tab w:leader="none" w:pos="64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Times New Roman" w:cs="Times New Roman" w:eastAsia="Times New Roman" w:hAnsi="Times New Roman"/>
          <w:sz w:val="19"/>
          <w:szCs w:val="19"/>
          <w:b w:val="1"/>
          <w:bCs w:val="1"/>
          <w:color w:val="auto"/>
        </w:rPr>
        <w:t>TRANSITION REPORT PURSUANT TO SECTION 13 OR 15(d)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-102235</wp:posOffset>
            </wp:positionV>
            <wp:extent cx="3429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 1934</w:t>
      </w:r>
    </w:p>
    <w:p>
      <w:pPr>
        <w:spacing w:after="0" w:line="120" w:lineRule="exact"/>
        <w:rPr>
          <w:sz w:val="24"/>
          <w:szCs w:val="24"/>
          <w:color w:val="auto"/>
        </w:rPr>
      </w:pPr>
    </w:p>
    <w:p>
      <w:pPr>
        <w:ind w:left="310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-3175</wp:posOffset>
            </wp:positionV>
            <wp:extent cx="882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001-12593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184785</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ATN INTERNATIONAL, INC.</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0"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378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7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47-0728886</w:t>
            </w:r>
          </w:p>
        </w:tc>
      </w:tr>
      <w:tr>
        <w:trPr>
          <w:trHeight w:val="135"/>
        </w:trPr>
        <w:tc>
          <w:tcPr>
            <w:tcW w:w="3780" w:type="dxa"/>
            <w:vAlign w:val="bottom"/>
          </w:tcPr>
          <w:p>
            <w:pPr>
              <w:jc w:val="center"/>
              <w:ind w:right="16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720" w:type="dxa"/>
            <w:vAlign w:val="bottom"/>
          </w:tcPr>
          <w:p>
            <w:pPr>
              <w:jc w:val="center"/>
              <w:ind w:left="171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33"/>
        </w:trPr>
        <w:tc>
          <w:tcPr>
            <w:tcW w:w="3780" w:type="dxa"/>
            <w:vAlign w:val="bottom"/>
          </w:tcPr>
          <w:p>
            <w:pPr>
              <w:jc w:val="center"/>
              <w:ind w:right="1717"/>
              <w:spacing w:after="0" w:line="133" w:lineRule="exact"/>
              <w:rPr>
                <w:sz w:val="20"/>
                <w:szCs w:val="20"/>
                <w:color w:val="auto"/>
              </w:rPr>
            </w:pPr>
            <w:r>
              <w:rPr>
                <w:rFonts w:ascii="Times New Roman" w:cs="Times New Roman" w:eastAsia="Times New Roman" w:hAnsi="Times New Roman"/>
                <w:sz w:val="13"/>
                <w:szCs w:val="13"/>
                <w:color w:val="auto"/>
                <w:w w:val="96"/>
              </w:rPr>
              <w:t>incorporation or organization)</w:t>
            </w:r>
          </w:p>
        </w:tc>
        <w:tc>
          <w:tcPr>
            <w:tcW w:w="2720" w:type="dxa"/>
            <w:vAlign w:val="bottom"/>
          </w:tcPr>
          <w:p>
            <w:pPr>
              <w:jc w:val="center"/>
              <w:ind w:left="1717"/>
              <w:spacing w:after="0" w:line="133" w:lineRule="exact"/>
              <w:rPr>
                <w:sz w:val="20"/>
                <w:szCs w:val="20"/>
                <w:color w:val="auto"/>
              </w:rPr>
            </w:pPr>
            <w:r>
              <w:rPr>
                <w:rFonts w:ascii="Times New Roman" w:cs="Times New Roman" w:eastAsia="Times New Roman" w:hAnsi="Times New Roman"/>
                <w:sz w:val="13"/>
                <w:szCs w:val="13"/>
                <w:color w:val="auto"/>
                <w:w w:val="97"/>
              </w:rPr>
              <w:t>Identification No.)</w:t>
            </w:r>
          </w:p>
        </w:tc>
      </w:tr>
      <w:tr>
        <w:trPr>
          <w:trHeight w:val="135"/>
        </w:trPr>
        <w:tc>
          <w:tcPr>
            <w:tcW w:w="3780" w:type="dxa"/>
            <w:vAlign w:val="bottom"/>
          </w:tcPr>
          <w:p>
            <w:pPr>
              <w:jc w:val="center"/>
              <w:ind w:right="18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500 Cummings Center, Suite 2450</w:t>
            </w:r>
          </w:p>
        </w:tc>
        <w:tc>
          <w:tcPr>
            <w:tcW w:w="2720" w:type="dxa"/>
            <w:vAlign w:val="bottom"/>
          </w:tcPr>
          <w:p>
            <w:pPr>
              <w:spacing w:after="0"/>
              <w:rPr>
                <w:sz w:val="11"/>
                <w:szCs w:val="11"/>
                <w:color w:val="auto"/>
              </w:rPr>
            </w:pPr>
          </w:p>
        </w:tc>
      </w:tr>
      <w:tr>
        <w:trPr>
          <w:trHeight w:val="137"/>
        </w:trPr>
        <w:tc>
          <w:tcPr>
            <w:tcW w:w="3780" w:type="dxa"/>
            <w:vAlign w:val="bottom"/>
          </w:tcPr>
          <w:p>
            <w:pPr>
              <w:jc w:val="center"/>
              <w:ind w:right="1717"/>
              <w:spacing w:after="0" w:line="137" w:lineRule="exact"/>
              <w:rPr>
                <w:sz w:val="20"/>
                <w:szCs w:val="20"/>
                <w:color w:val="auto"/>
              </w:rPr>
            </w:pPr>
            <w:r>
              <w:rPr>
                <w:rFonts w:ascii="Times New Roman" w:cs="Times New Roman" w:eastAsia="Times New Roman" w:hAnsi="Times New Roman"/>
                <w:sz w:val="13"/>
                <w:szCs w:val="13"/>
                <w:b w:val="1"/>
                <w:bCs w:val="1"/>
                <w:color w:val="auto"/>
                <w:w w:val="95"/>
              </w:rPr>
              <w:t>Beverly, Massachusetts</w:t>
            </w:r>
          </w:p>
        </w:tc>
        <w:tc>
          <w:tcPr>
            <w:tcW w:w="2720" w:type="dxa"/>
            <w:vAlign w:val="bottom"/>
          </w:tcPr>
          <w:p>
            <w:pPr>
              <w:jc w:val="right"/>
              <w:ind w:right="257"/>
              <w:spacing w:after="0" w:line="137" w:lineRule="exact"/>
              <w:rPr>
                <w:sz w:val="20"/>
                <w:szCs w:val="20"/>
                <w:color w:val="auto"/>
              </w:rPr>
            </w:pPr>
            <w:r>
              <w:rPr>
                <w:rFonts w:ascii="Times New Roman" w:cs="Times New Roman" w:eastAsia="Times New Roman" w:hAnsi="Times New Roman"/>
                <w:sz w:val="13"/>
                <w:szCs w:val="13"/>
                <w:b w:val="1"/>
                <w:bCs w:val="1"/>
                <w:color w:val="auto"/>
              </w:rPr>
              <w:t>01915</w:t>
            </w:r>
          </w:p>
        </w:tc>
      </w:tr>
      <w:tr>
        <w:trPr>
          <w:trHeight w:val="164"/>
        </w:trPr>
        <w:tc>
          <w:tcPr>
            <w:tcW w:w="3780" w:type="dxa"/>
            <w:vAlign w:val="bottom"/>
          </w:tcPr>
          <w:p>
            <w:pPr>
              <w:jc w:val="center"/>
              <w:ind w:right="1717"/>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20" w:type="dxa"/>
            <w:vAlign w:val="bottom"/>
          </w:tcPr>
          <w:p>
            <w:pPr>
              <w:jc w:val="center"/>
              <w:ind w:left="1697"/>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(978) 619-1300</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6"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w:t>
            </w:r>
          </w:p>
        </w:tc>
        <w:tc>
          <w:tcPr>
            <w:tcW w:w="0" w:type="dxa"/>
            <w:vAlign w:val="bottom"/>
          </w:tcPr>
          <w:p>
            <w:pPr>
              <w:spacing w:after="0"/>
              <w:rPr>
                <w:sz w:val="1"/>
                <w:szCs w:val="1"/>
                <w:color w:val="auto"/>
              </w:rPr>
            </w:pPr>
          </w:p>
        </w:tc>
      </w:tr>
      <w:tr>
        <w:trPr>
          <w:trHeight w:val="99"/>
        </w:trPr>
        <w:tc>
          <w:tcPr>
            <w:tcW w:w="2420" w:type="dxa"/>
            <w:vAlign w:val="bottom"/>
            <w:gridSpan w:val="2"/>
            <w:vMerge w:val="continue"/>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0" w:type="dxa"/>
            <w:vAlign w:val="bottom"/>
          </w:tcPr>
          <w:p>
            <w:pPr>
              <w:spacing w:after="0"/>
              <w:rPr>
                <w:sz w:val="1"/>
                <w:szCs w:val="1"/>
                <w:color w:val="auto"/>
              </w:rPr>
            </w:pPr>
          </w:p>
        </w:tc>
      </w:tr>
      <w:tr>
        <w:trPr>
          <w:trHeight w:val="77"/>
        </w:trPr>
        <w:tc>
          <w:tcPr>
            <w:tcW w:w="22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Common Stock, par value $.01 per share</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6"/>
              </w:rPr>
              <w:t>ATNI</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firstLine="32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60"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40" w:top="661" w:right="899" w:bottom="1440" w:gutter="0" w:footer="0" w:header="0"/>
        </w:sectPr>
      </w:pPr>
    </w:p>
    <w:p>
      <w:pPr>
        <w:spacing w:after="0" w:line="83" w:lineRule="exact"/>
        <w:rPr>
          <w:sz w:val="24"/>
          <w:szCs w:val="24"/>
          <w:color w:val="auto"/>
        </w:rPr>
      </w:pPr>
    </w:p>
    <w:p>
      <w:pPr>
        <w:ind w:left="168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191" w:lineRule="exact"/>
        <w:rPr>
          <w:sz w:val="24"/>
          <w:szCs w:val="24"/>
          <w:color w:val="auto"/>
        </w:rPr>
      </w:pPr>
    </w:p>
    <w:p>
      <w:pPr>
        <w:sectPr>
          <w:pgSz w:w="11900" w:h="16838" w:orient="portrait"/>
          <w:cols w:equalWidth="0" w:num="2">
            <w:col w:w="6340" w:space="720"/>
            <w:col w:w="3100"/>
          </w:cols>
          <w:pgMar w:left="840" w:top="661" w:right="899" w:bottom="1440" w:gutter="0" w:footer="0" w:header="0"/>
          <w:type w:val="continuous"/>
        </w:sectPr>
      </w:pPr>
    </w:p>
    <w:p>
      <w:pPr>
        <w:ind w:left="1720"/>
        <w:spacing w:after="0" w:line="21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ectPr>
          <w:pgSz w:w="11900" w:h="16838" w:orient="portrait"/>
          <w:cols w:equalWidth="0" w:num="2">
            <w:col w:w="5980" w:space="720"/>
            <w:col w:w="3460"/>
          </w:cols>
          <w:pgMar w:left="840" w:top="661" w:right="899" w:bottom="1440" w:gutter="0" w:footer="0" w:header="0"/>
          <w:type w:val="continuous"/>
        </w:sectPr>
      </w:pPr>
    </w:p>
    <w:p>
      <w:pPr>
        <w:spacing w:after="0" w:line="4" w:lineRule="exact"/>
        <w:rPr>
          <w:sz w:val="24"/>
          <w:szCs w:val="24"/>
          <w:color w:val="auto"/>
        </w:rPr>
      </w:pPr>
    </w:p>
    <w:p>
      <w:pPr>
        <w:ind w:left="670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160"/>
          </w:cols>
          <w:pgMar w:left="840" w:top="661" w:right="899" w:bottom="1440" w:gutter="0" w:footer="0" w:header="0"/>
          <w:type w:val="continuous"/>
        </w:sectPr>
      </w:pPr>
    </w:p>
    <w:p>
      <w:pPr>
        <w:spacing w:after="0" w:line="227" w:lineRule="exact"/>
        <w:rPr>
          <w:sz w:val="24"/>
          <w:szCs w:val="24"/>
          <w:color w:val="auto"/>
        </w:rPr>
      </w:pPr>
    </w:p>
    <w:p>
      <w:pPr>
        <w:ind w:right="20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left="320"/>
        <w:spacing w:after="0" w:line="215" w:lineRule="exact"/>
        <w:tabs>
          <w:tab w:leader="none" w:pos="8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17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August 9, 2024, the registrant had outstanding 15,114,216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929005</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140335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123190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60"/>
          </w:cols>
          <w:pgMar w:left="84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June 30, 2024</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 LOOKING STATEMENTS</w:t>
            </w:r>
          </w:p>
        </w:tc>
        <w:tc>
          <w:tcPr>
            <w:tcW w:w="1900" w:type="dxa"/>
            <w:vAlign w:val="bottom"/>
            <w:gridSpan w:val="6"/>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  Unaudited Condensed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at June 30, 2024 and December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and Six Months Ended June 30, 2024</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and 2023</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and Six Months</w:t>
            </w:r>
          </w:p>
        </w:tc>
        <w:tc>
          <w:tcPr>
            <w:tcW w:w="36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Ended June 30, 2024 and 2023</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Equity for the Three and Six Months Ended June 30, 2024 and</w:t>
            </w:r>
          </w:p>
        </w:tc>
        <w:tc>
          <w:tcPr>
            <w:tcW w:w="68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 Months Ended June 30, 2024 and 2023</w:t>
            </w:r>
          </w:p>
        </w:tc>
        <w:tc>
          <w:tcPr>
            <w:tcW w:w="240" w:type="dxa"/>
            <w:vAlign w:val="bottom"/>
            <w:gridSpan w:val="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82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3260" w:type="dxa"/>
            <w:vAlign w:val="bottom"/>
            <w:tcBorders>
              <w:left w:val="single" w:sz="8" w:color="0000EE"/>
            </w:tcBorders>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6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560" w:type="dxa"/>
            <w:vAlign w:val="bottom"/>
            <w:gridSpan w:val="12"/>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6"/>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1ARisk Factors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6"/>
            <w:shd w:val="clear" w:color="auto" w:fill="0000EE"/>
          </w:tcPr>
          <w:p>
            <w:pPr>
              <w:spacing w:after="0" w:line="20" w:lineRule="exact"/>
              <w:rPr>
                <w:sz w:val="1"/>
                <w:szCs w:val="1"/>
                <w:color w:val="auto"/>
              </w:rPr>
            </w:pPr>
          </w:p>
        </w:tc>
        <w:tc>
          <w:tcPr>
            <w:tcW w:w="326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5</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6300" w:type="dxa"/>
            <w:vAlign w:val="bottom"/>
            <w:gridSpan w:val="1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120" w:type="dxa"/>
            <w:vAlign w:val="bottom"/>
          </w:tcPr>
          <w:p>
            <w:pPr>
              <w:spacing w:after="0"/>
              <w:rPr>
                <w:sz w:val="24"/>
                <w:szCs w:val="24"/>
                <w:color w:val="auto"/>
              </w:rPr>
            </w:pPr>
          </w:p>
        </w:tc>
        <w:tc>
          <w:tcPr>
            <w:tcW w:w="76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2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120" w:type="dxa"/>
            <w:vAlign w:val="bottom"/>
            <w:gridSpan w:val="1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453"/>
        </w:trPr>
        <w:tc>
          <w:tcPr>
            <w:tcW w:w="82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68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0" w:lineRule="exact"/>
        <w:rPr>
          <w:sz w:val="20"/>
          <w:szCs w:val="20"/>
          <w:color w:val="auto"/>
        </w:rPr>
      </w:pPr>
    </w:p>
    <w:p>
      <w:pPr>
        <w:spacing w:after="0" w:line="286"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(or the “Report”) contains forward-looking statements relating to, among other matters, the Company’s future financial performance, business goals and objectives, and results of operations, expectations regarding its strategic investment plan, its future revenues, operating income, operating margin, cash flows, network and operating costs, EBITDA, Adjusted EBITDA, Net Debt, Net Debt Ratio, cost management initiatives, and capital investments; demand for the Company’s services and industry trends; the timing of revenue, the Company’s liquidity; the expansion of the Company’s customer base and networks; receipt of certain government grants and management’s plans, expectations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the Company’s operations, including operating margins, revenues, capital expenditures, the impact of cost savings initiatives, and the retention of and future growth of the Company’s subscriber base and ARPU; (2) the Company’s reliance on a limited number of key suppliers and vendors for timely supply of equipment and services relating to the Company’s network infrastructure; (3) the Company’s ability to satisfy the needs and demands of the Company’s major carrier customers; (4) the Company’s ability to realize expansion plans for its fiber markets; (5) the adequacy and expansion capabilities of the Company’s network capacity and customer service system to support the Company’s customer growth; (6) the Company’s ability to efficiently and cost-effectively upgrade the Company’s networks and information technology platforms to address rapid and significant technological changes in the telecommunications industry; (7) the Company’s continued access to capital and credit markets on terms it deems favorable; (8) government subsidy program availability and regulation of the Company’s businesses, which may impact the Company’s telecommunications licenses, the Company’s revenue and the Company’s operating costs; (9) the Company’s ability to successfully transition its US Telecom business away from wholesale mobility to other carrier and consumer-based services; (10) ongoing risk of an economic downturn, political, geopolitical and other risks and opportunities facing the Company’s operations, including those resulting from the continued inflation and other macroeconomic headwinds including increased costs and supply chain disruptions; (11) management transitions, and the loss of, or an inability to recruit skilled personnel in the Company’s various jurisdictions, including key members of management; (12) the Company’s ability to find investment or acquisition or disposition opportunities that fit the strategic goals of the Company;</w:t>
      </w:r>
    </w:p>
    <w:p>
      <w:pPr>
        <w:spacing w:after="0" w:line="6" w:lineRule="exact"/>
        <w:rPr>
          <w:sz w:val="20"/>
          <w:szCs w:val="20"/>
          <w:color w:val="auto"/>
        </w:rPr>
      </w:pPr>
    </w:p>
    <w:p>
      <w:pPr>
        <w:jc w:val="both"/>
        <w:ind w:left="60" w:right="59" w:hanging="10"/>
        <w:spacing w:after="0" w:line="251" w:lineRule="auto"/>
        <w:tabs>
          <w:tab w:leader="none" w:pos="4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weather events and natural catastrophes and the Company’s ability to secure the appropriate level of insurance coverage for these assets; and the impact of such events on the timing of project implementation and corresponding revenue, and (14) increased competition. These and other additional factors that may cause actual future events and results to differ materially from the events and results indicated in the forward-looking statements above are set forth more fully under Item 1A “Risk Factors” of the Company’s Annual Report on Form 10-K for the year ended December 31, 2023, filed with the SEC on March 15, 2024, and the other reports the Company files from time to time with the SEC. The Company undertakes no obligation and has no intention to update these forward-looking statements to reflect actual results, changes in assumptions, or changes in other factors that may affect such forward-looking statements, except as required by law. In this Report, the words “the Company,” “we,” “our,” “ours,” “us” and “ATN” refer to ATN International, Inc. and its subsidiaries. This Report contains trademarks, service marks and trade names that are the property of, or licensed by, ATN and its subsidiaries.</w:t>
      </w:r>
    </w:p>
    <w:p>
      <w:pPr>
        <w:spacing w:after="0" w:line="233"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9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58,932</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14,321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$16.4 million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98,324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88,030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Replace and remove program receivable</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42,773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Customer receivable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7,746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materials and supplies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58,433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53,807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295,896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281,272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Fixed Assets, net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1,061,322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Telecommunication licenses, net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15,788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97,738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99,335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 long term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43,761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104,413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103,764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1,772,341</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1,783,714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shd w:val="clear" w:color="auto" w:fill="CCEEFF"/>
          </w:tcPr>
          <w:p>
            <w:pPr>
              <w:ind w:left="64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4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16,573</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24,290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customer receivable credit facility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7,659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7,110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163,902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182,069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3,626</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taxes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liabilities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15,074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 payments and deposits</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50,057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49,984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268,885</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293,194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17,754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excluding current portion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75,592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long-term</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59,373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75,943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credit facility, net of current portion</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38,442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38,943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Long-term debt, excluding current portion</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524,262</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492,580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1,060,251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1,059,994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redeemable noncontrolling interests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62,821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redeemable noncontrolling interests</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20,504</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25,823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83,325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85,917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ATN International, Inc. Stockholders’ Equity:</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 $0.01 par value per share; 10,000,000 shares authorized, none issued and outstanding</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50,000,000 shares authorized; 17,879,110 and 17,702,476 shares</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 respectively, 15,114,216 and 15,421,481 shares outstanding, respectively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Treasury stock, at cost; 2,764,894 and 2,280,995 shares, respectively</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(102,379)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209,944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205,797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409,043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417,282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9,990</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8,268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ATN International, Inc. stockholders’ equity</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526,771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541,073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101,994</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96,730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628,765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637,803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redeemable noncontrolling interests and equity</w:t>
            </w:r>
          </w:p>
        </w:tc>
        <w:tc>
          <w:tcPr>
            <w:tcW w:w="3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1,772,341</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1,783,714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5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5"/>
          </w:tcPr>
          <w:p>
            <w:pPr>
              <w:jc w:val="right"/>
              <w:ind w:right="8"/>
              <w:spacing w:after="0"/>
              <w:rPr>
                <w:sz w:val="20"/>
                <w:szCs w:val="20"/>
                <w:color w:val="auto"/>
              </w:rPr>
            </w:pPr>
            <w:r>
              <w:rPr>
                <w:rFonts w:ascii="Times New Roman" w:cs="Times New Roman" w:eastAsia="Times New Roman" w:hAnsi="Times New Roman"/>
                <w:sz w:val="13"/>
                <w:szCs w:val="13"/>
                <w:b w:val="1"/>
                <w:bCs w:val="1"/>
                <w:color w:val="auto"/>
                <w:w w:val="97"/>
              </w:rPr>
              <w:t>Three months ended June 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28"/>
        </w:trPr>
        <w:tc>
          <w:tcPr>
            <w:tcW w:w="51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2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9"/>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68"/>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Communication services</w:t>
            </w:r>
          </w:p>
        </w:tc>
        <w:tc>
          <w:tcPr>
            <w:tcW w:w="260" w:type="dxa"/>
            <w:vAlign w:val="bottom"/>
            <w:gridSpan w:val="2"/>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177,365</w:t>
            </w:r>
          </w:p>
        </w:tc>
        <w:tc>
          <w:tcPr>
            <w:tcW w:w="3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181,576</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358,633</w:t>
            </w:r>
          </w:p>
        </w:tc>
        <w:tc>
          <w:tcPr>
            <w:tcW w:w="140" w:type="dxa"/>
            <w:vAlign w:val="bottom"/>
          </w:tcPr>
          <w:p>
            <w:pPr>
              <w:spacing w:after="0"/>
              <w:rPr>
                <w:sz w:val="12"/>
                <w:szCs w:val="12"/>
                <w:color w:val="auto"/>
              </w:rPr>
            </w:pPr>
          </w:p>
        </w:tc>
        <w:tc>
          <w:tcPr>
            <w:tcW w:w="140" w:type="dxa"/>
            <w:vAlign w:val="bottom"/>
            <w:gridSpan w:val="2"/>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362,883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2,406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5,096</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3,845</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9,037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7,721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183,281</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186,441</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370,076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372,214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514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i w:val="1"/>
                <w:iCs w:val="1"/>
                <w:color w:val="auto"/>
              </w:rPr>
              <w:t>(excluding depreciation and amortization unless otherwise</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indicated)</w:t>
            </w: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communication services and other</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76,137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77,718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156,527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156,759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construction revenue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57,661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61,914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118,979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123,262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Transaction-related charges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Restructuring expenses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35,558</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69,897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72,621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intangibles from acquisitions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3,144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3,924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on disposition of assets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(15,930)</w:t>
            </w:r>
          </w:p>
        </w:tc>
        <w:tc>
          <w:tcPr>
            <w:tcW w:w="1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158,965</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184,001</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341,186</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369,140</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24,316</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2,440</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28,890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(12,337)</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(10,449)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(23,857)</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(19,256)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(578)</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w:t>
            </w: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2,411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Other (expense)</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(12,775)</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(8,188)</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(23,677)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(16,618)</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 BEFORE INCOME TAXES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11,541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(5,748)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5,213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(13,544)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(5,087)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1,822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(5,827)</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(LOSS)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11,337</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3,391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14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Net (income) loss attributable to noncontrolling interests, net of tax (benefit)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expense of $(0.4) million, $(0.7) million, $(0.1) million and $(1.2) million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(2,334)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514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NET INCOME (LOSS) ATTRIBUTABLE TO ATN INTERNATIONAL, INC.</w:t>
            </w:r>
          </w:p>
        </w:tc>
        <w:tc>
          <w:tcPr>
            <w:tcW w:w="26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9,003</w:t>
            </w:r>
          </w:p>
        </w:tc>
        <w:tc>
          <w:tcPr>
            <w:tcW w:w="320" w:type="dxa"/>
            <w:vAlign w:val="bottom"/>
            <w:gridSpan w:val="2"/>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w:t>
            </w:r>
          </w:p>
        </w:tc>
        <w:tc>
          <w:tcPr>
            <w:tcW w:w="140" w:type="dxa"/>
            <w:vAlign w:val="bottom"/>
            <w:shd w:val="clear" w:color="auto" w:fill="CCEEFF"/>
          </w:tcPr>
          <w:p>
            <w:pPr>
              <w:spacing w:after="0"/>
              <w:rPr>
                <w:sz w:val="9"/>
                <w:szCs w:val="9"/>
                <w:color w:val="auto"/>
              </w:rPr>
            </w:pPr>
          </w:p>
        </w:tc>
        <w:tc>
          <w:tcPr>
            <w:tcW w:w="140" w:type="dxa"/>
            <w:vAlign w:val="bottom"/>
            <w:gridSpan w:val="2"/>
            <w:vMerge w:val="restart"/>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w:t>
            </w: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1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26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320" w:type="dxa"/>
            <w:vAlign w:val="bottom"/>
            <w:gridSpan w:val="2"/>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680" w:type="dxa"/>
            <w:vAlign w:val="bottom"/>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gridSpan w:val="2"/>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INCOME (LOSS) PER WEIGHTED AVERAGE SHARE ATTRIBUTABLE</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5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 ATN INTERNATIONAL, INC. STOCKHOLDERS: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1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60" w:type="dxa"/>
            <w:vAlign w:val="bottom"/>
            <w:gridSpan w:val="2"/>
            <w:shd w:val="clear" w:color="auto" w:fill="CCEEFF"/>
          </w:tcPr>
          <w:p>
            <w:pPr>
              <w:jc w:val="right"/>
              <w:ind w:right="21"/>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3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(0.03)</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(0.48)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4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0.50</w:t>
            </w:r>
          </w:p>
        </w:tc>
        <w:tc>
          <w:tcPr>
            <w:tcW w:w="14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(0.00)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(0.48)</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1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15,254</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15,719</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15,346</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15,726</w:t>
            </w:r>
          </w:p>
        </w:tc>
        <w:tc>
          <w:tcPr>
            <w:tcW w:w="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14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1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15,255</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15,719</w:t>
            </w: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15,346</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15,726</w:t>
            </w:r>
          </w:p>
        </w:tc>
        <w:tc>
          <w:tcPr>
            <w:tcW w:w="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DIVIDENDS PER SHARE APPLICABLE TO COMMON STOCK</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1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0.24</w:t>
            </w:r>
          </w:p>
        </w:tc>
        <w:tc>
          <w:tcPr>
            <w:tcW w:w="140" w:type="dxa"/>
            <w:vAlign w:val="bottom"/>
            <w:vMerge w:val="continue"/>
          </w:tcPr>
          <w:p>
            <w:pPr>
              <w:spacing w:after="0"/>
              <w:rPr>
                <w:sz w:val="11"/>
                <w:szCs w:val="11"/>
                <w:color w:val="auto"/>
              </w:rPr>
            </w:pPr>
          </w:p>
        </w:tc>
        <w:tc>
          <w:tcPr>
            <w:tcW w:w="180" w:type="dxa"/>
            <w:vAlign w:val="bottom"/>
            <w:tcBorders>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0.21</w:t>
            </w:r>
          </w:p>
        </w:tc>
        <w:tc>
          <w:tcPr>
            <w:tcW w:w="120" w:type="dxa"/>
            <w:vAlign w:val="bottom"/>
            <w:vMerge w:val="continue"/>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0.48</w:t>
            </w:r>
          </w:p>
        </w:tc>
        <w:tc>
          <w:tcPr>
            <w:tcW w:w="14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0.42</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(7,717)</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8"/>
        </w:trPr>
        <w:tc>
          <w:tcPr>
            <w:tcW w:w="56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Foreign currency translation adjustment, net of tax expense of $0 and $0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million</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198"/>
        </w:trPr>
        <w:tc>
          <w:tcPr>
            <w:tcW w:w="56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Reclassification of loss on pension settlement, net of $(0.1) and $(0.1)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4"/>
        </w:trPr>
        <w:tc>
          <w:tcPr>
            <w:tcW w:w="5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million of tax</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198"/>
        </w:trPr>
        <w:tc>
          <w:tcPr>
            <w:tcW w:w="56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Unrealized gain on derivatives, net of tax expense of $(0.1) million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34"/>
        </w:trPr>
        <w:tc>
          <w:tcPr>
            <w:tcW w:w="5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$(0.6) million</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4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2,599</w:t>
            </w:r>
          </w:p>
        </w:tc>
      </w:tr>
      <w:tr>
        <w:trPr>
          <w:trHeight w:val="209"/>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ATN International, Inc.</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(4,694)</w:t>
            </w:r>
          </w:p>
        </w:tc>
      </w:tr>
      <w:tr>
        <w:trPr>
          <w:trHeight w:val="20"/>
        </w:trPr>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4"/>
          <w:szCs w:val="14"/>
          <w:b w:val="1"/>
          <w:bCs w:val="1"/>
          <w:color w:val="auto"/>
        </w:rPr>
        <w:t>ATN INTERNATIONAL, INC. AND SUBSIDIARIES</w:t>
      </w:r>
    </w:p>
    <w:p>
      <w:pPr>
        <w:spacing w:after="0" w:line="6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EQUITY</w:t>
      </w:r>
    </w:p>
    <w:p>
      <w:pPr>
        <w:spacing w:after="0" w:line="55"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4"/>
          <w:szCs w:val="14"/>
          <w:b w:val="1"/>
          <w:bCs w:val="1"/>
          <w:color w:val="auto"/>
        </w:rPr>
        <w:t>FOR THE THREE AND SIX MONTHS ENDED JUNE 30, 2024 AND 2023</w:t>
      </w:r>
    </w:p>
    <w:p>
      <w:pPr>
        <w:spacing w:after="0" w:line="5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ind w:right="251"/>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ATNI</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Non-</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Paid In</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March 31, 2024</w:t>
            </w:r>
          </w:p>
        </w:tc>
        <w:tc>
          <w:tcPr>
            <w:tcW w:w="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(92,463)$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207,551</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405,031</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9,700</w:t>
            </w:r>
          </w:p>
        </w:tc>
        <w:tc>
          <w:tcPr>
            <w:tcW w:w="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529,992</w:t>
            </w:r>
          </w:p>
        </w:tc>
        <w:tc>
          <w:tcPr>
            <w:tcW w:w="3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98,724</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628,716</w:t>
            </w:r>
          </w:p>
        </w:tc>
        <w:tc>
          <w:tcPr>
            <w:tcW w:w="0" w:type="dxa"/>
            <w:vAlign w:val="bottom"/>
          </w:tcPr>
          <w:p>
            <w:pPr>
              <w:spacing w:after="0"/>
              <w:rPr>
                <w:sz w:val="1"/>
                <w:szCs w:val="1"/>
                <w:color w:val="auto"/>
              </w:rPr>
            </w:pPr>
          </w:p>
        </w:tc>
      </w:tr>
      <w:tr>
        <w:trPr>
          <w:trHeight w:val="115"/>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Purchase of 420,959 shares of common stock</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(9,916)</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(9,916)</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2,393</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2,393</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388</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Dividends declared on common stock ($0.24 per common share)</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(3,626)</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(3,626)</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(2,115)</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(5,741)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Accrued dividend - redeemable preferred units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(1,376)</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(1,376)</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Deemed dividend - redeemable common units</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2,663</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Comprehensive income:</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Net income</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9,003</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9,003</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2,334</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11,337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0" w:type="dxa"/>
            <w:vAlign w:val="bottom"/>
          </w:tcPr>
          <w:p>
            <w:pPr>
              <w:spacing w:after="0"/>
              <w:rPr>
                <w:sz w:val="1"/>
                <w:szCs w:val="1"/>
                <w:color w:val="auto"/>
              </w:rPr>
            </w:pPr>
          </w:p>
        </w:tc>
      </w:tr>
      <w:tr>
        <w:trPr>
          <w:trHeight w:val="115"/>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Total comprehensive income</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9,003</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290</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9,293</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2,334</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11,627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June 30, 2024</w:t>
            </w:r>
          </w:p>
        </w:tc>
        <w:tc>
          <w:tcPr>
            <w:tcW w:w="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(102,379)$</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209,944</w:t>
            </w: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409,043</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9,990</w:t>
            </w:r>
          </w:p>
        </w:tc>
        <w:tc>
          <w:tcPr>
            <w:tcW w:w="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526,771</w:t>
            </w:r>
          </w:p>
        </w:tc>
        <w:tc>
          <w:tcPr>
            <w:tcW w:w="3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101,994</w:t>
            </w:r>
          </w:p>
        </w:tc>
        <w:tc>
          <w:tcPr>
            <w:tcW w:w="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628,765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March 31, 2023</w:t>
            </w:r>
          </w:p>
        </w:tc>
        <w:tc>
          <w:tcPr>
            <w:tcW w:w="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(76,665)$</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200,015</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437,030</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6,690</w:t>
            </w:r>
          </w:p>
        </w:tc>
        <w:tc>
          <w:tcPr>
            <w:tcW w:w="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567,243</w:t>
            </w:r>
          </w:p>
        </w:tc>
        <w:tc>
          <w:tcPr>
            <w:tcW w:w="3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97,283</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664,526</w:t>
            </w:r>
          </w:p>
        </w:tc>
        <w:tc>
          <w:tcPr>
            <w:tcW w:w="0" w:type="dxa"/>
            <w:vAlign w:val="bottom"/>
          </w:tcPr>
          <w:p>
            <w:pPr>
              <w:spacing w:after="0"/>
              <w:rPr>
                <w:sz w:val="1"/>
                <w:szCs w:val="1"/>
                <w:color w:val="auto"/>
              </w:rPr>
            </w:pPr>
          </w:p>
        </w:tc>
      </w:tr>
      <w:tr>
        <w:trPr>
          <w:trHeight w:val="115"/>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Purchase of 146,134 shares of common stock</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(5,421)</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(5,421)</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2,621</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2,621</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2,739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Dividends declared on common stock ($0.21 per common share)</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(3,273)</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(3,273)</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(1,448)</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Repurchase of noncontrolling interests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Accrued dividend - redeemable preferred units</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(1,260)</w:t>
            </w:r>
          </w:p>
        </w:tc>
        <w:tc>
          <w:tcPr>
            <w:tcW w:w="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(1,260)</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Deemed dividend - redeemable common units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(3,355)</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(3,355)</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3,350</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i w:val="1"/>
                <w:iCs w:val="1"/>
                <w:color w:val="auto"/>
              </w:rPr>
              <w:t>Comprehensive income:</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Net income (loss)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767</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767</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(1,428)</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bottom w:val="single" w:sz="8" w:color="CCEEFF"/>
              <w:righ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Other comprehensive loss</w:t>
            </w: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3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comprehensive income (loss)</w:t>
            </w:r>
          </w:p>
        </w:tc>
        <w:tc>
          <w:tcPr>
            <w:tcW w:w="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767</w:t>
            </w:r>
          </w:p>
        </w:tc>
        <w:tc>
          <w:tcPr>
            <w:tcW w:w="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711</w:t>
            </w: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(1,428)</w:t>
            </w:r>
          </w:p>
        </w:tc>
        <w:tc>
          <w:tcPr>
            <w:tcW w:w="14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(717)</w:t>
            </w:r>
          </w:p>
        </w:tc>
        <w:tc>
          <w:tcPr>
            <w:tcW w:w="0" w:type="dxa"/>
            <w:vAlign w:val="bottom"/>
          </w:tcPr>
          <w:p>
            <w:pPr>
              <w:spacing w:after="0"/>
              <w:rPr>
                <w:sz w:val="1"/>
                <w:szCs w:val="1"/>
                <w:color w:val="auto"/>
              </w:rPr>
            </w:pPr>
          </w:p>
        </w:tc>
      </w:tr>
      <w:tr>
        <w:trPr>
          <w:trHeight w:val="115"/>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Balance, June 30, 2023</w:t>
            </w:r>
          </w:p>
        </w:tc>
        <w:tc>
          <w:tcPr>
            <w:tcW w:w="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(82,086)$</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202,623</w:t>
            </w:r>
          </w:p>
        </w:tc>
        <w:tc>
          <w:tcPr>
            <w:tcW w:w="2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429,909</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6,634</w:t>
            </w:r>
          </w:p>
        </w:tc>
        <w:tc>
          <w:tcPr>
            <w:tcW w:w="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557,253</w:t>
            </w:r>
          </w:p>
        </w:tc>
        <w:tc>
          <w:tcPr>
            <w:tcW w:w="3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97,723</w:t>
            </w: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654,976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29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w w:val="95"/>
              </w:rPr>
              <w:t>Total Equity</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16"/>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ATNI</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Non-</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16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Paid In</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Stockholders’</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14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27"/>
        </w:trPr>
        <w:tc>
          <w:tcPr>
            <w:tcW w:w="2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60" w:type="dxa"/>
            <w:vAlign w:val="bottom"/>
          </w:tcPr>
          <w:p>
            <w:pPr>
              <w:spacing w:after="0"/>
              <w:rPr>
                <w:sz w:val="11"/>
                <w:szCs w:val="11"/>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4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20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40" w:type="dxa"/>
            <w:vAlign w:val="bottom"/>
          </w:tcPr>
          <w:p>
            <w:pPr>
              <w:spacing w:after="0"/>
              <w:rPr>
                <w:sz w:val="11"/>
                <w:szCs w:val="11"/>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115"/>
        </w:trPr>
        <w:tc>
          <w:tcPr>
            <w:tcW w:w="2940" w:type="dxa"/>
            <w:vAlign w:val="bottom"/>
            <w:tcBorders>
              <w:top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2023</w:t>
            </w:r>
          </w:p>
        </w:tc>
        <w:tc>
          <w:tcPr>
            <w:tcW w:w="1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(90,447)$</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205,797</w:t>
            </w:r>
          </w:p>
        </w:tc>
        <w:tc>
          <w:tcPr>
            <w:tcW w:w="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417,282</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8,268</w:t>
            </w: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541,073</w:t>
            </w:r>
          </w:p>
        </w:tc>
        <w:tc>
          <w:tcPr>
            <w:tcW w:w="1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96,730</w:t>
            </w:r>
          </w:p>
        </w:tc>
        <w:tc>
          <w:tcPr>
            <w:tcW w:w="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637,803</w:t>
            </w:r>
          </w:p>
        </w:tc>
        <w:tc>
          <w:tcPr>
            <w:tcW w:w="20" w:type="dxa"/>
            <w:vAlign w:val="bottom"/>
          </w:tcPr>
          <w:p>
            <w:pPr>
              <w:spacing w:after="0"/>
              <w:rPr>
                <w:sz w:val="10"/>
                <w:szCs w:val="10"/>
                <w:color w:val="auto"/>
              </w:rPr>
            </w:pPr>
          </w:p>
        </w:tc>
      </w:tr>
      <w:tr>
        <w:trPr>
          <w:trHeight w:val="115"/>
        </w:trPr>
        <w:tc>
          <w:tcPr>
            <w:tcW w:w="2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Purchase of 483,899 shares of common stock</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(11,932)</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(11,932)</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(11,932)</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4,147</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4,147</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543</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4,690</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Dividends declared on common stock ($0.48 per common share)</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(7,345)</w:t>
            </w: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(7,345)</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(2,156)</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(9,501)</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Accrued dividend - redeemable preferred units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(2,727)</w:t>
            </w: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(2,727)</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(2,727)</w:t>
            </w:r>
          </w:p>
        </w:tc>
        <w:tc>
          <w:tcPr>
            <w:tcW w:w="20" w:type="dxa"/>
            <w:vAlign w:val="bottom"/>
          </w:tcPr>
          <w:p>
            <w:pPr>
              <w:spacing w:after="0"/>
              <w:rPr>
                <w:sz w:val="10"/>
                <w:szCs w:val="10"/>
                <w:color w:val="auto"/>
              </w:rPr>
            </w:pPr>
          </w:p>
        </w:tc>
      </w:tr>
      <w:tr>
        <w:trPr>
          <w:trHeight w:val="121"/>
        </w:trPr>
        <w:tc>
          <w:tcPr>
            <w:tcW w:w="2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Deemed dividend - redeemable common units</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(857)</w:t>
            </w: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(857)</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6,176</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5,319</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i w:val="1"/>
                <w:iCs w:val="1"/>
                <w:color w:val="auto"/>
              </w:rPr>
              <w:t>Comprehensive income:</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0"/>
                <w:szCs w:val="10"/>
                <w:color w:val="auto"/>
              </w:rPr>
              <w:t>Net income</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2,690</w:t>
            </w: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2,690</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701</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3,391</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1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1,722</w:t>
            </w:r>
          </w:p>
        </w:tc>
        <w:tc>
          <w:tcPr>
            <w:tcW w:w="2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1,722</w:t>
            </w:r>
          </w:p>
        </w:tc>
        <w:tc>
          <w:tcPr>
            <w:tcW w:w="1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1,722</w:t>
            </w:r>
          </w:p>
        </w:tc>
        <w:tc>
          <w:tcPr>
            <w:tcW w:w="20" w:type="dxa"/>
            <w:vAlign w:val="bottom"/>
          </w:tcPr>
          <w:p>
            <w:pPr>
              <w:spacing w:after="0"/>
              <w:rPr>
                <w:sz w:val="10"/>
                <w:szCs w:val="10"/>
                <w:color w:val="auto"/>
              </w:rPr>
            </w:pPr>
          </w:p>
        </w:tc>
      </w:tr>
      <w:tr>
        <w:trPr>
          <w:trHeight w:val="115"/>
        </w:trPr>
        <w:tc>
          <w:tcPr>
            <w:tcW w:w="2940" w:type="dxa"/>
            <w:vAlign w:val="bottom"/>
            <w:tcBorders>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Total comprehensive income</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2,690</w:t>
            </w: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1,722</w:t>
            </w: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4,412</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701</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5,113</w:t>
            </w:r>
          </w:p>
        </w:tc>
        <w:tc>
          <w:tcPr>
            <w:tcW w:w="20" w:type="dxa"/>
            <w:vAlign w:val="bottom"/>
          </w:tcPr>
          <w:p>
            <w:pPr>
              <w:spacing w:after="0"/>
              <w:rPr>
                <w:sz w:val="10"/>
                <w:szCs w:val="10"/>
                <w:color w:val="auto"/>
              </w:rPr>
            </w:pPr>
          </w:p>
        </w:tc>
      </w:tr>
      <w:tr>
        <w:trPr>
          <w:trHeight w:val="115"/>
        </w:trPr>
        <w:tc>
          <w:tcPr>
            <w:tcW w:w="294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June 30, 2024</w:t>
            </w: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(102,379)$</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209,944</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409,043</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9,990</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526,771</w:t>
            </w: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101,994</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628,765</w:t>
            </w:r>
          </w:p>
        </w:tc>
        <w:tc>
          <w:tcPr>
            <w:tcW w:w="20" w:type="dxa"/>
            <w:vAlign w:val="bottom"/>
          </w:tcPr>
          <w:p>
            <w:pPr>
              <w:spacing w:after="0"/>
              <w:rPr>
                <w:sz w:val="10"/>
                <w:szCs w:val="10"/>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29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22"/>
        </w:trPr>
        <w:tc>
          <w:tcPr>
            <w:tcW w:w="29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December 31, 2022</w:t>
            </w:r>
          </w:p>
        </w:tc>
        <w:tc>
          <w:tcPr>
            <w:tcW w:w="1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(73,825)$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198,449</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449,806</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6,210</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580,813</w:t>
            </w:r>
          </w:p>
        </w:tc>
        <w:tc>
          <w:tcPr>
            <w:tcW w:w="16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96,016</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676,829</w:t>
            </w:r>
          </w:p>
        </w:tc>
        <w:tc>
          <w:tcPr>
            <w:tcW w:w="20" w:type="dxa"/>
            <w:vAlign w:val="bottom"/>
          </w:tcPr>
          <w:p>
            <w:pPr>
              <w:spacing w:after="0"/>
              <w:rPr>
                <w:sz w:val="10"/>
                <w:szCs w:val="10"/>
                <w:color w:val="auto"/>
              </w:rPr>
            </w:pPr>
          </w:p>
        </w:tc>
      </w:tr>
      <w:tr>
        <w:trPr>
          <w:trHeight w:val="115"/>
        </w:trPr>
        <w:tc>
          <w:tcPr>
            <w:tcW w:w="2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Purchase of 217,697 shares of common stock</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6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(8,261)</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(8,261)</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(8,261)</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Stock-based compensation</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4,255</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4,255</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4,517</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Dividends declared on common stock ($0.42 per common share)</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(6,588)</w:t>
            </w: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(6,588)</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(1,447)</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(8,035)</w:t>
            </w:r>
          </w:p>
        </w:tc>
        <w:tc>
          <w:tcPr>
            <w:tcW w:w="20" w:type="dxa"/>
            <w:vAlign w:val="bottom"/>
          </w:tcPr>
          <w:p>
            <w:pPr>
              <w:spacing w:after="0"/>
              <w:rPr>
                <w:sz w:val="10"/>
                <w:szCs w:val="10"/>
                <w:color w:val="auto"/>
              </w:rPr>
            </w:pPr>
          </w:p>
        </w:tc>
      </w:tr>
      <w:tr>
        <w:trPr>
          <w:trHeight w:val="121"/>
        </w:trPr>
        <w:tc>
          <w:tcPr>
            <w:tcW w:w="29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Repurchase of noncontrolling interests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(679)</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(760)</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Accrued dividend - redeemable preferred units</w:t>
            </w:r>
          </w:p>
        </w:tc>
        <w:tc>
          <w:tcPr>
            <w:tcW w:w="12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66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(2,306)</w:t>
            </w:r>
          </w:p>
        </w:tc>
        <w:tc>
          <w:tcPr>
            <w:tcW w:w="6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(2,306)</w:t>
            </w:r>
          </w:p>
        </w:tc>
        <w:tc>
          <w:tcPr>
            <w:tcW w:w="16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(2,306)</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Deemed dividend - redeemable common units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(5,885)</w:t>
            </w: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(5,885)</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6,170</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285</w:t>
            </w:r>
          </w:p>
        </w:tc>
        <w:tc>
          <w:tcPr>
            <w:tcW w:w="20" w:type="dxa"/>
            <w:vAlign w:val="bottom"/>
          </w:tcPr>
          <w:p>
            <w:pPr>
              <w:spacing w:after="0"/>
              <w:rPr>
                <w:sz w:val="10"/>
                <w:szCs w:val="10"/>
                <w:color w:val="auto"/>
              </w:rPr>
            </w:pPr>
          </w:p>
        </w:tc>
      </w:tr>
      <w:tr>
        <w:trPr>
          <w:trHeight w:val="122"/>
        </w:trPr>
        <w:tc>
          <w:tcPr>
            <w:tcW w:w="2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Comprehensive income:</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1"/>
        </w:trPr>
        <w:tc>
          <w:tcPr>
            <w:tcW w:w="294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Net loss</w:t>
            </w: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(5,118)</w:t>
            </w:r>
          </w:p>
        </w:tc>
        <w:tc>
          <w:tcPr>
            <w:tcW w:w="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(5,118)</w:t>
            </w: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(2,599)</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(7,717)</w:t>
            </w:r>
          </w:p>
        </w:tc>
        <w:tc>
          <w:tcPr>
            <w:tcW w:w="20" w:type="dxa"/>
            <w:vAlign w:val="bottom"/>
          </w:tcPr>
          <w:p>
            <w:pPr>
              <w:spacing w:after="0"/>
              <w:rPr>
                <w:sz w:val="10"/>
                <w:szCs w:val="10"/>
                <w:color w:val="auto"/>
              </w:rPr>
            </w:pPr>
          </w:p>
        </w:tc>
      </w:tr>
      <w:tr>
        <w:trPr>
          <w:trHeight w:val="122"/>
        </w:trPr>
        <w:tc>
          <w:tcPr>
            <w:tcW w:w="2940" w:type="dxa"/>
            <w:vAlign w:val="bottom"/>
            <w:tcBorders>
              <w:bottom w:val="single" w:sz="8" w:color="CCEEFF"/>
              <w:right w:val="single" w:sz="8" w:color="auto"/>
            </w:tcBorders>
          </w:tcPr>
          <w:p>
            <w:pPr>
              <w:ind w:left="22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20" w:type="dxa"/>
            <w:vAlign w:val="bottom"/>
          </w:tcPr>
          <w:p>
            <w:pPr>
              <w:spacing w:after="0"/>
              <w:rPr>
                <w:sz w:val="10"/>
                <w:szCs w:val="10"/>
                <w:color w:val="auto"/>
              </w:rPr>
            </w:pPr>
          </w:p>
        </w:tc>
      </w:tr>
      <w:tr>
        <w:trPr>
          <w:trHeight w:val="115"/>
        </w:trPr>
        <w:tc>
          <w:tcPr>
            <w:tcW w:w="294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Total comprehensive income (loss)</w:t>
            </w:r>
          </w:p>
        </w:tc>
        <w:tc>
          <w:tcPr>
            <w:tcW w:w="120" w:type="dxa"/>
            <w:vAlign w:val="bottom"/>
            <w:tcBorders>
              <w:bottom w:val="single" w:sz="8" w:color="auto"/>
            </w:tcBorders>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(5,118)</w:t>
            </w:r>
          </w:p>
        </w:tc>
        <w:tc>
          <w:tcPr>
            <w:tcW w:w="6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424</w:t>
            </w:r>
          </w:p>
        </w:tc>
        <w:tc>
          <w:tcPr>
            <w:tcW w:w="20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(4,694)</w:t>
            </w:r>
          </w:p>
        </w:tc>
        <w:tc>
          <w:tcPr>
            <w:tcW w:w="1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(2,599)</w:t>
            </w:r>
          </w:p>
        </w:tc>
        <w:tc>
          <w:tcPr>
            <w:tcW w:w="14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(7,293)</w:t>
            </w:r>
          </w:p>
        </w:tc>
        <w:tc>
          <w:tcPr>
            <w:tcW w:w="20" w:type="dxa"/>
            <w:vAlign w:val="bottom"/>
          </w:tcPr>
          <w:p>
            <w:pPr>
              <w:spacing w:after="0"/>
              <w:rPr>
                <w:sz w:val="10"/>
                <w:szCs w:val="10"/>
                <w:color w:val="auto"/>
              </w:rPr>
            </w:pPr>
          </w:p>
        </w:tc>
      </w:tr>
      <w:tr>
        <w:trPr>
          <w:trHeight w:val="115"/>
        </w:trPr>
        <w:tc>
          <w:tcPr>
            <w:tcW w:w="2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Balance, June 30, 2023</w:t>
            </w:r>
          </w:p>
        </w:tc>
        <w:tc>
          <w:tcPr>
            <w:tcW w:w="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1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(82,086)$</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202,623</w:t>
            </w: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429,909</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6,634</w:t>
            </w:r>
          </w:p>
        </w:tc>
        <w:tc>
          <w:tcPr>
            <w:tcW w:w="2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557,253</w:t>
            </w:r>
          </w:p>
        </w:tc>
        <w:tc>
          <w:tcPr>
            <w:tcW w:w="1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97,723</w:t>
            </w:r>
          </w:p>
        </w:tc>
        <w:tc>
          <w:tcPr>
            <w:tcW w:w="1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654,976</w:t>
            </w:r>
          </w:p>
        </w:tc>
        <w:tc>
          <w:tcPr>
            <w:tcW w:w="20" w:type="dxa"/>
            <w:vAlign w:val="bottom"/>
          </w:tcPr>
          <w:p>
            <w:pPr>
              <w:spacing w:after="0"/>
              <w:rPr>
                <w:sz w:val="10"/>
                <w:szCs w:val="10"/>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56" w:lineRule="auto"/>
        <w:rPr>
          <w:sz w:val="20"/>
          <w:szCs w:val="20"/>
          <w:color w:val="auto"/>
        </w:rPr>
      </w:pPr>
      <w:r>
        <w:rPr>
          <w:rFonts w:ascii="Times New Roman" w:cs="Times New Roman" w:eastAsia="Times New Roman" w:hAnsi="Times New Roman"/>
          <w:sz w:val="18"/>
          <w:szCs w:val="18"/>
          <w:b w:val="1"/>
          <w:bCs w:val="1"/>
          <w:color w:val="auto"/>
        </w:rPr>
        <w:t>ATN INTERNATIONAL, INC. AND SUBSIDIARIES CONDENSED CONSOLIDATED STATEMENTS OF CASH FLOWS FOR THE SIX MONTHS ENDED JUNE 30, 2024 AND 2023</w:t>
      </w:r>
    </w:p>
    <w:p>
      <w:pPr>
        <w:jc w:val="center"/>
        <w:spacing w:after="0" w:line="223"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5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4"/>
          </w:tcPr>
          <w:p>
            <w:pPr>
              <w:jc w:val="right"/>
              <w:ind w:right="362"/>
              <w:spacing w:after="0"/>
              <w:rPr>
                <w:sz w:val="20"/>
                <w:szCs w:val="20"/>
                <w:color w:val="auto"/>
              </w:rPr>
            </w:pPr>
            <w:r>
              <w:rPr>
                <w:rFonts w:ascii="Times New Roman" w:cs="Times New Roman" w:eastAsia="Times New Roman" w:hAnsi="Times New Roman"/>
                <w:sz w:val="11"/>
                <w:szCs w:val="11"/>
                <w:b w:val="1"/>
                <w:bCs w:val="1"/>
                <w:color w:val="auto"/>
              </w:rPr>
              <w:t>Six Months Ended June 30,</w:t>
            </w:r>
          </w:p>
        </w:tc>
        <w:tc>
          <w:tcPr>
            <w:tcW w:w="0" w:type="dxa"/>
            <w:vAlign w:val="bottom"/>
          </w:tcPr>
          <w:p>
            <w:pPr>
              <w:spacing w:after="0"/>
              <w:rPr>
                <w:sz w:val="1"/>
                <w:szCs w:val="1"/>
                <w:color w:val="auto"/>
              </w:rPr>
            </w:pPr>
          </w:p>
        </w:tc>
      </w:tr>
      <w:tr>
        <w:trPr>
          <w:trHeight w:val="115"/>
        </w:trPr>
        <w:tc>
          <w:tcPr>
            <w:tcW w:w="5900" w:type="dxa"/>
            <w:vAlign w:val="bottom"/>
            <w:tcBorders>
              <w:bottom w:val="single" w:sz="8" w:color="CCEEFF"/>
            </w:tcBorders>
          </w:tcPr>
          <w:p>
            <w:pPr>
              <w:spacing w:after="0"/>
              <w:rPr>
                <w:sz w:val="10"/>
                <w:szCs w:val="10"/>
                <w:color w:val="auto"/>
              </w:rPr>
            </w:pPr>
          </w:p>
        </w:tc>
        <w:tc>
          <w:tcPr>
            <w:tcW w:w="9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22"/>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42"/>
              <w:spacing w:after="0" w:line="115" w:lineRule="exact"/>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28"/>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Net income (loss)</w:t>
            </w:r>
          </w:p>
        </w:tc>
        <w:tc>
          <w:tcPr>
            <w:tcW w:w="110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3,391</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(7,717)</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Adjustments to reconcile net loss to net cash flows provided by operating activities: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69,897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72,621</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3,924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6,391</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Provision for doubtful accounts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2,855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2,463</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debt discount and debt issuance costs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1,249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1,162</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loss on disposition of assets and contingent consideration</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(16,422)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278</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Stock-based compensation</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4,690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4,517</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Deferred income taxes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(2,550)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(6,616)</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Loss on pension settlement</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369</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on investments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(218)</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(2,501)</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Changes in operating assets and liabilities, excluding the effects of acquisitions and dispositions: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receivable and replace and remove program receivable</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(8,751)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1,311</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Customer receivable</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1,418</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1,186</w:t>
            </w: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Prepaid income taxes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739</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Accrued taxes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2,563</w:t>
            </w: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Materials and supplies, prepayments, and other current assets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2,208</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payable and accrued liabilities, advance payments and deposits and other current liabilities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(1,110)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(6,860)</w:t>
            </w: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727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(4,552)</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9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(3,171)</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(5,245)</w:t>
            </w:r>
          </w:p>
        </w:tc>
        <w:tc>
          <w:tcPr>
            <w:tcW w:w="0" w:type="dxa"/>
            <w:vAlign w:val="bottom"/>
          </w:tcPr>
          <w:p>
            <w:pPr>
              <w:spacing w:after="0"/>
              <w:rPr>
                <w:sz w:val="1"/>
                <w:szCs w:val="1"/>
                <w:color w:val="auto"/>
              </w:rPr>
            </w:pPr>
          </w:p>
        </w:tc>
      </w:tr>
      <w:tr>
        <w:trPr>
          <w:trHeight w:val="128"/>
        </w:trPr>
        <w:tc>
          <w:tcPr>
            <w:tcW w:w="5900" w:type="dxa"/>
            <w:vAlign w:val="bottom"/>
            <w:tcBorders>
              <w:bottom w:val="single" w:sz="8" w:color="CCEEFF"/>
            </w:tcBorders>
          </w:tcPr>
          <w:p>
            <w:pPr>
              <w:ind w:left="320"/>
              <w:spacing w:after="0" w:line="129"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9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58,410</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60,329</w:t>
            </w:r>
          </w:p>
        </w:tc>
        <w:tc>
          <w:tcPr>
            <w:tcW w:w="0" w:type="dxa"/>
            <w:vAlign w:val="bottom"/>
          </w:tcPr>
          <w:p>
            <w:pPr>
              <w:spacing w:after="0"/>
              <w:rPr>
                <w:sz w:val="1"/>
                <w:szCs w:val="1"/>
                <w:color w:val="auto"/>
              </w:rPr>
            </w:pPr>
          </w:p>
        </w:tc>
      </w:tr>
      <w:tr>
        <w:trPr>
          <w:trHeight w:val="129"/>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Capital expenditures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(61,830)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(89,451)</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Government capital programs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disbursed</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(46,198)</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(6,986)</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received</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43,686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593</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strategic investments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(1,055)</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Acquisition of business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1,314</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intangible assets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(573)</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investments - employee benefit plan</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(39)</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investments - employee benefit plan</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sale of assets</w:t>
            </w:r>
          </w:p>
        </w:tc>
        <w:tc>
          <w:tcPr>
            <w:tcW w:w="9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17,910</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8"/>
        </w:trPr>
        <w:tc>
          <w:tcPr>
            <w:tcW w:w="590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9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(46,843)</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(95,585)</w:t>
            </w:r>
          </w:p>
        </w:tc>
        <w:tc>
          <w:tcPr>
            <w:tcW w:w="0" w:type="dxa"/>
            <w:vAlign w:val="bottom"/>
          </w:tcPr>
          <w:p>
            <w:pPr>
              <w:spacing w:after="0"/>
              <w:rPr>
                <w:sz w:val="1"/>
                <w:szCs w:val="1"/>
                <w:color w:val="auto"/>
              </w:rPr>
            </w:pPr>
          </w:p>
        </w:tc>
      </w:tr>
      <w:tr>
        <w:trPr>
          <w:trHeight w:val="129"/>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paid on common stock</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(7,421)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(6,633)</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Distributions to noncontrolling interests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(2,116)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(1,447)</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Payment of debt issuance costs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(974)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(159)</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Finance lease payments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(915)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(481)</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Term loan - repayments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(12,112)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(2,335)</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borrowings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75,000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88,273</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repayments</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(40,002)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(26,500)</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customer receivable credit facility</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3,700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4,300</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Repayment of customer receivable credit facility</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(3,709)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(3,247)</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stock- based compensation</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(1,932)</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(1,433)</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share repurchase plan</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(10,000)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(6,828)</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Repurchases of noncontrolling interests</w:t>
            </w:r>
          </w:p>
        </w:tc>
        <w:tc>
          <w:tcPr>
            <w:tcW w:w="9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(760)</w:t>
            </w:r>
          </w:p>
        </w:tc>
        <w:tc>
          <w:tcPr>
            <w:tcW w:w="0" w:type="dxa"/>
            <w:vAlign w:val="bottom"/>
          </w:tcPr>
          <w:p>
            <w:pPr>
              <w:spacing w:after="0"/>
              <w:rPr>
                <w:sz w:val="1"/>
                <w:szCs w:val="1"/>
                <w:color w:val="auto"/>
              </w:rPr>
            </w:pPr>
          </w:p>
        </w:tc>
      </w:tr>
      <w:tr>
        <w:trPr>
          <w:trHeight w:val="129"/>
        </w:trPr>
        <w:tc>
          <w:tcPr>
            <w:tcW w:w="590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9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(481)</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42,750</w:t>
            </w:r>
          </w:p>
        </w:tc>
        <w:tc>
          <w:tcPr>
            <w:tcW w:w="0" w:type="dxa"/>
            <w:vAlign w:val="bottom"/>
          </w:tcPr>
          <w:p>
            <w:pPr>
              <w:spacing w:after="0"/>
              <w:rPr>
                <w:sz w:val="1"/>
                <w:szCs w:val="1"/>
                <w:color w:val="auto"/>
              </w:rPr>
            </w:pPr>
          </w:p>
        </w:tc>
      </w:tr>
      <w:tr>
        <w:trPr>
          <w:trHeight w:val="128"/>
        </w:trPr>
        <w:tc>
          <w:tcPr>
            <w:tcW w:w="590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11,086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7,494</w:t>
            </w:r>
          </w:p>
        </w:tc>
        <w:tc>
          <w:tcPr>
            <w:tcW w:w="0" w:type="dxa"/>
            <w:vAlign w:val="bottom"/>
          </w:tcPr>
          <w:p>
            <w:pPr>
              <w:spacing w:after="0"/>
              <w:rPr>
                <w:sz w:val="1"/>
                <w:szCs w:val="1"/>
                <w:color w:val="auto"/>
              </w:rPr>
            </w:pPr>
          </w:p>
        </w:tc>
      </w:tr>
      <w:tr>
        <w:trPr>
          <w:trHeight w:val="135"/>
        </w:trPr>
        <w:tc>
          <w:tcPr>
            <w:tcW w:w="59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cash, cash equivalents, and restricted cash, beginning of period</w:t>
            </w:r>
          </w:p>
        </w:tc>
        <w:tc>
          <w:tcPr>
            <w:tcW w:w="9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62,167</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59,728</w:t>
            </w:r>
          </w:p>
        </w:tc>
        <w:tc>
          <w:tcPr>
            <w:tcW w:w="0" w:type="dxa"/>
            <w:vAlign w:val="bottom"/>
          </w:tcPr>
          <w:p>
            <w:pPr>
              <w:spacing w:after="0"/>
              <w:rPr>
                <w:sz w:val="1"/>
                <w:szCs w:val="1"/>
                <w:color w:val="auto"/>
              </w:rPr>
            </w:pPr>
          </w:p>
        </w:tc>
      </w:tr>
      <w:tr>
        <w:trPr>
          <w:trHeight w:val="128"/>
        </w:trPr>
        <w:tc>
          <w:tcPr>
            <w:tcW w:w="590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Total cash, cash equivalents, and restricted cash, end of period</w:t>
            </w:r>
          </w:p>
        </w:tc>
        <w:tc>
          <w:tcPr>
            <w:tcW w:w="9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73,253</w:t>
            </w:r>
          </w:p>
        </w:tc>
        <w:tc>
          <w:tcPr>
            <w:tcW w:w="1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67,222</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59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5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Interest paid</w:t>
            </w:r>
          </w:p>
        </w:tc>
        <w:tc>
          <w:tcPr>
            <w:tcW w:w="11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22,589</w:t>
            </w:r>
          </w:p>
        </w:tc>
        <w:tc>
          <w:tcPr>
            <w:tcW w:w="3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18,299</w:t>
            </w:r>
          </w:p>
        </w:tc>
        <w:tc>
          <w:tcPr>
            <w:tcW w:w="0" w:type="dxa"/>
            <w:vAlign w:val="bottom"/>
          </w:tcPr>
          <w:p>
            <w:pPr>
              <w:spacing w:after="0"/>
              <w:rPr>
                <w:sz w:val="1"/>
                <w:szCs w:val="1"/>
                <w:color w:val="auto"/>
              </w:rPr>
            </w:pPr>
          </w:p>
        </w:tc>
      </w:tr>
      <w:tr>
        <w:trPr>
          <w:trHeight w:val="135"/>
        </w:trPr>
        <w:tc>
          <w:tcPr>
            <w:tcW w:w="590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Taxes paid</w:t>
            </w:r>
          </w:p>
        </w:tc>
        <w:tc>
          <w:tcPr>
            <w:tcW w:w="110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4,615</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2,203</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declared, not paid</w:t>
            </w:r>
          </w:p>
        </w:tc>
        <w:tc>
          <w:tcPr>
            <w:tcW w:w="110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3,626</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3,273</w:t>
            </w:r>
          </w:p>
        </w:tc>
        <w:tc>
          <w:tcPr>
            <w:tcW w:w="0" w:type="dxa"/>
            <w:vAlign w:val="bottom"/>
          </w:tcPr>
          <w:p>
            <w:pPr>
              <w:spacing w:after="0"/>
              <w:rPr>
                <w:sz w:val="1"/>
                <w:szCs w:val="1"/>
                <w:color w:val="auto"/>
              </w:rPr>
            </w:pPr>
          </w:p>
        </w:tc>
      </w:tr>
      <w:tr>
        <w:trPr>
          <w:trHeight w:val="135"/>
        </w:trPr>
        <w:tc>
          <w:tcPr>
            <w:tcW w:w="5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Noncash investing activity:</w:t>
            </w: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property, plant and equipment included in accounts payable and accrued expenses</w:t>
            </w: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900" w:type="dxa"/>
            <w:vAlign w:val="bottom"/>
          </w:tcPr>
          <w:p>
            <w:pPr>
              <w:ind w:left="480"/>
              <w:spacing w:after="0" w:line="135" w:lineRule="exact"/>
              <w:rPr>
                <w:sz w:val="20"/>
                <w:szCs w:val="20"/>
                <w:color w:val="auto"/>
              </w:rPr>
            </w:pPr>
            <w:r>
              <w:rPr>
                <w:rFonts w:ascii="Times New Roman" w:cs="Times New Roman" w:eastAsia="Times New Roman" w:hAnsi="Times New Roman"/>
                <w:sz w:val="12"/>
                <w:szCs w:val="12"/>
                <w:color w:val="auto"/>
              </w:rPr>
              <w:t>Amounts accrued for reimbursable capital expenditures from government capital programs</w:t>
            </w:r>
          </w:p>
        </w:tc>
        <w:tc>
          <w:tcPr>
            <w:tcW w:w="110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27,418</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11,296</w:t>
            </w:r>
          </w:p>
        </w:tc>
        <w:tc>
          <w:tcPr>
            <w:tcW w:w="0" w:type="dxa"/>
            <w:vAlign w:val="bottom"/>
          </w:tcPr>
          <w:p>
            <w:pPr>
              <w:spacing w:after="0"/>
              <w:rPr>
                <w:sz w:val="1"/>
                <w:szCs w:val="1"/>
                <w:color w:val="auto"/>
              </w:rPr>
            </w:pPr>
          </w:p>
        </w:tc>
      </w:tr>
      <w:tr>
        <w:trPr>
          <w:trHeight w:val="135"/>
        </w:trPr>
        <w:tc>
          <w:tcPr>
            <w:tcW w:w="5900" w:type="dxa"/>
            <w:vAlign w:val="bottom"/>
            <w:shd w:val="clear" w:color="auto" w:fill="CCEEFF"/>
          </w:tcPr>
          <w:p>
            <w:pPr>
              <w:ind w:left="480"/>
              <w:spacing w:after="0" w:line="135" w:lineRule="exact"/>
              <w:rPr>
                <w:sz w:val="20"/>
                <w:szCs w:val="20"/>
                <w:color w:val="auto"/>
              </w:rPr>
            </w:pPr>
            <w:r>
              <w:rPr>
                <w:rFonts w:ascii="Times New Roman" w:cs="Times New Roman" w:eastAsia="Times New Roman" w:hAnsi="Times New Roman"/>
                <w:sz w:val="12"/>
                <w:szCs w:val="12"/>
                <w:color w:val="auto"/>
              </w:rPr>
              <w:t>Amounts accrued for non-reimbursable capital expenditures</w:t>
            </w:r>
          </w:p>
        </w:tc>
        <w:tc>
          <w:tcPr>
            <w:tcW w:w="110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12,928</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20,433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BUSINESS OPERATIONS</w:t>
      </w:r>
    </w:p>
    <w:p>
      <w:pPr>
        <w:spacing w:after="0" w:line="270" w:lineRule="exact"/>
        <w:rPr>
          <w:sz w:val="20"/>
          <w:szCs w:val="20"/>
          <w:color w:val="auto"/>
        </w:rPr>
      </w:pPr>
    </w:p>
    <w:p>
      <w:pPr>
        <w:ind w:left="80" w:right="159" w:firstLine="476"/>
        <w:spacing w:after="0" w:line="282" w:lineRule="auto"/>
        <w:rPr>
          <w:sz w:val="20"/>
          <w:szCs w:val="20"/>
          <w:color w:val="auto"/>
        </w:rPr>
      </w:pPr>
      <w:r>
        <w:rPr>
          <w:rFonts w:ascii="Times New Roman" w:cs="Times New Roman" w:eastAsia="Times New Roman" w:hAnsi="Times New Roman"/>
          <w:sz w:val="18"/>
          <w:szCs w:val="18"/>
          <w:color w:val="auto"/>
        </w:rPr>
        <w:t>The Company is a leading provider of digital infrastructure and communications services with a focus on rural and remote markets in the United States, and internationally, including Bermuda and the Caribbean region.</w:t>
      </w:r>
    </w:p>
    <w:p>
      <w:pPr>
        <w:spacing w:after="0" w:line="189" w:lineRule="exact"/>
        <w:rPr>
          <w:sz w:val="20"/>
          <w:szCs w:val="20"/>
          <w:color w:val="auto"/>
        </w:rPr>
      </w:pPr>
    </w:p>
    <w:p>
      <w:pPr>
        <w:jc w:val="both"/>
        <w:ind w:left="80" w:right="299" w:firstLine="476"/>
        <w:spacing w:after="0" w:line="253" w:lineRule="auto"/>
        <w:rPr>
          <w:sz w:val="20"/>
          <w:szCs w:val="20"/>
          <w:color w:val="auto"/>
        </w:rPr>
      </w:pPr>
      <w:r>
        <w:rPr>
          <w:rFonts w:ascii="Times New Roman" w:cs="Times New Roman" w:eastAsia="Times New Roman" w:hAnsi="Times New Roman"/>
          <w:sz w:val="18"/>
          <w:szCs w:val="18"/>
          <w:color w:val="auto"/>
        </w:rPr>
        <w:t>The Company has developed significant operational expertise and resources that it uses to augment its capabilities in its local markets. With this support, the Company’s operating subsidiaries are able to improve their quality of service with greater economies of scale and expertise than would typically be available in the size markets they operate in. The Company provides management, technical, financial, regulatory, and marketing services to its operating subsidiaries and typically receives a management fee calculated as a percentage of their revenues, which is eliminated in consolidation. The Company also actively evaluates investment opportunities and other strategic transactions, both domestic and international, and generally looks for those that it believes fit the Company’s profile of telecommunications businesses and have the potential to complement the Company’s “First-to-Fiber” and “Glass &amp; Steel™” approach in markets while keeping a focus on generating excess operating cash flows over extended periods of time. The Company uses the cash generated from its operations to maintain an appropriate ratio of debt and cash on hand and to fund growth and capital expenditures, to return cash to its stockholders through dividends or stock repurchases, and make strategic investments or acquisitions.</w:t>
      </w:r>
    </w:p>
    <w:p>
      <w:pPr>
        <w:spacing w:after="0" w:line="230"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the Company’s financial segments and geographical information about its operating revenues and assets, see Notes 1 and 12 to the Consolidated Financial Statements included in this Report.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2024, the Company offered the following types of services to its customers:</w:t>
      </w:r>
    </w:p>
    <w:p>
      <w:pPr>
        <w:spacing w:after="0" w:line="221" w:lineRule="exact"/>
        <w:rPr>
          <w:sz w:val="20"/>
          <w:szCs w:val="20"/>
          <w:color w:val="auto"/>
        </w:rPr>
      </w:pPr>
    </w:p>
    <w:p>
      <w:pPr>
        <w:ind w:left="1220" w:right="179" w:hanging="319"/>
        <w:spacing w:after="0" w:line="286"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Telecommunications Services</w:t>
      </w:r>
      <w:r>
        <w:rPr>
          <w:rFonts w:ascii="Times New Roman" w:cs="Times New Roman" w:eastAsia="Times New Roman" w:hAnsi="Times New Roman"/>
          <w:sz w:val="18"/>
          <w:szCs w:val="18"/>
          <w:color w:val="auto"/>
        </w:rPr>
        <w:t>. The Company offers mobile communications services over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wireless networks and related equipment, such as handsets, to both business and consumer customers.</w:t>
      </w:r>
    </w:p>
    <w:p>
      <w:pPr>
        <w:spacing w:after="0" w:line="154" w:lineRule="exact"/>
        <w:rPr>
          <w:rFonts w:ascii="Times New Roman" w:cs="Times New Roman" w:eastAsia="Times New Roman" w:hAnsi="Times New Roman"/>
          <w:sz w:val="18"/>
          <w:szCs w:val="18"/>
          <w:color w:val="auto"/>
        </w:rPr>
      </w:pPr>
    </w:p>
    <w:p>
      <w:pPr>
        <w:jc w:val="both"/>
        <w:ind w:left="1220" w:right="179" w:hanging="319"/>
        <w:spacing w:after="0" w:line="259"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The Company provides fixed data and voice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related equipment, such as modems, to business and consumer customers. These services include consumer broadband and high-speed data solutions for businesses. For some markets, fixed services also include video services and revenue derived from support under certain government programs.</w:t>
      </w:r>
    </w:p>
    <w:p>
      <w:pPr>
        <w:spacing w:after="0" w:line="179" w:lineRule="exact"/>
        <w:rPr>
          <w:rFonts w:ascii="Times New Roman" w:cs="Times New Roman" w:eastAsia="Times New Roman" w:hAnsi="Times New Roman"/>
          <w:sz w:val="18"/>
          <w:szCs w:val="18"/>
          <w:color w:val="auto"/>
        </w:rPr>
      </w:pPr>
    </w:p>
    <w:p>
      <w:pPr>
        <w:jc w:val="both"/>
        <w:ind w:left="1220" w:right="179" w:hanging="319"/>
        <w:spacing w:after="0" w:line="262"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The Company delivers services to other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including the leasing of critical network infrastructure such as tower and transport facilities, wholesale roaming and long distance voice services, site maintenance and international long-distance services.</w:t>
      </w:r>
    </w:p>
    <w:p>
      <w:pPr>
        <w:spacing w:after="0" w:line="176" w:lineRule="exact"/>
        <w:rPr>
          <w:rFonts w:ascii="Times New Roman" w:cs="Times New Roman" w:eastAsia="Times New Roman" w:hAnsi="Times New Roman"/>
          <w:sz w:val="18"/>
          <w:szCs w:val="18"/>
          <w:color w:val="auto"/>
        </w:rPr>
      </w:pPr>
    </w:p>
    <w:p>
      <w:pPr>
        <w:ind w:left="1220" w:right="159" w:hanging="319"/>
        <w:spacing w:after="0" w:line="268" w:lineRule="auto"/>
        <w:tabs>
          <w:tab w:leader="none" w:pos="1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The Company provides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its business and consumer customers to complement its fixed services in its existing markets.</w:t>
      </w:r>
    </w:p>
    <w:p>
      <w:pPr>
        <w:spacing w:after="0" w:line="175"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2024, the Company identified two operating segments to manage and review its operations and to facilitate investor presentations of its results. These two operating segments are as follows:</w:t>
      </w:r>
    </w:p>
    <w:p>
      <w:pPr>
        <w:spacing w:after="0" w:line="158" w:lineRule="exact"/>
        <w:rPr>
          <w:sz w:val="20"/>
          <w:szCs w:val="20"/>
          <w:color w:val="auto"/>
        </w:rPr>
      </w:pPr>
    </w:p>
    <w:p>
      <w:pPr>
        <w:ind w:left="1240" w:right="99" w:hanging="326"/>
        <w:spacing w:after="0" w:line="268"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International Telecom. </w:t>
      </w:r>
      <w:r>
        <w:rPr>
          <w:rFonts w:ascii="Times New Roman" w:cs="Times New Roman" w:eastAsia="Times New Roman" w:hAnsi="Times New Roman"/>
          <w:sz w:val="18"/>
          <w:szCs w:val="18"/>
          <w:color w:val="auto"/>
        </w:rPr>
        <w:t>In the Company’s international markets, it offers fixed services, mobility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carrier services and managed services to customers in Bermuda, the Cayman Islands, Guyana and the US Virgin Islands.</w:t>
      </w:r>
    </w:p>
    <w:p>
      <w:pPr>
        <w:spacing w:after="0" w:line="170" w:lineRule="exact"/>
        <w:rPr>
          <w:rFonts w:ascii="Times New Roman" w:cs="Times New Roman" w:eastAsia="Times New Roman" w:hAnsi="Times New Roman"/>
          <w:sz w:val="18"/>
          <w:szCs w:val="18"/>
          <w:color w:val="auto"/>
        </w:rPr>
      </w:pPr>
    </w:p>
    <w:p>
      <w:pPr>
        <w:ind w:left="1240" w:hanging="326"/>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US Telecom. </w:t>
      </w:r>
      <w:r>
        <w:rPr>
          <w:rFonts w:ascii="Times New Roman" w:cs="Times New Roman" w:eastAsia="Times New Roman" w:hAnsi="Times New Roman"/>
          <w:sz w:val="18"/>
          <w:szCs w:val="18"/>
          <w:color w:val="auto"/>
        </w:rPr>
        <w:t>In the United States, the Company offers fixed services, carrier services, and managed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240" w:right="419"/>
        <w:spacing w:after="0" w:line="282" w:lineRule="auto"/>
        <w:rPr>
          <w:sz w:val="20"/>
          <w:szCs w:val="20"/>
          <w:color w:val="auto"/>
        </w:rPr>
      </w:pPr>
      <w:r>
        <w:rPr>
          <w:rFonts w:ascii="Times New Roman" w:cs="Times New Roman" w:eastAsia="Times New Roman" w:hAnsi="Times New Roman"/>
          <w:sz w:val="18"/>
          <w:szCs w:val="18"/>
          <w:color w:val="auto"/>
        </w:rPr>
        <w:t>services to business customers and consumers in Alaska and the western United States. As of June 30, 2024 the Company provided mobility services to retail customers in the western United States.</w:t>
      </w:r>
    </w:p>
    <w:p>
      <w:pPr>
        <w:spacing w:after="0" w:line="16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the Company’s principal subsidiaries, the segments in which it reports its revenue and the markets it served during the three months ended June 30, 2024:</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 Telecom</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US Telecom</w:t>
            </w:r>
          </w:p>
        </w:tc>
      </w:tr>
      <w:tr>
        <w:trPr>
          <w:trHeight w:val="142"/>
        </w:trPr>
        <w:tc>
          <w:tcPr>
            <w:tcW w:w="130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640" w:type="dxa"/>
            <w:vAlign w:val="bottom"/>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40" w:type="dxa"/>
            <w:vAlign w:val="bottom"/>
            <w:tcBorders>
              <w:right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c>
          <w:tcPr>
            <w:tcW w:w="120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420" w:type="dxa"/>
            <w:vAlign w:val="bottom"/>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90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2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w:t>
            </w: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 GTT, Viya,</w:t>
            </w:r>
          </w:p>
        </w:tc>
        <w:tc>
          <w:tcPr>
            <w:tcW w:w="10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Choice, Choice NTUA</w:t>
            </w:r>
          </w:p>
        </w:tc>
      </w:tr>
      <w:tr>
        <w:trPr>
          <w:trHeight w:val="234"/>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Brava</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(rural markets)</w:t>
            </w: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w:t>
            </w:r>
          </w:p>
        </w:tc>
      </w:tr>
      <w:tr>
        <w:trPr>
          <w:trHeight w:val="198"/>
        </w:trPr>
        <w:tc>
          <w:tcPr>
            <w:tcW w:w="13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4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One, Logic, GTT,</w:t>
            </w:r>
          </w:p>
        </w:tc>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Islands, Guyana, US</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Viya, Brava</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 Islands</w:t>
            </w:r>
          </w:p>
        </w:tc>
        <w:tc>
          <w:tcPr>
            <w:tcW w:w="1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Sacred Wind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Ethos,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Deploycom</w:t>
            </w:r>
          </w:p>
        </w:tc>
      </w:tr>
      <w:tr>
        <w:trPr>
          <w:trHeight w:val="198"/>
        </w:trPr>
        <w:tc>
          <w:tcPr>
            <w:tcW w:w="13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Carrier Services</w:t>
            </w:r>
          </w:p>
        </w:tc>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Bermuda, Guyana,</w:t>
            </w:r>
          </w:p>
        </w:tc>
        <w:tc>
          <w:tcPr>
            <w:tcW w:w="144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One, Essextel,</w:t>
            </w:r>
          </w:p>
        </w:tc>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w:t>
            </w:r>
          </w:p>
        </w:tc>
        <w:tc>
          <w:tcPr>
            <w:tcW w:w="1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GTT, Viya</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40" w:type="dxa"/>
            <w:vAlign w:val="bottom"/>
            <w:tcBorders>
              <w:right w:val="single" w:sz="8" w:color="auto"/>
            </w:tcBorders>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198"/>
        </w:trPr>
        <w:tc>
          <w:tcPr>
            <w:tcW w:w="13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4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Fireminds, One,</w:t>
            </w:r>
          </w:p>
        </w:tc>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Islands, US Virgin</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GTT, Viya,</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Choice</w:t>
            </w:r>
          </w:p>
        </w:tc>
      </w:tr>
      <w:tr>
        <w:trPr>
          <w:trHeight w:val="234"/>
        </w:trPr>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Islands, Guyana</w:t>
            </w:r>
          </w:p>
        </w:tc>
        <w:tc>
          <w:tcPr>
            <w:tcW w:w="60" w:type="dxa"/>
            <w:vAlign w:val="bottom"/>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Brava</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54"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For further information about the Company’s financial segments and geographical information about its operating revenues and assets, see Note 12 to the Unaudited Condensed Consolidated Financial Statements included in this Report.</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Expense</w:t>
      </w:r>
    </w:p>
    <w:p>
      <w:pPr>
        <w:spacing w:after="0" w:line="254"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color w:val="auto"/>
        </w:rPr>
        <w:t>In order to reduce the Company’s US Telecom and International Telecom segments’ cost structure, the Company has incurred, since the first quarter of 2023, certain network termination and reduction in force costs totaling $12.4 million through June 30, 2024. No further expenses are currently expected under this restructuring plan. Of this amount, $1.2 million and $3.3 million were recorded during the six months ended June 30, 2024 and 2023, respectively. A summary of the costs, since the first quarter of 2023, is below (in thousands):</w:t>
      </w:r>
    </w:p>
    <w:p>
      <w:pPr>
        <w:spacing w:after="0" w:line="326" w:lineRule="exact"/>
        <w:rPr>
          <w:sz w:val="20"/>
          <w:szCs w:val="20"/>
          <w:color w:val="auto"/>
        </w:rPr>
      </w:pPr>
    </w:p>
    <w:tbl>
      <w:tblPr>
        <w:tblLayout w:type="fixed"/>
        <w:tblInd w:w="720" w:type="dxa"/>
        <w:tblCellMar>
          <w:top w:w="0" w:type="dxa"/>
          <w:left w:w="0" w:type="dxa"/>
          <w:bottom w:w="0" w:type="dxa"/>
          <w:right w:w="0" w:type="dxa"/>
        </w:tblCellMar>
      </w:tblPr>
      <w:tr>
        <w:trPr>
          <w:trHeight w:val="190"/>
        </w:trPr>
        <w:tc>
          <w:tcPr>
            <w:tcW w:w="3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6"/>
        </w:trPr>
        <w:tc>
          <w:tcPr>
            <w:tcW w:w="34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termination benefits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6,641</w:t>
            </w:r>
          </w:p>
        </w:tc>
      </w:tr>
      <w:tr>
        <w:trPr>
          <w:trHeight w:val="243"/>
        </w:trPr>
        <w:tc>
          <w:tcPr>
            <w:tcW w:w="3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r>
      <w:tr>
        <w:trPr>
          <w:trHeight w:val="209"/>
        </w:trPr>
        <w:tc>
          <w:tcPr>
            <w:tcW w:w="3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12,418</w:t>
            </w:r>
          </w:p>
        </w:tc>
      </w:tr>
      <w:tr>
        <w:trPr>
          <w:trHeight w:val="20"/>
        </w:trPr>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The charge is recorded in Restructuring Expenses on the Company’s Consolidated Statements of Operations. During the six months ended June 30, 2024, the Company paid $4.8 million of the restructuring costs. In total, since the first quarter of 2023 and through June 30, 2024, the Company paid $10.5 million, recorded a gain of $0.3 million on lease termination, and $2.2 million of the restructuring costs remain accrued. In conjunction with the restructuring, the Company terminated certain leases and removed $5.6 million of lease right of use assets and $5.9 million of lease liabilities from its balance sheet.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Disposition</w:t>
      </w:r>
    </w:p>
    <w:p>
      <w:pPr>
        <w:spacing w:after="0" w:line="26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Company’s International Telecom segment disposed of a non-core fixed asset recording a gain of $15.8 million on the transaction. The Company received cash proceeds of $17.8 million which was offset by the asset’s book value of $0.5 million and $1.5 million of transaction costs.</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56"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2023, filed with the SEC on March 15, 2024.</w:t>
      </w:r>
    </w:p>
    <w:p>
      <w:pPr>
        <w:spacing w:after="0" w:line="235"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FASB released ASU 2023-09, titled "Enhancements to Income Tax Disclosures," with the aim of improving the clarity and usefulness of income tax disclosures. The update focuses primarily on enhancing disclosures related to rate reconciliation and income taxes paid. ASU 2023-09 becomes effective for annual reporting periods starting after December 15, 2024, with early adoption permitted. While the changes prescribed by ASU 2023-09 are implemented prospectively, retrospective application is also allowed. The Company has chosen not to early adopt this standard and is currently assessing its potential impact on our consolidated financial statements and accompanying disclosures.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requires that a public entity disclose, on an interim and annual basis, significant segment expense categories and amounts that are regularly provided to its chief operating decision maker (CODM) and included in each reported measure of segment profit or loss. An entity must also disclose, by reportable segment, the amount and composition of other expenses. The standard requires an entity to disclose the title and position of its CODM and explain how the CODM uses these reported measures in assessing segment performance and determining how to allocate resources. ASU 2023-07 will be effective for annual periods beginning after December 15, 2023, and interim periods beginning after December 31, 2024, with retrospective application. The standard allows early adoption of these requirements and we are currently evaluating the disclosure impacts of our adoption.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RECOGNITION AND RECEIVABLES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Accounted for in Accordance with Other Guidance</w:t>
      </w:r>
    </w:p>
    <w:p>
      <w:pPr>
        <w:spacing w:after="0" w:line="268"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revenue in accordance with ASC 606 from contracts with customers and ASC 842 from lease agreements, as well as government grants. Lease revenue recognized under ASC 842 is disclosed in Note 4 and government grant revenue is disclosed in Note 8.</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26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Revenue accounted for in accordance with ASC 606 consisted of the following for the periods presented below (in thousands):</w:t>
      </w:r>
    </w:p>
    <w:tbl>
      <w:tblPr>
        <w:tblLayout w:type="fixed"/>
        <w:tblInd w:w="4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11"/>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9"/>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0" w:type="dxa"/>
            <w:vAlign w:val="bottom"/>
          </w:tcPr>
          <w:p>
            <w:pPr>
              <w:spacing w:after="0"/>
              <w:rPr>
                <w:sz w:val="1"/>
                <w:szCs w:val="1"/>
                <w:color w:val="auto"/>
              </w:rPr>
            </w:pPr>
          </w:p>
        </w:tc>
      </w:tr>
      <w:tr>
        <w:trPr>
          <w:trHeight w:val="227"/>
        </w:trPr>
        <w:tc>
          <w:tcPr>
            <w:tcW w:w="358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9"/>
                <w:szCs w:val="19"/>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80" w:type="dxa"/>
            <w:vAlign w:val="bottom"/>
          </w:tcPr>
          <w:p>
            <w:pPr>
              <w:spacing w:after="0"/>
              <w:rPr>
                <w:sz w:val="17"/>
                <w:szCs w:val="17"/>
                <w:color w:val="auto"/>
              </w:rPr>
            </w:pPr>
          </w:p>
        </w:tc>
        <w:tc>
          <w:tcPr>
            <w:tcW w:w="74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90,271</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71,829</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$ 162,100</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86,730</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$ 80,330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167,060</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3,781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75,477</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$ 169,366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90,511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$ 82,927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173,438</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2,036</w:t>
            </w:r>
          </w:p>
        </w:tc>
        <w:tc>
          <w:tcPr>
            <w:tcW w:w="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2,111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grant revenue (1)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11,043</w:t>
            </w:r>
          </w:p>
        </w:tc>
        <w:tc>
          <w:tcPr>
            <w:tcW w:w="0" w:type="dxa"/>
            <w:vAlign w:val="bottom"/>
          </w:tcPr>
          <w:p>
            <w:pPr>
              <w:spacing w:after="0"/>
              <w:rPr>
                <w:sz w:val="1"/>
                <w:szCs w:val="1"/>
                <w:color w:val="auto"/>
              </w:rPr>
            </w:pPr>
          </w:p>
        </w:tc>
      </w:tr>
      <w:tr>
        <w:trPr>
          <w:trHeight w:val="210"/>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87,924</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$ 183,281</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91,981</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$ 94,460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0"/>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9"/>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0" w:type="dxa"/>
            <w:vAlign w:val="bottom"/>
          </w:tcPr>
          <w:p>
            <w:pPr>
              <w:spacing w:after="0"/>
              <w:rPr>
                <w:sz w:val="1"/>
                <w:szCs w:val="1"/>
                <w:color w:val="auto"/>
              </w:rPr>
            </w:pPr>
          </w:p>
        </w:tc>
      </w:tr>
      <w:tr>
        <w:trPr>
          <w:trHeight w:val="227"/>
        </w:trPr>
        <w:tc>
          <w:tcPr>
            <w:tcW w:w="358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9"/>
                <w:szCs w:val="19"/>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80" w:type="dxa"/>
            <w:vAlign w:val="bottom"/>
          </w:tcPr>
          <w:p>
            <w:pPr>
              <w:spacing w:after="0"/>
              <w:rPr>
                <w:sz w:val="19"/>
                <w:szCs w:val="19"/>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80" w:type="dxa"/>
            <w:vAlign w:val="bottom"/>
          </w:tcPr>
          <w:p>
            <w:pPr>
              <w:spacing w:after="0"/>
              <w:rPr>
                <w:sz w:val="17"/>
                <w:szCs w:val="17"/>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178,831</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149,872</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$ 328,703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172,409</w:t>
            </w:r>
          </w:p>
        </w:tc>
        <w:tc>
          <w:tcPr>
            <w:tcW w:w="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$ 161,403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333,812</w:t>
            </w:r>
          </w:p>
        </w:tc>
        <w:tc>
          <w:tcPr>
            <w:tcW w:w="0" w:type="dxa"/>
            <w:vAlign w:val="bottom"/>
          </w:tcPr>
          <w:p>
            <w:pPr>
              <w:spacing w:after="0"/>
              <w:rPr>
                <w:sz w:val="1"/>
                <w:szCs w:val="1"/>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156,791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$ 342,274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179,449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$ 166,547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345,996</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4,070</w:t>
            </w:r>
          </w:p>
        </w:tc>
        <w:tc>
          <w:tcPr>
            <w:tcW w:w="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8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4,217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17"/>
                <w:szCs w:val="17"/>
                <w:color w:val="auto"/>
              </w:rPr>
            </w:pPr>
          </w:p>
        </w:tc>
        <w:tc>
          <w:tcPr>
            <w:tcW w:w="7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3,717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3,862</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grant revenue (1)</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20,799</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22,356</w:t>
            </w:r>
          </w:p>
        </w:tc>
        <w:tc>
          <w:tcPr>
            <w:tcW w:w="0" w:type="dxa"/>
            <w:vAlign w:val="bottom"/>
          </w:tcPr>
          <w:p>
            <w:pPr>
              <w:spacing w:after="0"/>
              <w:rPr>
                <w:sz w:val="1"/>
                <w:szCs w:val="1"/>
                <w:color w:val="auto"/>
              </w:rPr>
            </w:pPr>
          </w:p>
        </w:tc>
      </w:tr>
      <w:tr>
        <w:trPr>
          <w:trHeight w:val="210"/>
        </w:trPr>
        <w:tc>
          <w:tcPr>
            <w:tcW w:w="3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$ 370,076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182,389</w:t>
            </w:r>
          </w:p>
        </w:tc>
        <w:tc>
          <w:tcPr>
            <w:tcW w:w="6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$ 189,825</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Revenue recognized from CAF II, USF and RDOF programs. Refer to Note 8.</w:t>
      </w: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54"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sheets.</w:t>
      </w:r>
    </w:p>
    <w:p>
      <w:pPr>
        <w:spacing w:after="0" w:line="224"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Mobility services, sold to customers is recorded as deferred revenue prior to the commencement of services. Contract liabilities also include certain long term fixed business and carrier service customer contracts. The current portion of contract liabilities are recorded in advanced payments and deposits and the noncurrent portion is included in deferred revenue, long-term on the Company’s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Network Build and Maintenance Agreement with AT&amp;T Mobility, LLC (“AT&amp;T”) that was subsequently amended through December 31, 2023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current portion of receivables under this agreement is recorded in customer receivable and the long-term portion is recorded in customer receivable long-term on the Company’s balance sheet.</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May 2023, the Company amended its current roaming agreement and entered into a carrier management services agreement with Verizon Wireless (the “Verizon CMS Agreement”). The transaction includes service performance obligations under which revenue is recognized over time. The Company allocates the transaction price of these agreements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 (amounts in thousands):</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36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ind w:right="235"/>
              <w:spacing w:after="0" w:line="108" w:lineRule="exact"/>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 – current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2.4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 noncurrent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liability – current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4.2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liability – noncurrent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(59,373)</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(64,035)</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liability</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(82,806)</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(85,900)</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color w:val="auto"/>
        </w:rPr>
        <w:t>The decrease in the Company’s net contract liability was due to the timing of customer prepayments, contract billings, and recognition of deferred revenue. During the six months ended June 30, 2024, the Company recognized revenue of $22.2 million related to its December 31, 2023 contract liability and amortized $2.5 million of the December 31, 2023 contract asset to revenue.</w:t>
      </w:r>
    </w:p>
    <w:p>
      <w:pPr>
        <w:spacing w:after="0" w:line="2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68"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June 30, 2024 and 2023 balance sheets include contract acquisition costs of $10.9 million and $9.7 million, respectively, in other assets. During the three and six months ended June 30, 2024, the Company amortized $1.7 million and $3.3 million, respectively, of contract acquisition costs. During the three and six months ended June 30, 2023, the Company amortized $1.6 million and $2.7 million, respectively, of contract acquisition costs.</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6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allocated to unsatisfied performance obligations of certain multiyear Mobility and Fixed communication services contracts, Managed Services contracts, and the Company’s Carrier Services construction and service contracts. The transaction price allocated to unsatisfied performance obligations was $579 million at June 30, 2024. The Company expects to satisfy approximately 40% of the remaining performance obligations and recognize the transaction price within 24 months and approximately $60 million annually from 2026 through 2031.</w:t>
      </w:r>
    </w:p>
    <w:p>
      <w:pPr>
        <w:spacing w:after="0" w:line="22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 has certain Mobility, Fixed, and Carrier Services contracts where the transaction price is allocated to remaining performance obligations. However, the Company omits these contracts from its disclosure by applying the right to invoice, one year or less, and wholly unsatisfied performance obligation practical expedients.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Disaggregation</w:t>
      </w:r>
    </w:p>
    <w:p>
      <w:pPr>
        <w:spacing w:after="0" w:line="268" w:lineRule="exact"/>
        <w:rPr>
          <w:sz w:val="20"/>
          <w:szCs w:val="20"/>
          <w:color w:val="auto"/>
        </w:rPr>
      </w:pPr>
    </w:p>
    <w:p>
      <w:pPr>
        <w:ind w:left="60" w:right="219" w:firstLine="648"/>
        <w:spacing w:after="0" w:line="256" w:lineRule="auto"/>
        <w:rPr>
          <w:sz w:val="20"/>
          <w:szCs w:val="20"/>
          <w:color w:val="auto"/>
        </w:rPr>
      </w:pPr>
      <w:r>
        <w:rPr>
          <w:rFonts w:ascii="Times New Roman" w:cs="Times New Roman" w:eastAsia="Times New Roman" w:hAnsi="Times New Roman"/>
          <w:sz w:val="18"/>
          <w:szCs w:val="18"/>
          <w:color w:val="auto"/>
        </w:rPr>
        <w:t>The Company's revenue is presented on a disaggregated basis in Note 12 based on an evaluation of disclosures outside the financial statements, information regularly reviewed by the chief operating decision makers for evaluating the financial performance of operating segments and other information that is used for performance evaluation and 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254"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an estimate of future credit losses in conjunction with the revenue transaction based on the information available including historical experience and management’s expectations of future conditions. Those estimates are updated as additional information becomes available. The Company’s allowance for uncollectible accounts receivable is based on management’s assessment of the collectability of assets pooled together with similar risk characteristics.</w:t>
      </w:r>
    </w:p>
    <w:p>
      <w:pPr>
        <w:spacing w:after="0" w:line="220"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had gross accounts receivable of $114.8 million and an allowance for credit losses of $16.4 million as of June 30, 2024. In addition, the Company had receivables under the FirstNet Agreement totaling $51.5 million, of which $43.8 million was long-term. At December 31, 2023, the Company had gross accounts receivable of $104.4 million and an allowance for credit losses of $16.4 million and a receivable under the FirstNet Agreement totaling $52.9 million, of which $45.7 million was long-term. The Company monitors receivables through the use of historical operating data adjusted for the expectation of future performance as appropriate. Activity in the allowance for credit losses is below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4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expected losses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 collected</w:t>
            </w: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6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Lessee Disclosure</w:t>
      </w:r>
    </w:p>
    <w:p>
      <w:pPr>
        <w:spacing w:after="0" w:line="268"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lease information</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11,105</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lease cost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Variable lease cost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Variable costs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costs</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and 2023, the Company paid $9.5 million and $9.7 million, respectively, for operating lease liabilities. During the six months ended June 30, 2024 and 2023, the Company recorded $5.7 million and $12.3 million, respectively, of operating lease liabilities arising from right of use assets. During the six months ended June 30, 2023, in conjunction with the restructuring activities the Company terminated certain leases and removed $5.6 million of lease right of use assets and $5.9 million of lease liabilities from its balance sheet, resulting in the recording of a gain of $0.3 million in the restructuring expense line of its statement of operations.</w:t>
      </w:r>
    </w:p>
    <w:p>
      <w:pPr>
        <w:spacing w:after="0" w:line="22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At June 30, 2024, finance leases with a cost of $32.2 million and accumulated amortization of $17.9 million were included in fixed assets, net. During the six months ended June 30, 2024, the Company paid $0.9 million of financing cash flows and $0.2 million of operating cash flows for finance lease liabilities. During the six months ended June 30, 2023, the Company paid $0.5 million of financing cash flows, $3.4 million of investing cash flows and $0.2 million of operating cash flows for finance lease liabilities. At June 30, 2024, finance leases had a lease liability of $5.2 million, of which $1.8 million was current.</w:t>
      </w:r>
    </w:p>
    <w:p>
      <w:pPr>
        <w:spacing w:after="0" w:line="214"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finance leases with a cost of $31.7 million and accumulated amortization of $16.4 million were included in fixed assets, net.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terms and discount rates as of June 30, 2024 and December 31, 2023 are noted in the table below:</w:t>
      </w:r>
    </w:p>
    <w:p>
      <w:pPr>
        <w:spacing w:after="0" w:line="196" w:lineRule="exact"/>
        <w:rPr>
          <w:sz w:val="20"/>
          <w:szCs w:val="20"/>
          <w:color w:val="auto"/>
        </w:rPr>
      </w:pPr>
    </w:p>
    <w:p>
      <w:pPr>
        <w:ind w:left="5320"/>
        <w:spacing w:after="0"/>
        <w:tabs>
          <w:tab w:leader="none" w:pos="6760" w:val="left"/>
        </w:tabs>
        <w:rPr>
          <w:sz w:val="20"/>
          <w:szCs w:val="20"/>
          <w:color w:val="auto"/>
        </w:rPr>
      </w:pPr>
      <w:r>
        <w:rPr>
          <w:rFonts w:ascii="Times New Roman" w:cs="Times New Roman" w:eastAsia="Times New Roman" w:hAnsi="Times New Roman"/>
          <w:sz w:val="14"/>
          <w:szCs w:val="14"/>
          <w:b w:val="1"/>
          <w:bCs w:val="1"/>
          <w:color w:val="auto"/>
        </w:rPr>
        <w:t>June 30, 2024</w:t>
      </w:r>
      <w:r>
        <w:rPr>
          <w:sz w:val="20"/>
          <w:szCs w:val="20"/>
          <w:color w:val="auto"/>
        </w:rPr>
        <w:tab/>
      </w:r>
      <w:r>
        <w:rPr>
          <w:rFonts w:ascii="Times New Roman" w:cs="Times New Roman" w:eastAsia="Times New Roman" w:hAnsi="Times New Roman"/>
          <w:sz w:val="14"/>
          <w:szCs w:val="14"/>
          <w:b w:val="1"/>
          <w:bCs w:val="1"/>
          <w:color w:val="auto"/>
        </w:rPr>
        <w:t>December 31, 2023</w:t>
      </w:r>
    </w:p>
    <w:p>
      <w:pPr>
        <w:sectPr>
          <w:pgSz w:w="11900" w:h="16838" w:orient="portrait"/>
          <w:cols w:equalWidth="0" w:num="1">
            <w:col w:w="9019"/>
          </w:cols>
          <w:pgMar w:left="1440" w:top="513" w:right="1440" w:bottom="1440" w:gutter="0" w:footer="0" w:header="0"/>
        </w:sectPr>
      </w:pPr>
    </w:p>
    <w:p>
      <w:pPr>
        <w:spacing w:after="0" w:line="48" w:lineRule="exact"/>
        <w:rPr>
          <w:sz w:val="20"/>
          <w:szCs w:val="20"/>
          <w:color w:val="auto"/>
        </w:rPr>
      </w:pPr>
    </w:p>
    <w:p>
      <w:pPr>
        <w:ind w:left="1280" w:right="1120" w:hanging="323"/>
        <w:spacing w:after="0" w:line="289" w:lineRule="auto"/>
        <w:rPr>
          <w:sz w:val="20"/>
          <w:szCs w:val="20"/>
          <w:color w:val="auto"/>
        </w:rPr>
      </w:pPr>
      <w:r>
        <w:rPr>
          <w:rFonts w:ascii="Times New Roman" w:cs="Times New Roman" w:eastAsia="Times New Roman" w:hAnsi="Times New Roman"/>
          <w:sz w:val="18"/>
          <w:szCs w:val="18"/>
          <w:color w:val="auto"/>
        </w:rPr>
        <w:t>Weighted-average remaining lease term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-313055</wp:posOffset>
            </wp:positionV>
            <wp:extent cx="45173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17390" cy="16319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2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Weighted-average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1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Operating leases</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Financing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-127635</wp:posOffset>
            </wp:positionV>
            <wp:extent cx="451739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1739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7"/>
              </w:rPr>
              <w:t>12.7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 years</w:t>
            </w:r>
          </w:p>
        </w:tc>
      </w:tr>
      <w:tr>
        <w:trPr>
          <w:trHeight w:val="243"/>
        </w:trPr>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5.0 years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years</w:t>
            </w:r>
          </w:p>
        </w:tc>
      </w:tr>
      <w:tr>
        <w:trPr>
          <w:trHeight w:val="729"/>
        </w:trPr>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6.7%</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98" w:lineRule="exact"/>
        <w:rPr>
          <w:sz w:val="20"/>
          <w:szCs w:val="20"/>
          <w:color w:val="auto"/>
        </w:rPr>
      </w:pPr>
    </w:p>
    <w:p>
      <w:pPr>
        <w:sectPr>
          <w:pgSz w:w="11900" w:h="16838" w:orient="portrait"/>
          <w:cols w:equalWidth="0" w:num="2">
            <w:col w:w="4920" w:space="720"/>
            <w:col w:w="3379"/>
          </w:cols>
          <w:pgMar w:left="1440" w:top="513" w:right="1440"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June 30, 2024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83,250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09"/>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6,752</w:t>
            </w:r>
          </w:p>
        </w:tc>
      </w:tr>
      <w:tr>
        <w:trPr>
          <w:trHeight w:val="216"/>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(1,525)</w:t>
            </w: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85,439</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December 31, 2023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0"/>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r>
      <w:tr>
        <w:trPr>
          <w:trHeight w:val="216"/>
        </w:trPr>
        <w:tc>
          <w:tcPr>
            <w:tcW w:w="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80,637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09"/>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w:t>
            </w:r>
          </w:p>
        </w:tc>
      </w:tr>
      <w:tr>
        <w:trPr>
          <w:trHeight w:val="243"/>
        </w:trPr>
        <w:tc>
          <w:tcPr>
            <w:tcW w:w="20" w:type="dxa"/>
            <w:vAlign w:val="bottom"/>
          </w:tcPr>
          <w:p>
            <w:pPr>
              <w:spacing w:after="0"/>
              <w:rPr>
                <w:sz w:val="21"/>
                <w:szCs w:val="21"/>
                <w:color w:val="auto"/>
              </w:rPr>
            </w:pPr>
          </w:p>
        </w:tc>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09"/>
        </w:trPr>
        <w:tc>
          <w:tcPr>
            <w:tcW w:w="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86,463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w:t>
            </w: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the Company did not have any material operating or finance leases that have not yet commenced.</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Lessor Disclosure</w:t>
      </w:r>
    </w:p>
    <w:p>
      <w:pPr>
        <w:spacing w:after="0" w:line="25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Company is the lessor in agreements to lease the use of its network assets including its wireless cell sites and buildings. For the six months ended June 30, 2024 and 2023, the Company recorded $4.2 million and $3.9 million, respectively, of lease income from agreements in which the Company is the lessor For the three months ended June 30, 2024 and 2023, the Company recorded $2.1 million and $2.0 million, respectively, of lease income from agreements in which the Company is the lessor. Lease income is classified as Carrier Services revenue in the statement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of future undiscounted lease payments for the periods indicated (in thousands):</w:t>
      </w:r>
    </w:p>
    <w:p>
      <w:pPr>
        <w:spacing w:after="0" w:line="193"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(excluding the six months ended June 30, 2024)</w:t>
            </w:r>
          </w:p>
        </w:tc>
        <w:tc>
          <w:tcPr>
            <w:tcW w:w="140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7,062</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w:t>
            </w: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r>
      <w:tr>
        <w:trPr>
          <w:trHeight w:val="209"/>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7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41,418</w:t>
            </w: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USE OF ESTIMATES</w:t>
      </w:r>
    </w:p>
    <w:p>
      <w:pPr>
        <w:spacing w:after="0" w:line="270"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MEASUREMENTS AND INVESTMENTS</w:t>
      </w:r>
    </w:p>
    <w:p>
      <w:pPr>
        <w:spacing w:after="0" w:line="27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203"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89" w:lineRule="exact"/>
        <w:rPr>
          <w:sz w:val="20"/>
          <w:szCs w:val="20"/>
          <w:color w:val="auto"/>
        </w:rPr>
      </w:pPr>
    </w:p>
    <w:p>
      <w:pPr>
        <w:ind w:left="1980" w:right="1679" w:hanging="634"/>
        <w:spacing w:after="0" w:line="256"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00" w:lineRule="exact"/>
        <w:rPr>
          <w:sz w:val="20"/>
          <w:szCs w:val="20"/>
          <w:color w:val="auto"/>
        </w:rPr>
      </w:pPr>
    </w:p>
    <w:p>
      <w:pPr>
        <w:spacing w:after="0" w:line="203" w:lineRule="exact"/>
        <w:rPr>
          <w:sz w:val="20"/>
          <w:szCs w:val="20"/>
          <w:color w:val="auto"/>
        </w:rPr>
      </w:pPr>
    </w:p>
    <w:p>
      <w:pPr>
        <w:ind w:left="1980" w:right="1659" w:hanging="634"/>
        <w:spacing w:after="0" w:line="253"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 Level 2 assets and liabilities include debt securities with quoted prices that are traded less frequently than exchange-traded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980" w:right="1579" w:hanging="634"/>
        <w:spacing w:after="0" w:line="255"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4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Assets and liabilities of the Company measured at fair value on a recurring basis as of June 30, 2024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2023 are summarized as follows (in thousands):</w:t>
      </w:r>
    </w:p>
    <w:p>
      <w:pPr>
        <w:spacing w:after="0" w:line="9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Alaska Communications redeemable common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Alloy redeemable common units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 redeemable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(16,543)</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center"/>
              <w:ind w:right="294"/>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5"/>
                <w:szCs w:val="15"/>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investments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Alaska Communications redeemable common</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(11,063)</w:t>
            </w: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Alloy redeemable common units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0" w:type="dxa"/>
            <w:vAlign w:val="bottom"/>
          </w:tcPr>
          <w:p>
            <w:pPr>
              <w:spacing w:after="0"/>
              <w:rPr>
                <w:sz w:val="1"/>
                <w:szCs w:val="1"/>
                <w:color w:val="auto"/>
              </w:rPr>
            </w:pPr>
          </w:p>
        </w:tc>
      </w:tr>
      <w:tr>
        <w:trPr>
          <w:trHeight w:val="198"/>
        </w:trPr>
        <w:tc>
          <w:tcPr>
            <w:tcW w:w="38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 redeemable</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09"/>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(24,875)</w:t>
            </w:r>
          </w:p>
        </w:tc>
        <w:tc>
          <w:tcPr>
            <w:tcW w:w="10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68"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color w:val="auto"/>
        </w:rPr>
        <w:t>The Company holds investments in equity securities consisting of noncontrolling investments in privately held companies. The investments are accounted for using equity method accounting,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 roll forward of the investments is below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without a</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readily</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determinable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method</w:t>
            </w:r>
          </w:p>
        </w:tc>
        <w:tc>
          <w:tcPr>
            <w:tcW w:w="20" w:type="dxa"/>
            <w:vAlign w:val="bottom"/>
          </w:tcPr>
          <w:p>
            <w:pPr>
              <w:spacing w:after="0"/>
              <w:rPr>
                <w:sz w:val="12"/>
                <w:szCs w:val="12"/>
                <w:color w:val="auto"/>
              </w:rPr>
            </w:pPr>
          </w:p>
        </w:tc>
        <w:tc>
          <w:tcPr>
            <w:tcW w:w="68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recognized</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5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6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$ 42,641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22,590</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13,963</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$ 38,169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recognized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Contributions / (distributions)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gain</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June 30, 2023</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24,801</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$ 41,594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lost the ability to exert significant influence over its India solar investment. As a result, the Company transferred $16.3 million from equity method investments to investments without a readily determinable fair value and the accounting for the investment changed to the cost method from the equity method of accounting.</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investments are included with other assets on the consolidated balance sheets.</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Common Units and Warrants</w:t>
      </w:r>
    </w:p>
    <w:p>
      <w:pPr>
        <w:spacing w:after="0" w:line="256"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The Company has issued redeemable common units, and warrants to purchase additional common units, in consolidated subsidiaries of the Company. The instruments are redeemable at the option of the holder. Both the common units and warrants to purchase common units are recorded at fair value in the Company’s financial statements. The common units are recorded in redeemable noncontrolling interest and the warrants are recorded in other liabilities on the Company’s balance sheets. The put options for the Alloy redeemable common units begin in November 2026. The put options for the Alaska Communications redeemable common units begin the earlier of a public offering or July 2028. The Company calculates the fair value of the instruments using a combination of market and discounted cash flows approaches with Level 3 inputs.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70" w:lineRule="exact"/>
        <w:rPr>
          <w:sz w:val="20"/>
          <w:szCs w:val="20"/>
          <w:color w:val="auto"/>
        </w:rPr>
      </w:pPr>
    </w:p>
    <w:p>
      <w:pPr>
        <w:jc w:val="both"/>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167"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fair value of long-term debt is estimated using Level 2 inputs. At June 30, 2024, the fair value of long-term debt, including the current portion, was $583.7 million and its book value was $586.9 million. At December 31, 2023, the fair value of long-term debt, including the current portion, was $571.6 million and its book value was $562.9 million.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7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July 13, 2023, the Company, along with certain of its subsidiaries as guarantors, entered into a new Credit Agreement with CoBank, ACB and a syndicate of other lenders (as may be amended from time to time, the “2023 CoBank Credit Facility”). On July 10, 2024, the Company amended its credit facility to add certain subsidiaries as guarantors and to provide further flexibility for the Company to take on certain grant and government program obligations. The amendment to the 2023 CoBank Credit Facility is filed herewith as Exhibit 10.1.</w:t>
      </w:r>
    </w:p>
    <w:p>
      <w:pPr>
        <w:spacing w:after="0" w:line="210" w:lineRule="exact"/>
        <w:rPr>
          <w:sz w:val="20"/>
          <w:szCs w:val="20"/>
          <w:color w:val="auto"/>
        </w:rPr>
      </w:pPr>
    </w:p>
    <w:p>
      <w:pPr>
        <w:ind w:left="60" w:right="139" w:firstLine="648"/>
        <w:spacing w:after="0" w:line="256"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Credit Facility for letters of credit, and (ii) up to $20 million under a swingline sub-facility. Upon the closing of the 2023 CoBank Credit Facility, the Company drew all of the 2023 CoBank Term Loan and approximately $13.6 million of the 2023 CoBank Revolving Loan. These borrowings were used to repay $139.5 million of debt outstanding under the 2019 CoBank Credit Facility at close.</w:t>
      </w:r>
    </w:p>
    <w:p>
      <w:pPr>
        <w:spacing w:after="0" w:line="22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95" w:lineRule="exact"/>
        <w:rPr>
          <w:sz w:val="20"/>
          <w:szCs w:val="20"/>
          <w:color w:val="auto"/>
        </w:rPr>
      </w:pPr>
    </w:p>
    <w:tbl>
      <w:tblPr>
        <w:tblLayout w:type="fixed"/>
        <w:tblInd w:w="730" w:type="dxa"/>
        <w:tblCellMar>
          <w:top w:w="0" w:type="dxa"/>
          <w:left w:w="0" w:type="dxa"/>
          <w:bottom w:w="0" w:type="dxa"/>
          <w:right w:w="0" w:type="dxa"/>
        </w:tblCellMar>
      </w:tblPr>
      <w:tr>
        <w:trPr>
          <w:trHeight w:val="283"/>
        </w:trPr>
        <w:tc>
          <w:tcPr>
            <w:tcW w:w="3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Payment</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Repayments</w:t>
            </w:r>
          </w:p>
        </w:tc>
      </w:tr>
      <w:tr>
        <w:trPr>
          <w:trHeight w:val="169"/>
        </w:trPr>
        <w:tc>
          <w:tcPr>
            <w:tcW w:w="366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7"/>
              </w:rPr>
              <w:t>Dates</w:t>
            </w:r>
          </w:p>
        </w:tc>
        <w:tc>
          <w:tcPr>
            <w:tcW w:w="3920" w:type="dxa"/>
            <w:vAlign w:val="bottom"/>
            <w:tcBorders>
              <w:bottom w:val="single" w:sz="8" w:color="auto"/>
              <w:right w:val="single" w:sz="8" w:color="auto"/>
            </w:tcBorders>
          </w:tcPr>
          <w:p>
            <w:pPr>
              <w:spacing w:after="0"/>
              <w:rPr>
                <w:sz w:val="14"/>
                <w:szCs w:val="14"/>
                <w:color w:val="auto"/>
              </w:rPr>
            </w:pP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 June 30, 2025</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23"/>
        </w:trPr>
        <w:tc>
          <w:tcPr>
            <w:tcW w:w="3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238"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the Company’s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the Company’s maximum Total Net Leverage Ratio. Under the terms of the 2023 CoBank Credit Agreement, the Company must also pay a fee ranging from 0.25% to 0.50% on the average daily unused portion of the 2023 CoBank Credit Facility over each calendar quarter.</w:t>
      </w:r>
    </w:p>
    <w:p>
      <w:pPr>
        <w:spacing w:after="0" w:line="21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capitalized $4.3 million of fees associated with the 2023 CoBank Credit Facility which are being amortized over the life of the debt and $3.5 million were unamortized as of June 30, 2024.</w:t>
      </w:r>
    </w:p>
    <w:p>
      <w:pPr>
        <w:spacing w:after="0" w:line="20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Company had $127.6 million outstanding under the 2023 CoBank Term Loan as of June 30, 2024. Under the 2023 CoBank Revolving Loan, the Company had $58.6 million outstanding and $111.4 million of availability as of June 30, 2024. The Company was in compliance with all financial covenants as of June 30, 2024.</w:t>
      </w:r>
    </w:p>
    <w:p>
      <w:pPr>
        <w:spacing w:after="0" w:line="216"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October 2023, the Company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$(0.1) million and $(0.5) million as of June 30, 2024 and December 31, 2023,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2019 CoBank Credit Facility</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On April 10, 2019, the Company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outstanding borrowings under the 2019 CoBank Credit Facility were repaid in full.</w:t>
      </w:r>
    </w:p>
    <w:p>
      <w:pPr>
        <w:spacing w:after="0" w:line="224" w:lineRule="exact"/>
        <w:rPr>
          <w:sz w:val="20"/>
          <w:szCs w:val="20"/>
          <w:color w:val="auto"/>
        </w:rPr>
      </w:pPr>
    </w:p>
    <w:p>
      <w:pPr>
        <w:ind w:left="60" w:right="519" w:firstLine="648"/>
        <w:spacing w:after="0" w:line="276" w:lineRule="auto"/>
        <w:rPr>
          <w:sz w:val="20"/>
          <w:szCs w:val="20"/>
          <w:color w:val="auto"/>
        </w:rPr>
      </w:pPr>
      <w:r>
        <w:rPr>
          <w:rFonts w:ascii="Times New Roman" w:cs="Times New Roman" w:eastAsia="Times New Roman" w:hAnsi="Times New Roman"/>
          <w:sz w:val="17"/>
          <w:szCs w:val="17"/>
          <w:color w:val="auto"/>
        </w:rPr>
        <w:t>Amounts borrowed under the 2019 CoBank Credit Facility bore interest at a rate equal to, at the Company’s option, either (i) the London Interbank Offered Rate (“LIBOR”) plus an applicable margin ranging between 1.25% to</w:t>
      </w:r>
    </w:p>
    <w:p>
      <w:pPr>
        <w:spacing w:after="0" w:line="1" w:lineRule="exact"/>
        <w:rPr>
          <w:sz w:val="20"/>
          <w:szCs w:val="20"/>
          <w:color w:val="auto"/>
        </w:rPr>
      </w:pPr>
    </w:p>
    <w:p>
      <w:pPr>
        <w:ind w:left="60" w:right="99"/>
        <w:spacing w:after="0" w:line="251" w:lineRule="auto"/>
        <w:rPr>
          <w:sz w:val="20"/>
          <w:szCs w:val="20"/>
          <w:color w:val="auto"/>
        </w:rPr>
      </w:pPr>
      <w:r>
        <w:rPr>
          <w:rFonts w:ascii="Times New Roman" w:cs="Times New Roman" w:eastAsia="Times New Roman" w:hAnsi="Times New Roman"/>
          <w:sz w:val="18"/>
          <w:szCs w:val="18"/>
          <w:color w:val="auto"/>
        </w:rPr>
        <w:t>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the Company also paid a commitment fee ranging from 0.150% to 0.375% of the average daily unused portion of the 2019 CoBank Credit Facility over each calendar quarter.</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the Company entered into a General Agreement of Indemnity to issue performance Standby Letters of Credit on behalf of the Company and its subsidiaries. As of June 30, 2024, $30.9 million of Standby Letters of Credit had been issued under this agreement.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Credit Facility</w:t>
      </w:r>
    </w:p>
    <w:p>
      <w:pPr>
        <w:spacing w:after="0" w:line="256"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On December 23, 2022, Alaska Communications entered into a Credit Agreement (the “Alaska Credit Facility”) with Fifth Third Bank, National Association, as Administrative Agent, and a syndicate of lenders to provide a Revolving Credit Commitment of $75.0 million (the “Alaska Revolving Facility”) and Term Loan Commitment of $230.0 million (the “Alaska Term Loan”).</w:t>
      </w:r>
    </w:p>
    <w:p>
      <w:pPr>
        <w:spacing w:after="0" w:line="22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Alaska Communications had drawn $49.5 million on the Alaska Revolving Facility and had $25.5 million available to draw. The Alaska Term Loan balance was $225.7 million and principal payments commenced in the fourth quarter of 2023. Both facilities mature on July 22, 2026.</w:t>
      </w:r>
    </w:p>
    <w:p>
      <w:pPr>
        <w:spacing w:after="0" w:line="216"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Alaska Communications capitalized $7.3 million of fees associated with the Alaska Credit Facility which are being amortized over the life of the debt and $3.1 million were unamortized as of June 30, 2024.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Alaska Credit Facility include the following:</w:t>
      </w:r>
    </w:p>
    <w:p>
      <w:pPr>
        <w:spacing w:after="0" w:line="266" w:lineRule="exact"/>
        <w:rPr>
          <w:sz w:val="20"/>
          <w:szCs w:val="20"/>
          <w:color w:val="auto"/>
        </w:rPr>
      </w:pPr>
    </w:p>
    <w:p>
      <w:pPr>
        <w:ind w:left="1380" w:right="259" w:hanging="331"/>
        <w:spacing w:after="0" w:line="276"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outstanding bear an interest rate of the forward-looking SOFR rate with a one-month interest period, plus the SOFR Spread Adjustment of 10 basis points, plus a margin ranging from 3.00% to</w:t>
      </w:r>
    </w:p>
    <w:p>
      <w:pPr>
        <w:ind w:left="1380" w:right="47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4.00% based on Alaska Communications’ Consolidated Total Net Leverage Ratio (as defined in the Credit Agreement) or an alternate base rate may be selected at a margin that is 1% lower than the counterpart SOFR margin;</w:t>
      </w:r>
    </w:p>
    <w:p>
      <w:pPr>
        <w:spacing w:after="0" w:line="185" w:lineRule="exact"/>
        <w:rPr>
          <w:rFonts w:ascii="Times New Roman" w:cs="Times New Roman" w:eastAsia="Times New Roman" w:hAnsi="Times New Roman"/>
          <w:sz w:val="17"/>
          <w:szCs w:val="17"/>
          <w:color w:val="auto"/>
        </w:rPr>
      </w:pPr>
    </w:p>
    <w:p>
      <w:pPr>
        <w:ind w:left="1380" w:right="239" w:hanging="331"/>
        <w:spacing w:after="0" w:line="261"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are due quarterly and commenced in the fourth quarter of 2023 in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79" w:lineRule="exact"/>
        <w:rPr>
          <w:rFonts w:ascii="Times New Roman" w:cs="Times New Roman" w:eastAsia="Times New Roman" w:hAnsi="Times New Roman"/>
          <w:sz w:val="18"/>
          <w:szCs w:val="18"/>
          <w:color w:val="auto"/>
        </w:rPr>
      </w:pPr>
    </w:p>
    <w:p>
      <w:pPr>
        <w:ind w:left="1380" w:right="79" w:hanging="331"/>
        <w:spacing w:after="0" w:line="273"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is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71" w:lineRule="exact"/>
        <w:rPr>
          <w:rFonts w:ascii="Times New Roman" w:cs="Times New Roman" w:eastAsia="Times New Roman" w:hAnsi="Times New Roman"/>
          <w:sz w:val="17"/>
          <w:szCs w:val="17"/>
          <w:color w:val="auto"/>
        </w:rPr>
      </w:pPr>
    </w:p>
    <w:p>
      <w:pPr>
        <w:ind w:left="1380" w:right="45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Alaska Credit Facility is non-recourse to the Company and is secured by substantially all of the personal property and certain material real property owned by Alaska Communications.</w:t>
      </w:r>
    </w:p>
    <w:p>
      <w:pPr>
        <w:spacing w:after="0" w:line="18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November 2023, Alaska Communications entered into two forward starting 1-month floating to fixed SOFR interest rate swap agreements. The total non-amortizing notional amount of the agreements is $200.0 million, with fixed SOFR rates of 4.8695% and 4.8980% and both agreements mature on June 30, 2025. The swap agreements had a fair value of $0.1 million and $(1.2) million as of June 30, 2024 and December 31, 2023, respectively.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70"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On June 15, 2022, Alaska Communications Systems Holdings, the parent company of Alaska Communications, entered into a secured lending arrangement with Bristol Bay Industrial, LLC (the “Alaska Term Facility”).</w:t>
      </w:r>
    </w:p>
    <w:p>
      <w:pPr>
        <w:spacing w:after="0" w:line="167"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the three months ended June 30, 2024.</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On March 26, 2020, Commnet Finance, a wholly owned subsidiary of Commnet Wireless, entered into a receivables credit facility with the Company, Commnet Wireless, and CoBank, ACB (the “Receivables Credit Facility”).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2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19, 2023, CoBank amended the Receivables Credit Facility and extended the delayed draw period to December 31, 2024.</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66"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319"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Commnet Wireless had $46.5 million outstanding, of which $7.7 million was classified as being current on the Company’s balance sheet, and $11.3 million of availability under the Receivables Credit Facility. Commnet Wireless capitalized $0.8 million in fees associated with the Receivables Credit Facility which are being amortized over the life of the debt and $0.4 million were unamortized as of June 30,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GTT Credit Facilities</w:t>
      </w:r>
    </w:p>
    <w:p>
      <w:pPr>
        <w:spacing w:after="0" w:line="270"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On October 12, 2022, GTT received approval from Republic Bank (Guyana) Limited for a $2.9 million term facility and a $5.7 million overdraft facility (the “GTT Credit Facilities”).</w:t>
      </w:r>
    </w:p>
    <w:p>
      <w:pPr>
        <w:spacing w:after="0" w:line="20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GTT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October 31, 2024.</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2024, there were no outstanding amounts under the GTT Credit Facilities.</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Sacred Wind acquisition completed on November 7, 2022, the Company assumed $31.6 million of term debt (the “Sacred Wind Term Debt”) with the United States of America acting through the Administrator of the Rural Utilities Service (“RUS”). The loan agreements are dated as of October 23, 2006 and March 17, 2016. RUS provides financial assistance in the form of loans under the Rural Electrification Act of 1936 to furnish or improve telecommunications and/or broadband services in rural areas.</w:t>
      </w:r>
    </w:p>
    <w:p>
      <w:pPr>
        <w:spacing w:after="0" w:line="210"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21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June 30, 2024, the Company was in compliance with that corrective action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$26.6 million was outstanding under the Sacred Wind Term Debt. Of that amount, $3.3 million was current and $23.3 million was long term.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Viya Debt</w:t>
      </w:r>
    </w:p>
    <w:p>
      <w:pPr>
        <w:spacing w:after="0" w:line="25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The Company, and certain of its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the Company.</w:t>
      </w:r>
    </w:p>
    <w:p>
      <w:pPr>
        <w:spacing w:after="0" w:line="232"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216"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$60.0 million of the Viya Debt remained outstanding and $0.2 million of the rate lock fee was unamortized.</w:t>
      </w:r>
    </w:p>
    <w:p>
      <w:pPr>
        <w:spacing w:after="0" w:line="189" w:lineRule="exact"/>
        <w:rPr>
          <w:sz w:val="20"/>
          <w:szCs w:val="20"/>
          <w:color w:val="auto"/>
        </w:rPr>
      </w:pPr>
    </w:p>
    <w:p>
      <w:pPr>
        <w:jc w:val="both"/>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On May 5, 2022, RTFC agreed to amend the Net Leverage Ratio to 7.0 to 1.0 through the maturity date of July 1, 2026. The Ratio is tested annually, and the Company was in compliance with the Net Leverage Ratio as of December 31, 2023.</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the Company’s debt instruments (amounts in thousands):</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43"/>
        </w:trPr>
        <w:tc>
          <w:tcPr>
            <w:tcW w:w="3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21"/>
                <w:szCs w:val="21"/>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1"/>
                <w:szCs w:val="21"/>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24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160" w:type="dxa"/>
            <w:vAlign w:val="bottom"/>
          </w:tcPr>
          <w:p>
            <w:pPr>
              <w:spacing w:after="0"/>
              <w:rPr>
                <w:sz w:val="21"/>
                <w:szCs w:val="21"/>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0" w:type="dxa"/>
            <w:vAlign w:val="bottom"/>
          </w:tcPr>
          <w:p>
            <w:pPr>
              <w:spacing w:after="0"/>
              <w:rPr>
                <w:sz w:val="21"/>
                <w:szCs w:val="21"/>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21"/>
                <w:szCs w:val="21"/>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21"/>
                <w:szCs w:val="21"/>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190"/>
        </w:trPr>
        <w:tc>
          <w:tcPr>
            <w:tcW w:w="3580" w:type="dxa"/>
            <w:vAlign w:val="bottom"/>
            <w:tcBorders>
              <w:top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July 1, 2024 through December 31, 2024</w:t>
            </w: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6,050</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1,625</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7,675</w:t>
            </w: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3,786</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262,969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331,094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103,630</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9,160</w:t>
            </w: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547,944</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46,528</w:t>
            </w:r>
          </w:p>
        </w:tc>
      </w:tr>
      <w:tr>
        <w:trPr>
          <w:trHeight w:val="20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Discounts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as of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298,375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540,835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GOVERNMENT SUPPORT AND SPECTRUM MATTERS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7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recognizes revenue from several government funded programs including the Universal Service Fund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 (“RHC”). The Company’s International Telecom segment receives $5.5 million of legacy frozen high cost support funding in the US Virgin Islands. This funding expires on December 31, 2025. Additionally, the Company recognizes revenue from the FCC’s Affordable Connectivity Program (“ACP”) and the Emergency Connectivity Fund (“ECF”). The ACP provides eligible low-income consumers with a monthly subsidy for broadband connectivity and the ECF provides schools and libraries with subsidies for broadband connectivity. Funding under the ACP and ECF programs expired in the second quarter of 2024.</w:t>
      </w:r>
    </w:p>
    <w:p>
      <w:pPr>
        <w:spacing w:after="0" w:line="219"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The Company’s US Telecom segment also recognizes High Cost support revenue from the Connect America Fund Phase II program (“CAF II”) and the Enhanced Alternative Connect America Cost Model program (“E-ACAM”). These programs offer subsidies to carriers to expand broadband coverage in designated areas. Under CAF II, the Company expects to receive an aggregate of $27.7 million annually through December 2025 and an aggregate of $8.0 million annually from January 2026 through July 2028. Under E-ACAM, the Company expects to receive a total of $118.2 million over a 15 year period beginning in 2024. The annual E-ACAM funding is approximately $9 million from 2024 through 2030 and ultimately decreasing over time to $6 million in 2038.</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was awarded approximately $22.7 million over 10 years to provide broadband and voice coverage to over 10,000 households in the United States (not including Alaska) under the 2020 Rural Digital Opportunity Fund Phase I Auction (“RDOF”). Revenue recognized from the RDOF program is recognized as revenue from government grants. During the six months ended June 30, 2024, the Company entered into agreements to transfer $13.0 million of RDOF obligations. The transfer applications are pending regulatory approval.</w:t>
      </w:r>
    </w:p>
    <w:p>
      <w:pPr>
        <w:spacing w:after="0" w:line="224"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All of the programs are subject to certain operational and reporting compliance requirements. The Company believes it is in compliance with these requirements as of June 30, 2024. Revenue recognized from the USF High Cost Program, including the CAF II and E-ACAM programs, is recognized as revenue from government grants. Revenue from other programs is recognized in accordance with ASC 606.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the amounts below as communication services revenue for the reported periods (in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7"/>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gridSpan w:val="7"/>
          </w:tcPr>
          <w:p>
            <w:pPr>
              <w:jc w:val="center"/>
              <w:ind w:lef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3200" w:type="dxa"/>
            <w:vAlign w:val="bottom"/>
          </w:tcPr>
          <w:p>
            <w:pPr>
              <w:spacing w:after="0"/>
              <w:rPr>
                <w:sz w:val="24"/>
                <w:szCs w:val="2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24"/>
                <w:szCs w:val="24"/>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Telecom</w:t>
            </w: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ECF</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16,299</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9"/>
        </w:trPr>
        <w:tc>
          <w:tcPr>
            <w:tcW w:w="3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7"/>
        </w:trPr>
        <w:tc>
          <w:tcPr>
            <w:tcW w:w="3200" w:type="dxa"/>
            <w:vAlign w:val="bottom"/>
          </w:tcPr>
          <w:p>
            <w:pPr>
              <w:spacing w:after="0"/>
              <w:rPr>
                <w:sz w:val="24"/>
                <w:szCs w:val="2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24"/>
                <w:szCs w:val="24"/>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24"/>
                <w:szCs w:val="24"/>
                <w:color w:val="auto"/>
              </w:rPr>
            </w:pPr>
          </w:p>
        </w:tc>
        <w:tc>
          <w:tcPr>
            <w:tcW w:w="66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2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ECF</w:t>
            </w: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14,880</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8,877</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43,636</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46,892</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52,394</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Grants</w:t>
      </w:r>
    </w:p>
    <w:p>
      <w:pPr>
        <w:spacing w:after="0" w:line="270"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been awarded construction grants to build network connectivity for eligible communities. The funding of these grants, used to reimburse the Company for its construction costs, is generally distributed after the Company incurs reimbursable costs. Completion deadlines begin in 2024 and once these projects are constructed, the Company is obligated to provide service to the participants. The Company expects to meet all requirements associated with these grants. A roll forward of the Company’s grant awards is below (in thousands).</w:t>
      </w:r>
    </w:p>
    <w:p>
      <w:pPr>
        <w:spacing w:after="0" w:line="272" w:lineRule="exact"/>
        <w:rPr>
          <w:sz w:val="20"/>
          <w:szCs w:val="20"/>
          <w:color w:val="auto"/>
        </w:rPr>
      </w:pPr>
    </w:p>
    <w:tbl>
      <w:tblPr>
        <w:tblLayout w:type="fixed"/>
        <w:tblInd w:w="226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20" w:type="dxa"/>
            <w:vAlign w:val="bottom"/>
          </w:tcPr>
          <w:p>
            <w:pPr>
              <w:spacing w:after="0"/>
              <w:rPr>
                <w:sz w:val="3"/>
                <w:szCs w:val="3"/>
                <w:color w:val="auto"/>
              </w:rPr>
            </w:pPr>
          </w:p>
        </w:tc>
        <w:tc>
          <w:tcPr>
            <w:tcW w:w="35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awarded, December 31,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100,149</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New grants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complete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Transferred grants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0" w:type="dxa"/>
            <w:vAlign w:val="bottom"/>
          </w:tcPr>
          <w:p>
            <w:pPr>
              <w:spacing w:after="0"/>
              <w:rPr>
                <w:sz w:val="18"/>
                <w:szCs w:val="18"/>
                <w:color w:val="auto"/>
              </w:rPr>
            </w:pPr>
          </w:p>
        </w:tc>
        <w:tc>
          <w:tcPr>
            <w:tcW w:w="3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awarded,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100,149</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disbursed capital expenditures of $3.6 million under these programs and received reimbursement of $2.3 million. These cash flows are classified as investing activities in the Company’s statement of cash flows.</w:t>
      </w:r>
    </w:p>
    <w:p>
      <w:pPr>
        <w:spacing w:after="0" w:line="216"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8"/>
          <w:szCs w:val="18"/>
          <w:color w:val="auto"/>
        </w:rPr>
        <w:t>In addition, the Company partners with tribal governments to obtain grants under various government programs including the Tribal Broadband Connectivity Program (“TBCP”) and the Rural Development Broadband ReConnect Program (“ReConnect”). The TBCP and ReConnect programs are administered by United States government agencies to deploy broadband connectivity in certain underserved areas. The Company was identified as a sub recipient of grants under these programs totaling $192.6 million as of June 30, 2024. Through June 30, 2024, the Company has received $11.3 million of funding under these programs and spent $11.4 million on construction obligations. These amounts are recorded as operating cash flows in the company’s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7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On July 15, 2022, the Company was notified that it was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the Company was allocated up to approximately $207 million in reimbursement amounts to cover documented and approved costs to remove and securely destroy all ZTE communications equipment and services in its U.S. networks and replace such equipment. The Replace and Remove Program requires that the Company complete the project no later than one year from submitting its initial reimbursement request, or by July 2024. In April 2024, the FCC granted the Company’s request to extend the program’s completion deadlines to the first quarter of 2025. At this time, the Company anticipates that it will be able to meet the deadlines and requirements of the program.</w:t>
      </w:r>
    </w:p>
    <w:p>
      <w:pPr>
        <w:spacing w:after="0" w:line="232" w:lineRule="exact"/>
        <w:rPr>
          <w:sz w:val="20"/>
          <w:szCs w:val="20"/>
          <w:color w:val="auto"/>
        </w:rPr>
      </w:pPr>
    </w:p>
    <w:p>
      <w:pPr>
        <w:ind w:left="60" w:right="919" w:firstLine="648"/>
        <w:spacing w:after="0" w:line="272" w:lineRule="auto"/>
        <w:rPr>
          <w:sz w:val="20"/>
          <w:szCs w:val="20"/>
          <w:color w:val="auto"/>
        </w:rPr>
      </w:pPr>
      <w:r>
        <w:rPr>
          <w:rFonts w:ascii="Times New Roman" w:cs="Times New Roman" w:eastAsia="Times New Roman" w:hAnsi="Times New Roman"/>
          <w:sz w:val="18"/>
          <w:szCs w:val="18"/>
          <w:color w:val="auto"/>
        </w:rPr>
        <w:t>A summary of the amounts spent and reimbursed under the Replace and Remove Program is below (in thousands):</w:t>
      </w:r>
    </w:p>
    <w:tbl>
      <w:tblPr>
        <w:tblLayout w:type="fixed"/>
        <w:tblInd w:w="40" w:type="dxa"/>
        <w:tblCellMar>
          <w:top w:w="0" w:type="dxa"/>
          <w:left w:w="0" w:type="dxa"/>
          <w:bottom w:w="0" w:type="dxa"/>
          <w:right w:w="0" w:type="dxa"/>
        </w:tblCellMar>
      </w:tblPr>
      <w:tr>
        <w:trPr>
          <w:trHeight w:val="137"/>
        </w:trPr>
        <w:tc>
          <w:tcPr>
            <w:tcW w:w="4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ind w:left="160"/>
              <w:spacing w:after="0" w:line="137"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53"/>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June 30, 2024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87,388</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24,654</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(4,354)</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(41,421)</w:t>
            </w: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(10,721)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June 30, 2024</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33,194</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12,739</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June 30, 2023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At June 30, 2024, $27.3 million of the capital expenditures were accrued and unpaid. The Company expects to be reimbursed, within the next twelve months, for all amounts spent to date. Amounts identified as capital are recorded as investing cash flows and amounts identified as operating are recorded as operating cash flows in the Company’s statement of cash flows.</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Multi-employer Defined Benefit Plan</w:t>
      </w:r>
    </w:p>
    <w:p>
      <w:pPr>
        <w:spacing w:after="0" w:line="254"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right="180"/>
        <w:spacing w:after="0" w:line="282" w:lineRule="auto"/>
        <w:rPr>
          <w:sz w:val="20"/>
          <w:szCs w:val="20"/>
          <w:color w:val="auto"/>
        </w:rPr>
      </w:pPr>
      <w:r>
        <w:rPr>
          <w:rFonts w:ascii="Times New Roman" w:cs="Times New Roman" w:eastAsia="Times New Roman" w:hAnsi="Times New Roman"/>
          <w:sz w:val="18"/>
          <w:szCs w:val="18"/>
          <w:color w:val="auto"/>
        </w:rPr>
        <w:t>and plan assets are not determined for, or allocated separately to, the individual employer. This plan was not in endangered or critical status during the plan year.</w:t>
      </w:r>
    </w:p>
    <w:p>
      <w:pPr>
        <w:spacing w:after="0" w:line="20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68" w:lineRule="exact"/>
        <w:rPr>
          <w:sz w:val="20"/>
          <w:szCs w:val="20"/>
          <w:color w:val="auto"/>
        </w:rPr>
      </w:pPr>
    </w:p>
    <w:p>
      <w:pPr>
        <w:jc w:val="both"/>
        <w:ind w:left="100"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noncontributory defined benefit pension and noncontributory defined medical, dental, vision, and life benefit plans for eligible employees who meet certain eligibility criteria. The majority of benefits under the plans are frozen and the plans no longer allow new participants to join.</w:t>
      </w:r>
    </w:p>
    <w:p>
      <w:pPr>
        <w:spacing w:after="0" w:line="20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recorded the net periodic benefit cost identified below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3"/>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5"/>
                <w:szCs w:val="15"/>
                <w:color w:val="auto"/>
              </w:rPr>
            </w:pPr>
          </w:p>
        </w:tc>
        <w:tc>
          <w:tcPr>
            <w:tcW w:w="156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17"/>
        </w:trPr>
        <w:tc>
          <w:tcPr>
            <w:tcW w:w="2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Borders>
              <w:top w:val="single" w:sz="8" w:color="auto"/>
            </w:tcBorders>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Pension Postretirement</w:t>
            </w:r>
          </w:p>
        </w:tc>
        <w:tc>
          <w:tcPr>
            <w:tcW w:w="120" w:type="dxa"/>
            <w:vAlign w:val="bottom"/>
          </w:tcPr>
          <w:p>
            <w:pPr>
              <w:spacing w:after="0"/>
              <w:rPr>
                <w:sz w:val="10"/>
                <w:szCs w:val="10"/>
                <w:color w:val="auto"/>
              </w:rPr>
            </w:pPr>
          </w:p>
        </w:tc>
        <w:tc>
          <w:tcPr>
            <w:tcW w:w="14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Pension Postretirement</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9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96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60" w:type="dxa"/>
            <w:vAlign w:val="bottom"/>
          </w:tcPr>
          <w:p>
            <w:pPr>
              <w:spacing w:after="0"/>
              <w:rPr>
                <w:sz w:val="15"/>
                <w:szCs w:val="15"/>
                <w:color w:val="auto"/>
              </w:rPr>
            </w:pPr>
          </w:p>
        </w:tc>
        <w:tc>
          <w:tcPr>
            <w:tcW w:w="76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76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16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00" w:type="dxa"/>
            <w:vAlign w:val="bottom"/>
          </w:tcPr>
          <w:p>
            <w:pPr>
              <w:spacing w:after="0"/>
              <w:rPr>
                <w:sz w:val="15"/>
                <w:szCs w:val="15"/>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8"/>
              </w:rPr>
              <w:t>benefits</w:t>
            </w:r>
          </w:p>
        </w:tc>
        <w:tc>
          <w:tcPr>
            <w:tcW w:w="16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593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(729)</w:t>
            </w: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(953)</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unrecognized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24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periodic pension expense</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(322)$</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8"/>
                <w:szCs w:val="18"/>
                <w:color w:val="auto"/>
              </w:rPr>
              <w:t>(273)$</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(benefit)</w:t>
            </w:r>
          </w:p>
        </w:tc>
        <w:tc>
          <w:tcPr>
            <w:tcW w:w="20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3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00"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was not required to make contributions to its pension plans during the six months ended June 30, 2024 and 2023. However, the Company periodically evaluates whether to make discretionary contributions. The Company funds its postretirement benefit plans as claims are made and did not make contributions to its pension plans during the six months ended June 30, 2024 and 2023.</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ind w:left="100"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June 30, 2024 and 2023 was 1.8% and 88.5% respectively.</w:t>
      </w:r>
    </w:p>
    <w:p>
      <w:pPr>
        <w:spacing w:after="0" w:line="202" w:lineRule="exact"/>
        <w:rPr>
          <w:sz w:val="20"/>
          <w:szCs w:val="20"/>
          <w:color w:val="auto"/>
        </w:rPr>
      </w:pPr>
    </w:p>
    <w:p>
      <w:pPr>
        <w:ind w:left="100" w:right="240" w:firstLine="648"/>
        <w:spacing w:after="0" w:line="257" w:lineRule="auto"/>
        <w:rPr>
          <w:sz w:val="20"/>
          <w:szCs w:val="20"/>
          <w:color w:val="auto"/>
        </w:rPr>
      </w:pPr>
      <w:r>
        <w:rPr>
          <w:rFonts w:ascii="Times New Roman" w:cs="Times New Roman" w:eastAsia="Times New Roman" w:hAnsi="Times New Roman"/>
          <w:sz w:val="18"/>
          <w:szCs w:val="18"/>
          <w:color w:val="auto"/>
        </w:rPr>
        <w:t>The Company recorded an income tax expense of $0.2 million in relation to a pretax income of $11.5 million for the three months ended June 30, 2024. The effective tax rate for the three months ended June 30, 2024 was primarily impacted by the following items (i) the mix of income generated among the jurisdictions in which the Company operates,</w:t>
      </w:r>
    </w:p>
    <w:p>
      <w:pPr>
        <w:spacing w:after="0" w:line="1" w:lineRule="exact"/>
        <w:rPr>
          <w:sz w:val="20"/>
          <w:szCs w:val="20"/>
          <w:color w:val="auto"/>
        </w:rPr>
      </w:pPr>
    </w:p>
    <w:p>
      <w:pPr>
        <w:ind w:left="100" w:right="280" w:hanging="10"/>
        <w:spacing w:after="0" w:line="273" w:lineRule="auto"/>
        <w:tabs>
          <w:tab w:leader="none" w:pos="36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and a $0.8 million expense for interest on unrecognized tax positions.</w:t>
      </w:r>
    </w:p>
    <w:p>
      <w:pPr>
        <w:spacing w:after="0" w:line="213" w:lineRule="exact"/>
        <w:rPr>
          <w:sz w:val="20"/>
          <w:szCs w:val="20"/>
          <w:color w:val="auto"/>
        </w:rPr>
      </w:pPr>
    </w:p>
    <w:p>
      <w:pPr>
        <w:ind w:left="100"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an income tax benefit of $5.1 million in relation to a pretax loss of $5.7 million for the three months ended June 30, 2023. The effective tax rate for the three months ended June 30, 2023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items including a $4.0 million benefit</w:t>
      </w: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from the reversal of an unrecognized tax position due to a statute of limitations expiration and a $0.7 million expense for interest on unrecognized tax positions.</w:t>
      </w:r>
    </w:p>
    <w:p>
      <w:pPr>
        <w:spacing w:after="0" w:line="202" w:lineRule="exact"/>
        <w:rPr>
          <w:sz w:val="20"/>
          <w:szCs w:val="20"/>
          <w:color w:val="auto"/>
        </w:rPr>
      </w:pPr>
    </w:p>
    <w:p>
      <w:pPr>
        <w:ind w:left="60" w:right="639"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six months ended June 30, 2024 and 2023 was 35.0% and 43.0%, respectively.</w:t>
      </w:r>
    </w:p>
    <w:p>
      <w:pPr>
        <w:spacing w:after="0" w:line="202"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8"/>
          <w:szCs w:val="18"/>
          <w:color w:val="auto"/>
        </w:rPr>
        <w:t>The Company recorded an income tax expense of $1.8 million in relation to a pretax income of $5.2 million for the six months ended June 30, 2024. The effective tax rate for the six months ended June 30, 2024 was primarily impacted by the following items (i) the mix of income generated among the jurisdictions in which the Company operates, (ii) 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 $1.5 million expense to record an unrecognized tax position for the current year, and a $1.5 million expense for interest on unrecognized tax positions.</w:t>
      </w:r>
    </w:p>
    <w:p>
      <w:pPr>
        <w:spacing w:after="0" w:line="21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recorded an income tax benefit of $5.8 million in relation to a pretax loss of $13.5 million for the six months ended June 30, 2023. The effective tax rate for the six months ended June 30, 2023 was primarily impacted by the following items (i) the mix of income generated among the jurisdictions in which the Company operates, (ii)net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a $1.3 million expense for interest on unrecognized tax positions.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applications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EARNINGS PER SHARE AND REDEEMABLE NONCONTROLLING INTERESTS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56"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per share (in thousands):</w:t>
      </w: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ATN International, Inc.</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Basic</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Preferred dividends</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ATN International, Inc.</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7,627</w:t>
            </w:r>
          </w:p>
        </w:tc>
        <w:tc>
          <w:tcPr>
            <w:tcW w:w="3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(7,424)</w:t>
            </w:r>
          </w:p>
        </w:tc>
        <w:tc>
          <w:tcPr>
            <w:tcW w:w="0" w:type="dxa"/>
            <w:vAlign w:val="bottom"/>
          </w:tcPr>
          <w:p>
            <w:pPr>
              <w:spacing w:after="0"/>
              <w:rPr>
                <w:sz w:val="1"/>
                <w:szCs w:val="1"/>
                <w:color w:val="auto"/>
              </w:rPr>
            </w:pPr>
          </w:p>
        </w:tc>
      </w:tr>
      <w:tr>
        <w:trPr>
          <w:trHeight w:val="261"/>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stockholders- Diluted</w:t>
            </w:r>
          </w:p>
        </w:tc>
        <w:tc>
          <w:tcPr>
            <w:tcW w:w="40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700" w:type="dxa"/>
            <w:vAlign w:val="bottom"/>
            <w:vMerge w:val="continue"/>
          </w:tcPr>
          <w:p>
            <w:pPr>
              <w:spacing w:after="0"/>
              <w:rPr>
                <w:sz w:val="22"/>
                <w:szCs w:val="22"/>
                <w:color w:val="auto"/>
              </w:rPr>
            </w:pPr>
          </w:p>
        </w:tc>
        <w:tc>
          <w:tcPr>
            <w:tcW w:w="32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106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15,726</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70"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203"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earnings and losses. After the allocation of earnings and losses, the Company estimates the fair value of the common units and adjusts the book value of the common units to that estimated fair value.</w:t>
      </w:r>
    </w:p>
    <w:p>
      <w:pPr>
        <w:spacing w:after="0" w:line="224"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216"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The put options for both the common and preferred units, if any, are nonrecourse to the Company. The put options for the Alloy common units are exercisable beginning in 2026 and the put options for the Alaska Communications common and preferred units are exercisable at the earlier of a future initial public offering of the subsidiary or 2028.</w:t>
      </w:r>
    </w:p>
    <w:p>
      <w:pPr>
        <w:spacing w:after="0" w:line="185"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allocated losses of $2.7 million and $3.4 million, respectively, to the redeemable common units representing their proportionate share of operating losses. For each of the six month periods ended June 30, 2024 and 2023, the Company allocated losses of $6.2 million to the redeemable common units representing their proportionate share of operating losses. The Company then compared the book value of the common units to the fair value and the fair value exceeded the book value. As a result, the book value was increased by $0.9 million and $5.9 million during the six months ended June 30, 2024 and 2023,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activity related to the Company’s redeemable noncontrolling interests for the six months ended June 30, 2024 and 2023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Redeemable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0" w:type="dxa"/>
            <w:vAlign w:val="bottom"/>
          </w:tcPr>
          <w:p>
            <w:pPr>
              <w:spacing w:after="0"/>
              <w:rPr>
                <w:sz w:val="1"/>
                <w:szCs w:val="1"/>
                <w:color w:val="auto"/>
              </w:rPr>
            </w:pPr>
          </w:p>
        </w:tc>
      </w:tr>
      <w:tr>
        <w:trPr>
          <w:trHeight w:val="10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85,917</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0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62,821</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83,325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280" w:type="dxa"/>
            <w:vAlign w:val="bottom"/>
          </w:tcPr>
          <w:p>
            <w:pPr>
              <w:spacing w:after="0"/>
              <w:rPr>
                <w:sz w:val="24"/>
                <w:szCs w:val="24"/>
                <w:color w:val="auto"/>
              </w:rPr>
            </w:pPr>
          </w:p>
        </w:tc>
        <w:tc>
          <w:tcPr>
            <w:tcW w:w="12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22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24"/>
                <w:szCs w:val="24"/>
                <w:color w:val="auto"/>
              </w:rPr>
            </w:pPr>
          </w:p>
        </w:tc>
        <w:tc>
          <w:tcPr>
            <w:tcW w:w="10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Redeemable</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2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9"/>
                <w:szCs w:val="9"/>
                <w:color w:val="auto"/>
              </w:rPr>
            </w:pPr>
          </w:p>
        </w:tc>
        <w:tc>
          <w:tcPr>
            <w:tcW w:w="11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1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0" w:type="dxa"/>
            <w:vAlign w:val="bottom"/>
          </w:tcPr>
          <w:p>
            <w:pPr>
              <w:spacing w:after="0"/>
              <w:rPr>
                <w:sz w:val="1"/>
                <w:szCs w:val="1"/>
                <w:color w:val="auto"/>
              </w:rPr>
            </w:pPr>
          </w:p>
        </w:tc>
      </w:tr>
      <w:tr>
        <w:trPr>
          <w:trHeight w:val="108"/>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52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55,152</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37,317</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92,469</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57,458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70" w:lineRule="exact"/>
        <w:rPr>
          <w:sz w:val="20"/>
          <w:szCs w:val="20"/>
          <w:color w:val="auto"/>
        </w:rPr>
      </w:pPr>
    </w:p>
    <w:p>
      <w:pPr>
        <w:ind w:left="60" w:right="559" w:firstLine="648"/>
        <w:spacing w:after="0" w:line="282" w:lineRule="auto"/>
        <w:rPr>
          <w:sz w:val="20"/>
          <w:szCs w:val="20"/>
          <w:color w:val="auto"/>
        </w:rPr>
      </w:pPr>
      <w:r>
        <w:rPr>
          <w:rFonts w:ascii="Times New Roman" w:cs="Times New Roman" w:eastAsia="Times New Roman" w:hAnsi="Times New Roman"/>
          <w:sz w:val="18"/>
          <w:szCs w:val="18"/>
          <w:color w:val="auto"/>
        </w:rPr>
        <w:t>The Company has the following two reportable and operating segments: i) International Telecom and ii) US Telecom.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 information for each operating segment (in thousands):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w:t>
            </w:r>
          </w:p>
        </w:tc>
      </w:tr>
      <w:tr>
        <w:trPr>
          <w:trHeight w:val="20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49,532</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65,174</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52,491</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114,706</w:t>
            </w: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177,365</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87,924</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183,281</w:t>
            </w:r>
          </w:p>
        </w:tc>
      </w:tr>
      <w:tr>
        <w:trPr>
          <w:trHeight w:val="196"/>
        </w:trPr>
        <w:tc>
          <w:tcPr>
            <w:tcW w:w="3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16,277</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19,234</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35,558</w:t>
            </w:r>
          </w:p>
        </w:tc>
      </w:tr>
      <w:tr>
        <w:trPr>
          <w:trHeight w:val="198"/>
        </w:trPr>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intangibles from</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r>
    </w:tbl>
    <w:p>
      <w:pPr>
        <w:spacing w:after="0" w:line="395" w:lineRule="exact"/>
        <w:rPr>
          <w:sz w:val="20"/>
          <w:szCs w:val="20"/>
          <w:color w:val="auto"/>
        </w:rPr>
      </w:pP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24,212</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27,833</w:t>
            </w:r>
          </w:p>
        </w:tc>
      </w:tr>
      <w:tr>
        <w:trPr>
          <w:trHeight w:val="20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52,709</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65,067</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58,103</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117,776</w:t>
            </w: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35,455</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181,576</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91,981</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94,460</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186,441</w:t>
            </w: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14,106</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21,430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36,217</w:t>
            </w:r>
          </w:p>
        </w:tc>
      </w:tr>
      <w:tr>
        <w:trPr>
          <w:trHeight w:val="198"/>
        </w:trPr>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intangibles from</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r>
    </w:tbl>
    <w:p>
      <w:pPr>
        <w:spacing w:after="0" w:line="179" w:lineRule="exact"/>
        <w:rPr>
          <w:sz w:val="20"/>
          <w:szCs w:val="20"/>
          <w:color w:val="auto"/>
        </w:rPr>
      </w:pPr>
    </w:p>
    <w:p>
      <w:pPr>
        <w:ind w:left="1040" w:hanging="315"/>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99"/>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00" w:type="dxa"/>
            <w:vAlign w:val="bottom"/>
          </w:tcPr>
          <w:p>
            <w:pPr>
              <w:spacing w:after="0"/>
              <w:rPr>
                <w:sz w:val="17"/>
                <w:szCs w:val="17"/>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44,573</w:t>
            </w:r>
          </w:p>
        </w:tc>
      </w:tr>
      <w:tr>
        <w:trPr>
          <w:trHeight w:val="210"/>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54,454</w:t>
            </w:r>
          </w:p>
        </w:tc>
      </w:tr>
      <w:tr>
        <w:trPr>
          <w:trHeight w:val="20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103,030</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130,882</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123,536</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110,376</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233,912</w:t>
            </w: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67,318</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358,633</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24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188,416</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181,660</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370,076</w:t>
            </w: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32,400</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37,372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69,897</w:t>
            </w:r>
          </w:p>
        </w:tc>
      </w:tr>
      <w:tr>
        <w:trPr>
          <w:trHeight w:val="198"/>
        </w:trPr>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intangibles from</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(16,682)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28,890</w:t>
            </w:r>
          </w:p>
        </w:tc>
      </w:tr>
    </w:tbl>
    <w:p>
      <w:pPr>
        <w:spacing w:after="0" w:line="179"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99"/>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00" w:type="dxa"/>
            <w:vAlign w:val="bottom"/>
          </w:tcPr>
          <w:p>
            <w:pPr>
              <w:spacing w:after="0"/>
              <w:rPr>
                <w:sz w:val="17"/>
                <w:szCs w:val="17"/>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47,730</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55,099</w:t>
            </w:r>
          </w:p>
        </w:tc>
      </w:tr>
      <w:tr>
        <w:trPr>
          <w:trHeight w:val="20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106,141</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129,426</w:t>
            </w:r>
          </w:p>
        </w:tc>
      </w:tr>
      <w:tr>
        <w:trPr>
          <w:trHeight w:val="210"/>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118,563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117,004</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235,567</w:t>
            </w: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71,230</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362,883</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w:t>
            </w:r>
          </w:p>
        </w:tc>
      </w:tr>
      <w:tr>
        <w:trPr>
          <w:trHeight w:val="24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182,389</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189,825</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372,214</w:t>
            </w:r>
          </w:p>
        </w:tc>
      </w:tr>
      <w:tr>
        <w:trPr>
          <w:trHeight w:val="197"/>
        </w:trPr>
        <w:tc>
          <w:tcPr>
            <w:tcW w:w="3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28,292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42,917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72,621</w:t>
            </w:r>
          </w:p>
        </w:tc>
      </w:tr>
      <w:tr>
        <w:trPr>
          <w:trHeight w:val="198"/>
        </w:trPr>
        <w:tc>
          <w:tcPr>
            <w:tcW w:w="35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Amortization of intangibles from</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w:t>
            </w:r>
          </w:p>
        </w:tc>
      </w:tr>
      <w:tr>
        <w:trPr>
          <w:trHeight w:val="216"/>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(6,737)</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r>
    </w:tbl>
    <w:p>
      <w:pPr>
        <w:spacing w:after="0" w:line="179"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Selected balance sheet data for each of the Company’s segments as of June 30, 2024 and December 31, 2023 consists of the following (in thousands):</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US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9"/>
              </w:rPr>
              <w:t>Consolidated</w:t>
            </w:r>
          </w:p>
        </w:tc>
        <w:tc>
          <w:tcPr>
            <w:tcW w:w="0" w:type="dxa"/>
            <w:vAlign w:val="bottom"/>
          </w:tcPr>
          <w:p>
            <w:pPr>
              <w:spacing w:after="0"/>
              <w:rPr>
                <w:sz w:val="1"/>
                <w:szCs w:val="1"/>
                <w:color w:val="auto"/>
              </w:rPr>
            </w:pPr>
          </w:p>
        </w:tc>
      </w:tr>
      <w:tr>
        <w:trPr>
          <w:trHeight w:val="210"/>
        </w:trPr>
        <w:tc>
          <w:tcPr>
            <w:tcW w:w="32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33,563</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36,448</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73,253</w:t>
            </w: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130,572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155,822</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295,896</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475,862</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579,092</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1,061,322</w:t>
            </w: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35,269</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683,111</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997,592</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1,772,341</w:t>
            </w:r>
          </w:p>
        </w:tc>
        <w:tc>
          <w:tcPr>
            <w:tcW w:w="0" w:type="dxa"/>
            <w:vAlign w:val="bottom"/>
          </w:tcPr>
          <w:p>
            <w:pPr>
              <w:spacing w:after="0"/>
              <w:rPr>
                <w:sz w:val="1"/>
                <w:szCs w:val="1"/>
                <w:color w:val="auto"/>
              </w:rPr>
            </w:pPr>
          </w:p>
        </w:tc>
      </w:tr>
      <w:tr>
        <w:trPr>
          <w:trHeight w:val="243"/>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145,856</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268,885</w:t>
            </w: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59,801</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298,375</w:t>
            </w: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540,835</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cash equivalents, and restricted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26,354</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62,167</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281,272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1,080,659</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35,268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672,171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1,019,924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1,783,714</w:t>
            </w:r>
          </w:p>
        </w:tc>
        <w:tc>
          <w:tcPr>
            <w:tcW w:w="0" w:type="dxa"/>
            <w:vAlign w:val="bottom"/>
          </w:tcPr>
          <w:p>
            <w:pPr>
              <w:spacing w:after="0"/>
              <w:rPr>
                <w:sz w:val="1"/>
                <w:szCs w:val="1"/>
                <w:color w:val="auto"/>
              </w:rPr>
            </w:pPr>
          </w:p>
        </w:tc>
      </w:tr>
      <w:tr>
        <w:trPr>
          <w:trHeight w:val="216"/>
        </w:trPr>
        <w:tc>
          <w:tcPr>
            <w:tcW w:w="3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169,297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293,194</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64,254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six months ended June 30, 2024 and 2023, the Company spent $108.0 million and $96.4 million,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respectively, on capital expenditures relating to its telecommunications networks and business support systems of which</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$46.2 million and $7.0 million, respectively, are reimbursable under various government programs. The following notes the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Company’s capital expenditures, by operating segment, for these periods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1,579</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40" w:hanging="315"/>
        <w:spacing w:after="0"/>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Litigation Matters</w:t>
      </w:r>
    </w:p>
    <w:p>
      <w:pPr>
        <w:spacing w:after="0" w:line="27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GTT, has been subject to other long-standing litigation proceedings and disputes in Guyana that have not yet been resolved.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color w:val="auto"/>
        </w:rPr>
        <w:t>Beginning in 2006, the National Frequency Management Unit (now the Telecommunications Agency, or the “NFMU/TA”) and GTT have been engaged in discussions regarding the amount of and methodology for calculation of spectrum fees payable by GTT in Guyana. Since that time, GTT has made payments of undisputed spectrum fees as amounts invoiced by the NFMU, and to its successor, the Telecommunications Authority (“TA”). There have been limited further discussions on the subject of a revised spectrum fee methodology with the TA.</w:t>
      </w:r>
    </w:p>
    <w:p>
      <w:pPr>
        <w:spacing w:after="0" w:line="22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GTT has filed several lawsuits in the High Court of Guyana asserting that, despite its denials, Digicel is engaged in international bypass in violation of GTT’s exclusive license rights, the interconnection agreement between the parties, and the laws of Guyana. Digicel filed counterclaims alleging that GTT has violated the terms of the interconnection agreement and Guyana laws. These suits, filed in 2010 and 2012, are currently pending in the Court of Appeals in Guyana, however, the Company cannot accurately predict at this time when the consolidated suit will reach a court of final determination.</w:t>
      </w:r>
    </w:p>
    <w:p>
      <w:pPr>
        <w:spacing w:after="0" w:line="22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GTT is also involved in several legal claims regarding its tax filings with the Guyana Revenue Authority (the “GRA”) dating back to 1991 regarding the deductibility of intercompany advisory fees as well as other tax assessments. GTT has maintained that it has no unpaid corporation tax due to the GRA and that any liability GTT might be found to have with respect to the disputed tax assessments would be offset in part by the amounts claimed with respect to rights ATN has pursuant to its agreement with the government of Guyana. GTT’s position has been upheld by various High Court rulings made in its favor including most recently in February 2024, and while all matters have been appealed by the GRA, only one remains pending for determination by the High Court.</w:t>
      </w:r>
    </w:p>
    <w:p>
      <w:pPr>
        <w:spacing w:after="0" w:line="21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Rural Health Care Support Program.</w:t>
      </w:r>
    </w:p>
    <w:p>
      <w:pPr>
        <w:spacing w:after="0" w:line="228" w:lineRule="exact"/>
        <w:rPr>
          <w:sz w:val="20"/>
          <w:szCs w:val="20"/>
          <w:color w:val="auto"/>
        </w:rPr>
      </w:pPr>
    </w:p>
    <w:p>
      <w:pPr>
        <w:ind w:left="60" w:right="119" w:firstLine="648"/>
        <w:spacing w:after="0" w:line="276" w:lineRule="auto"/>
        <w:rPr>
          <w:sz w:val="20"/>
          <w:szCs w:val="20"/>
          <w:color w:val="auto"/>
        </w:rPr>
      </w:pPr>
      <w:r>
        <w:rPr>
          <w:rFonts w:ascii="Times New Roman" w:cs="Times New Roman" w:eastAsia="Times New Roman" w:hAnsi="Times New Roman"/>
          <w:sz w:val="17"/>
          <w:szCs w:val="17"/>
          <w:color w:val="auto"/>
        </w:rPr>
        <w:t>On May 8, 2024, we entered into a Consent Decree with the FCC Enforcement Bureau, regarding both the USAC and FCC Enforcement Bureau’s investigation and agreed to (i) pay a settlement amount of approximately $6.3 million, and</w:t>
      </w:r>
    </w:p>
    <w:p>
      <w:pPr>
        <w:spacing w:after="0" w:line="1" w:lineRule="exact"/>
        <w:rPr>
          <w:sz w:val="20"/>
          <w:szCs w:val="20"/>
          <w:color w:val="auto"/>
        </w:rPr>
      </w:pPr>
    </w:p>
    <w:p>
      <w:pPr>
        <w:ind w:left="60" w:right="299" w:hanging="10"/>
        <w:spacing w:after="0" w:line="260" w:lineRule="auto"/>
        <w:tabs>
          <w:tab w:leader="none" w:pos="3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three-year compliance agreement in connection with Alaska Communication’s continued participation in the RHC Program. At this time, we believe that we can comply with all of the terms of the compliance agreement.</w:t>
      </w:r>
    </w:p>
    <w:p>
      <w:pPr>
        <w:spacing w:after="0" w:line="222"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settlement amount of $6.3 million consists of a $5.3 million cash payment and the $1.0 million forgiveness of certain receivables, both of which have been accrued on the Company’s balance sheet as of June 30, 2024. As such, this settlement will not impact the statement of operations in future periods.</w:t>
      </w:r>
    </w:p>
    <w:p>
      <w:pPr>
        <w:spacing w:after="0" w:line="203" w:lineRule="exact"/>
        <w:rPr>
          <w:sz w:val="20"/>
          <w:szCs w:val="20"/>
          <w:color w:val="auto"/>
        </w:rPr>
      </w:pPr>
    </w:p>
    <w:p>
      <w:pPr>
        <w:ind w:left="60" w:right="239" w:firstLine="648"/>
        <w:spacing w:after="0" w:line="258" w:lineRule="auto"/>
        <w:rPr>
          <w:sz w:val="20"/>
          <w:szCs w:val="20"/>
          <w:color w:val="auto"/>
        </w:rPr>
      </w:pPr>
      <w:r>
        <w:rPr>
          <w:rFonts w:ascii="Times New Roman" w:cs="Times New Roman" w:eastAsia="Times New Roman" w:hAnsi="Times New Roman"/>
          <w:sz w:val="18"/>
          <w:szCs w:val="18"/>
          <w:color w:val="auto"/>
        </w:rPr>
        <w:t>With respect to all of the foregoing unresolved matters, the Company believes that some adverse outcome is probable and has accordingly accrued $12.5 million as of June 30, 2024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70" w:lineRule="exact"/>
        <w:rPr>
          <w:sz w:val="20"/>
          <w:szCs w:val="20"/>
          <w:color w:val="auto"/>
        </w:rPr>
      </w:pPr>
    </w:p>
    <w:p>
      <w:pPr>
        <w:ind w:left="80" w:right="299" w:firstLine="648"/>
        <w:spacing w:after="0" w:line="282" w:lineRule="auto"/>
        <w:rPr>
          <w:sz w:val="20"/>
          <w:szCs w:val="20"/>
          <w:color w:val="auto"/>
        </w:rPr>
      </w:pPr>
      <w:r>
        <w:rPr>
          <w:rFonts w:ascii="Times New Roman" w:cs="Times New Roman" w:eastAsia="Times New Roman" w:hAnsi="Times New Roman"/>
          <w:sz w:val="18"/>
          <w:szCs w:val="18"/>
          <w:color w:val="auto"/>
        </w:rPr>
        <w:t>We are a leading provider of digital infrastructure and communications services with a focus on rural and remote markets in the United States, and internationally, including Bermuda and the Caribbean region.</w:t>
      </w:r>
    </w:p>
    <w:p>
      <w:pPr>
        <w:spacing w:after="0" w:line="189" w:lineRule="exact"/>
        <w:rPr>
          <w:sz w:val="20"/>
          <w:szCs w:val="20"/>
          <w:color w:val="auto"/>
        </w:rPr>
      </w:pPr>
    </w:p>
    <w:p>
      <w:pPr>
        <w:ind w:left="80" w:right="159" w:firstLine="648"/>
        <w:spacing w:after="0" w:line="253" w:lineRule="auto"/>
        <w:rPr>
          <w:sz w:val="20"/>
          <w:szCs w:val="20"/>
          <w:color w:val="auto"/>
        </w:rPr>
      </w:pPr>
      <w:r>
        <w:rPr>
          <w:rFonts w:ascii="Times New Roman" w:cs="Times New Roman" w:eastAsia="Times New Roman" w:hAnsi="Times New Roman"/>
          <w:sz w:val="18"/>
          <w:szCs w:val="18"/>
          <w:color w:val="auto"/>
        </w:rPr>
        <w:t>We have developed significant operational expertise and resources that we use to augment our capabilities in our local markets. With this support, our operating subsidiaries are able to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and have the potential to complement our “First-to-Fiber” and “Glass &amp; Steel™” approach in markets while keeping a focus on generating excess operating cash flows over extended periods of time. We use the cash generated from our operations to maintain an appropriate ratio of debt and cash on hand and to fund growth and to fund capital expenditures, to return cash to our stockholders through dividends or stock repurchases, and make strategic investments or acquisitions.</w:t>
      </w:r>
    </w:p>
    <w:p>
      <w:pPr>
        <w:spacing w:after="0" w:line="232" w:lineRule="exact"/>
        <w:rPr>
          <w:sz w:val="20"/>
          <w:szCs w:val="20"/>
          <w:color w:val="auto"/>
        </w:rPr>
      </w:pPr>
    </w:p>
    <w:p>
      <w:pPr>
        <w:ind w:left="80" w:right="17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our financial segments and geographical information about our operating revenues and assets, see Notes 1 and 12 to the Consolidated Financial Statements included in this Report.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2024, we offered the following types of services to our customers:</w:t>
      </w:r>
    </w:p>
    <w:p>
      <w:pPr>
        <w:spacing w:after="0" w:line="248" w:lineRule="exact"/>
        <w:rPr>
          <w:sz w:val="20"/>
          <w:szCs w:val="20"/>
          <w:color w:val="auto"/>
        </w:rPr>
      </w:pPr>
    </w:p>
    <w:p>
      <w:pPr>
        <w:ind w:left="1220" w:right="179" w:hanging="319"/>
        <w:spacing w:after="0" w:line="286" w:lineRule="auto"/>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Telecommunications Services</w:t>
      </w:r>
      <w:r>
        <w:rPr>
          <w:rFonts w:ascii="Times New Roman" w:cs="Times New Roman" w:eastAsia="Times New Roman" w:hAnsi="Times New Roman"/>
          <w:sz w:val="18"/>
          <w:szCs w:val="18"/>
          <w:color w:val="auto"/>
        </w:rPr>
        <w:t>. We offer mobile communications services over our wireless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networks and related equipment, such as handsets, to both business and consumer customers.</w:t>
      </w:r>
    </w:p>
    <w:p>
      <w:pPr>
        <w:spacing w:after="0" w:line="154" w:lineRule="exact"/>
        <w:rPr>
          <w:rFonts w:ascii="Times New Roman" w:cs="Times New Roman" w:eastAsia="Times New Roman" w:hAnsi="Times New Roman"/>
          <w:sz w:val="18"/>
          <w:szCs w:val="18"/>
          <w:color w:val="auto"/>
        </w:rPr>
      </w:pPr>
    </w:p>
    <w:p>
      <w:pPr>
        <w:jc w:val="both"/>
        <w:ind w:left="1220" w:right="159" w:hanging="319"/>
        <w:spacing w:after="0" w:line="262" w:lineRule="auto"/>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We provide fixed data and voice telecommunications services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equipment, such as modems, to business and consumer customers. These services include consumer broadband and high-speed data solutions for businesses. For some markets, fixed services also include video services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jc w:val="both"/>
        <w:ind w:left="1220" w:right="179" w:hanging="319"/>
        <w:spacing w:after="0" w:line="268" w:lineRule="auto"/>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We deliver services to other telecommunications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leasing of critical network infrastructure such as tower and transport facilities, wholesale roaming and long distance voice services, site maintenance and international long-distance services.</w:t>
      </w:r>
    </w:p>
    <w:p>
      <w:pPr>
        <w:spacing w:after="0" w:line="170" w:lineRule="exact"/>
        <w:rPr>
          <w:rFonts w:ascii="Times New Roman" w:cs="Times New Roman" w:eastAsia="Times New Roman" w:hAnsi="Times New Roman"/>
          <w:sz w:val="18"/>
          <w:szCs w:val="18"/>
          <w:color w:val="auto"/>
        </w:rPr>
      </w:pPr>
    </w:p>
    <w:p>
      <w:pPr>
        <w:ind w:left="1220" w:right="179" w:hanging="319"/>
        <w:spacing w:after="0" w:line="268" w:lineRule="auto"/>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We provide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our business and consumer customers to complement our fixed services in our existing markets.</w:t>
      </w:r>
    </w:p>
    <w:p>
      <w:pPr>
        <w:spacing w:after="0" w:line="175" w:lineRule="exact"/>
        <w:rPr>
          <w:sz w:val="20"/>
          <w:szCs w:val="20"/>
          <w:color w:val="auto"/>
        </w:rPr>
      </w:pPr>
    </w:p>
    <w:p>
      <w:pPr>
        <w:ind w:left="60" w:right="659" w:firstLine="648"/>
        <w:spacing w:after="0" w:line="282" w:lineRule="auto"/>
        <w:rPr>
          <w:sz w:val="20"/>
          <w:szCs w:val="20"/>
          <w:color w:val="auto"/>
        </w:rPr>
      </w:pPr>
      <w:r>
        <w:rPr>
          <w:rFonts w:ascii="Times New Roman" w:cs="Times New Roman" w:eastAsia="Times New Roman" w:hAnsi="Times New Roman"/>
          <w:sz w:val="18"/>
          <w:szCs w:val="18"/>
          <w:color w:val="auto"/>
        </w:rPr>
        <w:t>Through June 30, 2024, we identified two operating segments to manage and review our operations and to facilitate investor presentations of our results. These operating segments are as follows:</w:t>
      </w:r>
    </w:p>
    <w:p>
      <w:pPr>
        <w:spacing w:after="0" w:line="158" w:lineRule="exact"/>
        <w:rPr>
          <w:sz w:val="20"/>
          <w:szCs w:val="20"/>
          <w:color w:val="auto"/>
        </w:rPr>
      </w:pPr>
    </w:p>
    <w:p>
      <w:pPr>
        <w:ind w:left="1240" w:right="219" w:hanging="326"/>
        <w:spacing w:after="0" w:line="268"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our international markets, we offer fixed services, mobility services, carrier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and managed services to customers in Bermuda, the Cayman Islands, Guyana and the US Virgin Islands.</w:t>
      </w:r>
    </w:p>
    <w:p>
      <w:pPr>
        <w:spacing w:after="0" w:line="170" w:lineRule="exact"/>
        <w:rPr>
          <w:rFonts w:ascii="Times New Roman" w:cs="Times New Roman" w:eastAsia="Times New Roman" w:hAnsi="Times New Roman"/>
          <w:sz w:val="18"/>
          <w:szCs w:val="18"/>
          <w:color w:val="auto"/>
        </w:rPr>
      </w:pPr>
    </w:p>
    <w:p>
      <w:pPr>
        <w:jc w:val="both"/>
        <w:ind w:left="1240" w:right="579" w:hanging="326"/>
        <w:spacing w:after="0" w:line="268" w:lineRule="auto"/>
        <w:tabs>
          <w:tab w:leader="none" w:pos="1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United States, we offer fixed services, carrier services, and managed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customers and consumers in Alaska and the western United States. As of June 30, 2024 we provided mobility services to retail customers in the western United States.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our principal subsidiaries, the segments in which we reported our revenue and the markets we served as of June 30, 2024:</w:t>
      </w:r>
    </w:p>
    <w:p>
      <w:pPr>
        <w:spacing w:after="0" w:line="200" w:lineRule="exact"/>
        <w:rPr>
          <w:sz w:val="20"/>
          <w:szCs w:val="20"/>
          <w:color w:val="auto"/>
        </w:rPr>
      </w:pP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Telecom</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US Telecom</w:t>
            </w:r>
          </w:p>
        </w:tc>
      </w:tr>
      <w:tr>
        <w:trPr>
          <w:trHeight w:val="142"/>
        </w:trPr>
        <w:tc>
          <w:tcPr>
            <w:tcW w:w="120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Borders>
              <w:bottom w:val="single" w:sz="8" w:color="CCEEFF"/>
            </w:tcBorders>
          </w:tcPr>
          <w:p>
            <w:pPr>
              <w:spacing w:after="0"/>
              <w:rPr>
                <w:sz w:val="12"/>
                <w:szCs w:val="12"/>
                <w:color w:val="auto"/>
              </w:rPr>
            </w:pPr>
          </w:p>
        </w:tc>
        <w:tc>
          <w:tcPr>
            <w:tcW w:w="1420" w:type="dxa"/>
            <w:vAlign w:val="bottom"/>
            <w:tcBorders>
              <w:bottom w:val="single" w:sz="8" w:color="auto"/>
              <w:right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c>
          <w:tcPr>
            <w:tcW w:w="110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w:t>
            </w:r>
          </w:p>
        </w:tc>
        <w:tc>
          <w:tcPr>
            <w:tcW w:w="80" w:type="dxa"/>
            <w:vAlign w:val="bottom"/>
            <w:shd w:val="clear" w:color="auto" w:fill="CCEEFF"/>
          </w:tcPr>
          <w:p>
            <w:pPr>
              <w:spacing w:after="0"/>
              <w:rPr>
                <w:sz w:val="16"/>
                <w:szCs w:val="16"/>
                <w:color w:val="auto"/>
              </w:rPr>
            </w:pPr>
          </w:p>
        </w:tc>
        <w:tc>
          <w:tcPr>
            <w:tcW w:w="142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 GTT, Viya,</w:t>
            </w:r>
          </w:p>
        </w:tc>
        <w:tc>
          <w:tcPr>
            <w:tcW w:w="1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Choice, Choice NTUA</w:t>
            </w:r>
          </w:p>
        </w:tc>
      </w:tr>
      <w:tr>
        <w:trPr>
          <w:trHeight w:val="234"/>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Virgin Islands</w:t>
            </w: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Brava</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(rural markets)</w:t>
            </w: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Wireless</w:t>
            </w: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6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500" w:type="dxa"/>
            <w:vAlign w:val="bottom"/>
            <w:tcBorders>
              <w:right w:val="single" w:sz="8" w:color="auto"/>
            </w:tcBorders>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One, Logic, GTT,</w:t>
            </w: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Guyana, US</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Viya, Brava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Virgin Islands</w:t>
            </w: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Sacred Wind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 Ethos,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Deploycom</w:t>
            </w: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 Services</w:t>
            </w:r>
          </w:p>
        </w:tc>
        <w:tc>
          <w:tcPr>
            <w:tcW w:w="16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Guyana,</w:t>
            </w:r>
          </w:p>
        </w:tc>
        <w:tc>
          <w:tcPr>
            <w:tcW w:w="1500" w:type="dxa"/>
            <w:vAlign w:val="bottom"/>
            <w:tcBorders>
              <w:right w:val="single" w:sz="8" w:color="auto"/>
            </w:tcBorders>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One, Essextel,</w:t>
            </w: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w:t>
            </w:r>
          </w:p>
        </w:tc>
        <w:tc>
          <w:tcPr>
            <w:tcW w:w="14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Virgin Islands</w:t>
            </w: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GTT, Viya</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tcBorders>
              <w:right w:val="single" w:sz="8" w:color="auto"/>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6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500" w:type="dxa"/>
            <w:vAlign w:val="bottom"/>
            <w:tcBorders>
              <w:right w:val="single" w:sz="8" w:color="auto"/>
            </w:tcBorders>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Fireminds, One,</w:t>
            </w: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US Virgin</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Logic, GTT, Viya,</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Choice</w:t>
            </w:r>
          </w:p>
        </w:tc>
      </w:tr>
      <w:tr>
        <w:trPr>
          <w:trHeight w:val="234"/>
        </w:trPr>
        <w:tc>
          <w:tcPr>
            <w:tcW w:w="1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Guyana</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Brava</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Carrier Managed Services</w:t>
      </w:r>
    </w:p>
    <w:p>
      <w:pPr>
        <w:spacing w:after="0" w:line="25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July 2019, we entered into a Network Build and Maintenance Agreement with AT&amp;T Mobility, LLC (“AT&amp;T”) that we subsequently amended through December 31, 2023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Since the inception of the project through June 30, 2024, we have recorded $75.6 million in construction revenue and expect to record approximately $8.0 million in additional construction revenue and related costs as sites are completed. We expect to substantially complete the build by the end of 2024 with the remainder to be completed in early 2025. Revenues from construction are expected to have minimal impact on operating income.</w:t>
      </w:r>
    </w:p>
    <w:p>
      <w:pPr>
        <w:spacing w:after="0" w:line="229" w:lineRule="exact"/>
        <w:rPr>
          <w:sz w:val="20"/>
          <w:szCs w:val="20"/>
          <w:color w:val="auto"/>
        </w:rPr>
      </w:pPr>
    </w:p>
    <w:p>
      <w:pPr>
        <w:jc w:val="both"/>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w:t>
      </w:r>
    </w:p>
    <w:p>
      <w:pPr>
        <w:spacing w:after="0" w:line="20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May 10, 2023, we entered into a Carrier Managed Services Master Agreement (the “Agreement”) with Cellco Partnership d/b/a Verizon Wireless (“Verizon”), pursuant to which we will provide a variety of network, infrastructure and technical services that will help deliver next generation wireless services to Verizon’s subscribers in our current operating area in the southwestern United States.</w:t>
      </w:r>
    </w:p>
    <w:p>
      <w:pPr>
        <w:spacing w:after="0" w:line="20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Pursuant to the Agreement and subject to certain limitations contained therein, we will upgrade our wireless service in specific areas and provide services to Verizon for an initial term ending in 2030.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Following acceptance of a cell site, we will continue to own the cell site. In addition to building the network, we will provide ongoing equipment and site maintenance and high-capacity transport to and from these cell sites for an initial term ending in 2030.</w:t>
      </w:r>
    </w:p>
    <w:p>
      <w:pPr>
        <w:spacing w:after="0" w:line="21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With respect to each of our FirstNet and Verizon agreements, our carrier partners will continue to use our wholesale domestic mobility network for roaming services at a fixed rate per site during the construction period until such time as the cell site is completed. Thereafter, revenue from the maintenance, leasing and transport services provided is expected to generally offset revenue from wholesale mobility roaming services.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5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recognize revenue from several government funded programs including the USF, a subsidy program managed by the Federal Communications Commission (“FCC”), and the Alaska Universal Service Fund (“AUSF”), a similar program managed by the Regulatory Commission of Alaska (the “RCA”). USF funds are disbursed to telecommunication providers through four programs: the High Cost Program; the Low Income Program (“Lifeline Program”); the Schools and Libraries Program (“E-Rate Program”); and the Rural Health Care Support Program. Our International Telecom segment receives $5.5 million of legacy frozen high cost support funding in the US Virgin Islands. This funding expires on December 31, 2025. Additionally, we recognize revenue from the FCC’s Affordable Connectivity Program (“ACP”) and the Emergency Connectivity Fund (“ECF”). The ACP provides eligible low-income consumers with a monthly subsidy for broadband connectivity and the ECF provides schools and libraries with subsidies for broadband connectivity. Funding under the ACP and ECF programs expired in the second quarter of 2024.</w:t>
      </w:r>
    </w:p>
    <w:p>
      <w:pPr>
        <w:spacing w:after="0" w:line="23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also recognize High Cost support revenue from the Connect America Fund Phase II program (“CAF II”) and the Enhanced Alternative Connect America Cost Model program (“E-ACAM”). These programs offer subsidies to carriers to expand broadband coverage in designated areas. Under CAF II, we expect to receive an aggregate of $27.7 million annually through December 2025 and an aggregate of $8.0 million annually from January 2026 through July 2028. Under E-ACAM, we expect to receive a total of $118.2 million over a 15 year period beginning in 2024. The annual E-ACAM funding is approximately $9 million from 2024 through 2030 and ultimately decreasing to over time $6 million in 2038.</w:t>
      </w:r>
    </w:p>
    <w:p>
      <w:pPr>
        <w:spacing w:after="0" w:line="22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were awarded approximately $22.7 million over 10 years to provide broadband and voice coverage to over 10,000 households in the United States (not including Alaska) under the 2020 Rural Digital Opportunity Fund Phase I Auction (“RDOF”). During the six months ended June 30, 2024, we entered into agreements to transfer $13.0 million of RDOF obligations. The transfer applications are pending regulatory approval.</w:t>
      </w:r>
    </w:p>
    <w:p>
      <w:pPr>
        <w:spacing w:after="0" w:line="20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of the programs are subject to certain operational and reporting compliance requirements. We believe we are in compliance with these requirements as of June 30, 2024.</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Grants</w:t>
      </w:r>
    </w:p>
    <w:p>
      <w:pPr>
        <w:spacing w:after="0" w:line="27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also been awarded construction grants to build network connectivity for eligible communities. The funding of these grants, used to reimburse us for our construction costs, is generally distributed after we incur reimbursable costs. Completion deadlines begin in 2024 and once these projects are constructed, we are obligated to provide service to the participants. We expect to meet all requirements associated with these grants. As of June 30, 2024, we were awarded $100.1 million of construction grants.</w:t>
      </w:r>
    </w:p>
    <w:p>
      <w:pPr>
        <w:spacing w:after="0" w:line="21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we disbursed capital expenditures of $3.6 million under these programs and received reimbursement of $2.3 million. These cash flows are classified as investing activities in our statement of cash flows.</w:t>
      </w:r>
    </w:p>
    <w:p>
      <w:pPr>
        <w:spacing w:after="0" w:line="21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 deploy broadband connectivity in certain underserved areas. We were identified as a sub recipient of grants under these programs totaling $192.6 million as of June 30, 2024. Through June 30, 2024, we have received $11.3 million of funding under these programs and spent $11.4 million on construction obligations. These amounts are recorded as operating cash flows in the company’s statement of cash flows.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7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On July 15, 2022, we were notified that we were an approved participant in the Federal Communication Commission’s Secure and Trusted Communications Networks Reimbursement Program (the “Replace and Remove Program”), designed to reimburse providers of communications services for reasonable costs incurred in the required removal, replacement, and disposal of covered communications equipment or services, that have been deemed to pose a national security risk, from their networks. Pursuant to the Replace and Remove Program, we were allocated up to approximately $207 million in reimbursement amounts to cover documented and approved costs to remove and securely destroy all prohibited communications equipment and services in our U.S. networks and replace such equipment. The Replace and Remove Program requires that we complete the project no later than one year from submitting our initial reimbursement request, or by July 2024. In April 2024, the FCC granted our request to extend the program’s completion deadline to the first quarter of 2025. At this time, we anticipate that we will be able to meet the deadlines and requirements of the program.</w:t>
      </w:r>
    </w:p>
    <w:p>
      <w:pPr>
        <w:spacing w:after="0" w:line="21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incurred total expenditures of $112.0 million related to this project, of which $47.7 million were incurred in 2024. Of these total expenditures, $87.4 million were classified as capital.</w:t>
      </w:r>
    </w:p>
    <w:p>
      <w:pPr>
        <w:spacing w:after="0" w:line="20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At June 30, 2024, $27.3 million of capital expenditures were accrued and unpaid. We expect to be reimbursed, within the next twelve months, for all amounts spent to date. During the six months ended June 30, 2024 we have received $52.1 million of reimbursement under the program, of which $10.7 million was classified as operating cash inflows and $41.4 million was classified as investing cash inflows in our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Selected Segment Financial Information</w:t>
      </w:r>
    </w:p>
    <w:p>
      <w:pPr>
        <w:spacing w:after="0" w:line="229"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segment information for the three months ended June 30, 2024 and 2023 (in thousands):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99"/>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7"/>
                <w:szCs w:val="17"/>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00" w:type="dxa"/>
            <w:vAlign w:val="bottom"/>
          </w:tcPr>
          <w:p>
            <w:pPr>
              <w:spacing w:after="0"/>
              <w:rPr>
                <w:sz w:val="17"/>
                <w:szCs w:val="17"/>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350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22,580</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26,811</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27,580</w:t>
            </w:r>
          </w:p>
        </w:tc>
      </w:tr>
      <w:tr>
        <w:trPr>
          <w:trHeight w:val="21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49,532</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65,174</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62,215</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52,491</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114,706</w:t>
            </w:r>
          </w:p>
        </w:tc>
      </w:tr>
      <w:tr>
        <w:trPr>
          <w:trHeight w:val="21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33,692</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93,707</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177,365</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95,357</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87,924</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183,281</w:t>
            </w:r>
          </w:p>
        </w:tc>
      </w:tr>
      <w:tr>
        <w:trPr>
          <w:trHeight w:val="196"/>
        </w:trPr>
        <w:tc>
          <w:tcPr>
            <w:tcW w:w="3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(8,973)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24,316</w:t>
            </w:r>
          </w:p>
        </w:tc>
      </w:tr>
    </w:tbl>
    <w:p>
      <w:pPr>
        <w:spacing w:after="0" w:line="395"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226"/>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9"/>
                <w:szCs w:val="19"/>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00" w:type="dxa"/>
            <w:vAlign w:val="bottom"/>
          </w:tcPr>
          <w:p>
            <w:pPr>
              <w:spacing w:after="0"/>
              <w:rPr>
                <w:sz w:val="19"/>
                <w:szCs w:val="19"/>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4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24,212</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27,833</w:t>
            </w:r>
          </w:p>
        </w:tc>
      </w:tr>
      <w:tr>
        <w:trPr>
          <w:trHeight w:val="20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52,709</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65,067</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59,673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58,103</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117,776</w:t>
            </w: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35,455</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181,576</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91,981</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94,460</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186,441</w:t>
            </w:r>
          </w:p>
        </w:tc>
      </w:tr>
      <w:tr>
        <w:trPr>
          <w:trHeight w:val="196"/>
        </w:trPr>
        <w:tc>
          <w:tcPr>
            <w:tcW w:w="3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(2,394)</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w:t>
            </w:r>
          </w:p>
        </w:tc>
      </w:tr>
    </w:tbl>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(1) Corporate and other items refer to corporate overhead costs and consolidating adjustments.</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comparison of our segment results for the three months ended June 30, 2024 and 2023 is as follows:</w:t>
      </w:r>
    </w:p>
    <w:p>
      <w:pPr>
        <w:spacing w:after="0" w:line="250"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Revenues within our International Telecom segment increased $3.4 million, or 3.7%,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$95.4 million from $92.0 million for the three months ended June 30, 2024 and 2023, respectively, primarily as a result of an increase in Fixed Revenues which increased $2.5 million, or 4.2%, to $62.2 million from $59.7 million for the three months ended June 30, 2024 and 2023, respectively. This increase in Fixed Revenues was primarily the result of network upgrades and expansions as well as improved customer care and marketing strategies which led to an increase in both business and consumer subscribers. In addition, an increase in the number of homes passed by high-speed data solutions allowed us to migrate legacy copper customers to more durable fiber services.</w:t>
      </w:r>
    </w:p>
    <w:p>
      <w:pPr>
        <w:spacing w:after="0" w:line="225"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within our International Telecom segment decreased by $14.4 million, or 18.6%, to $63.0 million from $77.4 million for the three months ended June 30, 2024 and 2023, respectively. The net decrease was the result of a $15.8 million gain on the disposition of long-lived assets, primarily real estate, and certain cost savings initiatives that commenced in previous periods partially offset by an increase in other operating expenses to support this segment’s revenue growth.</w:t>
      </w:r>
    </w:p>
    <w:p>
      <w:pPr>
        <w:spacing w:after="0" w:line="224"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As a result, our International Telecom segment’s operating income increased $17.8 million, or 121.9%, to $32.4 million from $14.6 million for the three months ended June 30, 2024 and 2023, respectively.</w:t>
      </w:r>
    </w:p>
    <w:p>
      <w:pPr>
        <w:spacing w:after="0" w:line="187" w:lineRule="exact"/>
        <w:rPr>
          <w:sz w:val="20"/>
          <w:szCs w:val="20"/>
          <w:color w:val="auto"/>
        </w:rPr>
      </w:pPr>
    </w:p>
    <w:p>
      <w:pPr>
        <w:ind w:left="60" w:right="1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Revenue within our US Telecom segment decreased by $6.6 million, or 7.0%, to $87.9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$94.5 million for the three months ended June 30, 2024 and 2023, respectively, primarily as a result of the conclusion of the Emergency Connectivity Fund during the second quarter of 2024.</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Operating expenses within our US Telecom segment decreased $9.9 million, or 10.2%, to $87.0 million from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$96.9 million for the three months ended June 30, 2024 and 2023, respectively, as a result of certain cost savings initiatives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that were implemented in previous periods.</w:t>
      </w:r>
    </w:p>
    <w:p>
      <w:pPr>
        <w:spacing w:after="0" w:line="247"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above, our US Telecom segment’s operating income (loss) increased by $3.3 million to income of $0.9 million from a loss of $2.4 million for the three months ended June 30, 2024 and 2023, respectively.</w:t>
      </w:r>
    </w:p>
    <w:p>
      <w:pPr>
        <w:spacing w:after="0" w:line="20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year over year discussion and analysis of our results of operations for the three months ended June 30, 2024 and 2023 (in thousands):</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4"/>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9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 services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177,365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181,576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183,281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186,441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excluding depreciation and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amortization unless otherwise indicated</w:t>
            </w: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communications services and 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disposition of long-lived assets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(16,375)</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r>
              <w:rPr>
                <w:rFonts w:ascii="Times New Roman" w:cs="Times New Roman" w:eastAsia="Times New Roman" w:hAnsi="Times New Roman"/>
                <w:sz w:val="18"/>
                <w:szCs w:val="18"/>
                <w:u w:val="single" w:color="auto"/>
                <w:color w:val="auto"/>
              </w:rPr>
              <w:t>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158,965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184,001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(25,036)</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21,876</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11,998</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noncontrolling interests, net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tax:</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w:t>
            </w:r>
          </w:p>
        </w:tc>
        <w:tc>
          <w:tcPr>
            <w:tcW w:w="18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9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INCOME ATTRIBUTABLE TO ATN</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3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8,236</w:t>
            </w:r>
          </w:p>
        </w:tc>
        <w:tc>
          <w:tcPr>
            <w:tcW w:w="1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1,073.8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INTERNATIONAL, INC. STOCKHOLDERS</w:t>
            </w:r>
          </w:p>
        </w:tc>
        <w:tc>
          <w:tcPr>
            <w:tcW w:w="22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Services Revenue</w:t>
      </w:r>
    </w:p>
    <w:p>
      <w:pPr>
        <w:spacing w:after="0" w:line="266" w:lineRule="exact"/>
        <w:rPr>
          <w:sz w:val="20"/>
          <w:szCs w:val="20"/>
          <w:color w:val="auto"/>
        </w:rPr>
      </w:pPr>
    </w:p>
    <w:p>
      <w:pPr>
        <w:ind w:left="6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Mobility Revenue. </w:t>
      </w:r>
      <w:r>
        <w:rPr>
          <w:rFonts w:ascii="Times New Roman" w:cs="Times New Roman" w:eastAsia="Times New Roman" w:hAnsi="Times New Roman"/>
          <w:sz w:val="18"/>
          <w:szCs w:val="18"/>
          <w:color w:val="auto"/>
        </w:rPr>
        <w:t>Our Mobility revenue consists of retail revenue generated within both our International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and US Telecom segments by providing retail mobile voice and data services over our wireless networks as well as through the sale and repair services of related equipment, such as handsets and other accessories, to our retail subscribers.</w:t>
      </w:r>
    </w:p>
    <w:p>
      <w:pPr>
        <w:spacing w:after="0" w:line="221" w:lineRule="exact"/>
        <w:rPr>
          <w:sz w:val="20"/>
          <w:szCs w:val="20"/>
          <w:color w:val="auto"/>
        </w:rPr>
      </w:pPr>
    </w:p>
    <w:p>
      <w:pPr>
        <w:jc w:val="both"/>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Mobility revenue decreased by $0.2 million, or 0.7%, to $27.6 million for the three months ended June 30, 2024 from $27.8 million for the three months ended June 30, 2023. Mobility revenue from consumer customers decreased by $1.6 million partially offset by an increase in Mobility revenue from business customers of $1.4 million.</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net decrease in Mobility revenue, within our segments, consisted of the following:</w:t>
      </w:r>
    </w:p>
    <w:p>
      <w:pPr>
        <w:spacing w:after="0" w:line="264" w:lineRule="exact"/>
        <w:rPr>
          <w:sz w:val="20"/>
          <w:szCs w:val="20"/>
          <w:color w:val="auto"/>
        </w:rPr>
      </w:pPr>
    </w:p>
    <w:p>
      <w:pPr>
        <w:ind w:left="1040" w:right="99" w:hanging="315"/>
        <w:spacing w:after="0" w:line="257"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Mobility revenue decreased by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0.4%, to $26.8 million for the three months ended June 30, 2024 from $26.9 million for the three months ended June 30, 2023. This decrease was primarily related to a decrease in the demand for voice services partially offset by an increase in the demand for data services. Mobility revenue from consumer customers decreased $1.5 million partially offset by an increase in Mobility revenue from business customers of $1.4 million.</w:t>
      </w:r>
    </w:p>
    <w:p>
      <w:pPr>
        <w:spacing w:after="0" w:line="182"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Telecom. </w:t>
      </w:r>
      <w:r>
        <w:rPr>
          <w:rFonts w:ascii="Times New Roman" w:cs="Times New Roman" w:eastAsia="Times New Roman" w:hAnsi="Times New Roman"/>
          <w:sz w:val="18"/>
          <w:szCs w:val="18"/>
          <w:color w:val="auto"/>
        </w:rPr>
        <w:t>Mobility revenue within our US Telecom segment decreased by $0.2 million, or 20.0%, to $0.8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$1.0 million for the three months ended June 30, 2024 and 2023, respectively. Substantially all of the decrease related to a decrease in revenue from consumers within our retail operations due to a reduction in subscribers as we continue to put more emphasis on other revenue sources within this segment.</w:t>
      </w:r>
    </w:p>
    <w:p>
      <w:pPr>
        <w:spacing w:after="0" w:line="182"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Mobility revenue within our International Telecom segment may increase as a result of continued network upgrades and our marketing efforts to increase the number of our subscribers, data usage, and to convert our current subscriber base to higher margin prepaid and postpaid plans. However, we believe that increased competition and regulatory changes within our international markets may limit that revenue growth. We expect that Mobility revenue within our US Telecom segment will decrease over time as we put more emphasis on other revenue sources within that segment.</w:t>
      </w:r>
    </w:p>
    <w:p>
      <w:pPr>
        <w:spacing w:after="0" w:line="204" w:lineRule="exact"/>
        <w:rPr>
          <w:sz w:val="20"/>
          <w:szCs w:val="20"/>
          <w:color w:val="auto"/>
        </w:rPr>
      </w:pPr>
    </w:p>
    <w:p>
      <w:pPr>
        <w:ind w:left="60" w:right="9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Fixed Revenue. </w:t>
      </w:r>
      <w:r>
        <w:rPr>
          <w:rFonts w:ascii="Times New Roman" w:cs="Times New Roman" w:eastAsia="Times New Roman" w:hAnsi="Times New Roman"/>
          <w:sz w:val="18"/>
          <w:szCs w:val="18"/>
          <w:color w:val="auto"/>
        </w:rPr>
        <w:t>Fixed revenue is primarily generated by broadband, voice, and video service revenues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retail and business customers over our wireline networks. Fixed revenue within our US Telecom segment also includes awards from the Connect America Fund Phase II program and, through early April 2024, the Emergency Connectivity Fund program in the western United States and Alaska, as well as revenue from the Alaska Universal Service Fund. Within our International Telecom segment, Fixed revenue also includes funding under the FCC’s High Cost Program in the US Virgin Islands.</w:t>
      </w:r>
    </w:p>
    <w:p>
      <w:pPr>
        <w:spacing w:after="0" w:line="213" w:lineRule="exact"/>
        <w:rPr>
          <w:sz w:val="20"/>
          <w:szCs w:val="20"/>
          <w:color w:val="auto"/>
        </w:rPr>
      </w:pPr>
    </w:p>
    <w:p>
      <w:pPr>
        <w:ind w:left="60" w:right="419" w:firstLine="648"/>
        <w:spacing w:after="0" w:line="261" w:lineRule="auto"/>
        <w:rPr>
          <w:sz w:val="20"/>
          <w:szCs w:val="20"/>
          <w:color w:val="auto"/>
        </w:rPr>
      </w:pPr>
      <w:r>
        <w:rPr>
          <w:rFonts w:ascii="Times New Roman" w:cs="Times New Roman" w:eastAsia="Times New Roman" w:hAnsi="Times New Roman"/>
          <w:sz w:val="18"/>
          <w:szCs w:val="18"/>
          <w:color w:val="auto"/>
        </w:rPr>
        <w:t>Fixed revenue decreased by $3.1 million, or 2.6%, to $114.7 million from $117.8 million for the three months ended June 30, 2024 and 2023, respectively. Of this net decrease of $3.1 million, revenue from business customers decreased by $3.2 million, partially offset by an increase in revenue from consumer customers of $0.1 million. The increase in Fixed revenue, within our segments, consisted of the following:</w:t>
      </w:r>
    </w:p>
    <w:p>
      <w:pPr>
        <w:spacing w:after="0" w:line="218" w:lineRule="exact"/>
        <w:rPr>
          <w:sz w:val="20"/>
          <w:szCs w:val="20"/>
          <w:color w:val="auto"/>
        </w:rPr>
      </w:pPr>
    </w:p>
    <w:p>
      <w:pPr>
        <w:ind w:left="1040" w:right="139" w:hanging="315"/>
        <w:spacing w:after="0" w:line="257"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Fixed revenue increased by $2.5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4.2%, to $62.2 million from $59.7 million for the three months ended June 30, 2024 and 2023, respectively. Of this increase, $1.0 million and $1.5 million relate to increases in revenue from business and consumer customers, respectively. This increase was a result of network upgrades and expansions which led to an increase in subscribers and the number of homes passed by high-speed data solutions which allowed us to migrate legacy copper customers to more durable and higher revenue generating fiber services.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40" w:right="239" w:hanging="315"/>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Fixed revenue within our US Telecom segment decreased by $5.6 million, or 9.6%, to $52.5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$58.1 million for the three months ended June 30, 2024 and 2023, respectively. Revenue from business and consumer customers decreased by $4.7 million and $0.9 million, respectively, primarily as a result of the expiration of the Emergency Connectivity Fund.</w:t>
      </w:r>
    </w:p>
    <w:p>
      <w:pPr>
        <w:spacing w:after="0" w:line="222" w:lineRule="exact"/>
        <w:rPr>
          <w:sz w:val="20"/>
          <w:szCs w:val="20"/>
          <w:color w:val="auto"/>
        </w:rPr>
      </w:pPr>
    </w:p>
    <w:p>
      <w:pPr>
        <w:ind w:left="60" w:right="259" w:firstLine="648"/>
        <w:spacing w:after="0" w:line="256" w:lineRule="auto"/>
        <w:rPr>
          <w:sz w:val="20"/>
          <w:szCs w:val="20"/>
          <w:color w:val="auto"/>
        </w:rPr>
      </w:pPr>
      <w:r>
        <w:rPr>
          <w:rFonts w:ascii="Times New Roman" w:cs="Times New Roman" w:eastAsia="Times New Roman" w:hAnsi="Times New Roman"/>
          <w:sz w:val="18"/>
          <w:szCs w:val="18"/>
          <w:color w:val="auto"/>
        </w:rPr>
        <w:t>Fixed revenue within our International Telecom segment may continue to increase as we continue to add subscribers to our fiber and fiber-fed data solutions deployed to expand and enhance our network reach. We expect the popularity of video and audio streaming, the demand for cloud services and smart home, business and city solutions to increase the demand for broadband and other data services from consumers, businesses and governments. However, such increases may be offset by a decrease in demand for our services due to subscribers using alternative methods to receive video and audio content.</w:t>
      </w:r>
    </w:p>
    <w:p>
      <w:pPr>
        <w:spacing w:after="0" w:line="228"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Within our US Telecom segment, we expect Fixed revenue to decrease in the short term as a result of the impact of the expiration of the Emergency Connectivity Fund. Over time, we expect these decreases to be partially offset by increases in other business revenue in Alaska and our western United States operations, as we further deploy fiber and fiber-fed broadband access to both consumers and businesses.</w:t>
      </w:r>
    </w:p>
    <w:p>
      <w:pPr>
        <w:spacing w:after="0" w:line="203" w:lineRule="exact"/>
        <w:rPr>
          <w:sz w:val="20"/>
          <w:szCs w:val="20"/>
          <w:color w:val="auto"/>
        </w:rPr>
      </w:pPr>
    </w:p>
    <w:p>
      <w:pPr>
        <w:ind w:left="60" w:right="49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Carrier Services Revenue. </w:t>
      </w:r>
      <w:r>
        <w:rPr>
          <w:rFonts w:ascii="Times New Roman" w:cs="Times New Roman" w:eastAsia="Times New Roman" w:hAnsi="Times New Roman"/>
          <w:sz w:val="18"/>
          <w:szCs w:val="18"/>
          <w:color w:val="auto"/>
        </w:rPr>
        <w:t>Carrier Services revenue is generated by both our International Telecom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Agreement and Verizon Carrier Managed Services Agreement, wholesale roaming revenues, the provision of network switching services, tower lease revenue and other services provided to other carriers.</w:t>
      </w:r>
    </w:p>
    <w:p>
      <w:pPr>
        <w:spacing w:after="0" w:line="227"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Carrier Services revenue decreased by $1.8 million, or 5.1%, to $33.7 million from $35.5 million for the three months ended June 30, 2024 and 2023, respectively. The decrease, within our segments, consisted of the following:</w:t>
      </w:r>
    </w:p>
    <w:p>
      <w:pPr>
        <w:spacing w:after="0" w:line="178" w:lineRule="exact"/>
        <w:rPr>
          <w:sz w:val="20"/>
          <w:szCs w:val="20"/>
          <w:color w:val="auto"/>
        </w:rPr>
      </w:pPr>
    </w:p>
    <w:p>
      <w:pPr>
        <w:ind w:left="1040" w:hanging="315"/>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Carrier Services revenue decreased by</w:t>
      </w:r>
    </w:p>
    <w:p>
      <w:pPr>
        <w:spacing w:after="0" w:line="29" w:lineRule="exact"/>
        <w:rPr>
          <w:rFonts w:ascii="Times New Roman" w:cs="Times New Roman" w:eastAsia="Times New Roman" w:hAnsi="Times New Roman"/>
          <w:sz w:val="18"/>
          <w:szCs w:val="18"/>
          <w:color w:val="auto"/>
        </w:rPr>
      </w:pPr>
    </w:p>
    <w:p>
      <w:pPr>
        <w:ind w:left="1040" w:right="13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$0.3 million, or 7.7%, to $3.6 million, from $3.9 million for the three months ended June 30, 2024 and 2023, respectively, primarily as a result of a decrease in roaming revenues in some of our international markets.</w:t>
      </w:r>
    </w:p>
    <w:p>
      <w:pPr>
        <w:spacing w:after="0" w:line="155" w:lineRule="exact"/>
        <w:rPr>
          <w:rFonts w:ascii="Times New Roman" w:cs="Times New Roman" w:eastAsia="Times New Roman" w:hAnsi="Times New Roman"/>
          <w:sz w:val="18"/>
          <w:szCs w:val="18"/>
          <w:color w:val="auto"/>
        </w:rPr>
      </w:pPr>
    </w:p>
    <w:p>
      <w:pPr>
        <w:ind w:left="1040" w:right="219" w:hanging="315"/>
        <w:spacing w:after="0" w:line="267"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Carrier Services revenue within our US Telecom segment decreased by $1.5 million, or 4.7%,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$30.1 million from $31.6 million, for the three months ended June 30, 2024 and 2023, respectively, as a result of the transition of legacy roaming arrangements to carrier service management contracts.</w:t>
      </w:r>
    </w:p>
    <w:p>
      <w:pPr>
        <w:spacing w:after="0" w:line="20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Within our International Telecom segment, Carrier Services revenue may increase if international travel increases. Such increases, however, may be partially offset by a decrease within our international long-distance business in Guyana as consumers seek to use alternative technology services to place long-distance calls.</w:t>
      </w:r>
    </w:p>
    <w:p>
      <w:pPr>
        <w:spacing w:after="0" w:line="216"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Within our US Telecom segment, Carrier Services revenue may increase as a result of recent carrier service management contracts.</w:t>
      </w:r>
    </w:p>
    <w:p>
      <w:pPr>
        <w:spacing w:after="0" w:line="198" w:lineRule="exact"/>
        <w:rPr>
          <w:sz w:val="20"/>
          <w:szCs w:val="20"/>
          <w:color w:val="auto"/>
        </w:rPr>
      </w:pPr>
    </w:p>
    <w:p>
      <w:pPr>
        <w:ind w:left="60" w:right="25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Other Communications Services Revenue. </w:t>
      </w:r>
      <w:r>
        <w:rPr>
          <w:rFonts w:ascii="Times New Roman" w:cs="Times New Roman" w:eastAsia="Times New Roman" w:hAnsi="Times New Roman"/>
          <w:sz w:val="18"/>
          <w:szCs w:val="18"/>
          <w:color w:val="auto"/>
        </w:rPr>
        <w:t>Other Communications Services revenue includes miscellaneous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that the operations within our International Telecom segment provide to retail subscribers and project-related revenue generated within both our International and US Telecom segments. Other Communications Services revenue increased by $0.9 million to $1.4 million from $0.5 million for the three months ended June 30, 2024 and 2023, respectively, primarily as a result of non-recurring project-related revenue being recognized within both our International Telecom and US Telecom segments, respectively, during the three months ended June 30, 2024.</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expect that other communications services revenue will decline to previously reported levels as the project-related fiber deployment engineering services revenue, reported during the quarter ended June 30, 2024, is not expected to continue subsequent to the completion of that project.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Revenue</w:t>
      </w:r>
    </w:p>
    <w:p>
      <w:pPr>
        <w:spacing w:after="0" w:line="27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Construction revenue represents revenue generated within our US Telecom segment for the construction of network cell sites related to the FirstNet Agreement. During the three months ended June 30, 2024 and 2023, Construction revenue decreased to $0.8 million from $1.0 million, respectively, as a result of a decrease in the number of sites completed during 2024 as compared to 2023. We expect to substantially complete the build by the end of 2024 with the remainder to be completed in early 2025.</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66" w:lineRule="exact"/>
        <w:rPr>
          <w:sz w:val="20"/>
          <w:szCs w:val="20"/>
          <w:color w:val="auto"/>
        </w:rPr>
      </w:pPr>
    </w:p>
    <w:p>
      <w:pPr>
        <w:ind w:left="60" w:right="9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Managed Services Revenue. </w:t>
      </w:r>
      <w:r>
        <w:rPr>
          <w:rFonts w:ascii="Times New Roman" w:cs="Times New Roman" w:eastAsia="Times New Roman" w:hAnsi="Times New Roman"/>
          <w:sz w:val="18"/>
          <w:szCs w:val="18"/>
          <w:color w:val="auto"/>
        </w:rPr>
        <w:t>Managed Services revenue is generated within both our International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 and includes network, application, infrastructure, and hosting services. Managed Services revenue increased $1.3 million, or 34.2%, to $5.1 million from $3.8 million during the three months ended June 30, 2024 and 2023, respectively. The net increase in Managed Services revenue, within our segments, consisted of the following:</w:t>
      </w:r>
    </w:p>
    <w:p>
      <w:pPr>
        <w:spacing w:after="0" w:line="221"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Within our International Telecom segment, Managed Services revenue increased $0.5 million, or 41.7%, to $1.7 million from $1.2 million for the three months ended June 30, 2024 and 2023, respectively, as a result of our continued efforts to sell Managed Services solutions across all of our international markets.</w:t>
      </w:r>
    </w:p>
    <w:p>
      <w:pPr>
        <w:spacing w:after="0" w:line="203"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Within our US Telecom segment, Managed Services revenue increased $0.7 million, or 25.9%, to $3.4 million from $2.7 million for the three months ended June 30, 2024 and 2023, respectively, as a result of our continued efforts to sell Managed Services solutions to all of our US markets.</w:t>
      </w:r>
    </w:p>
    <w:p>
      <w:pPr>
        <w:spacing w:after="0" w:line="216"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Managed Services revenue may increase in both our US and International Telecom segments as a result of our continued effort to sell certain Managed Services solutions to both our consumer and business customers in all of our markets.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2"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communication services and other. </w:t>
      </w:r>
      <w:r>
        <w:rPr>
          <w:rFonts w:ascii="Times New Roman" w:cs="Times New Roman" w:eastAsia="Times New Roman" w:hAnsi="Times New Roman"/>
          <w:sz w:val="18"/>
          <w:szCs w:val="18"/>
          <w:color w:val="auto"/>
        </w:rPr>
        <w:t>Cost of communication services and other are charges that we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voice and data transport circuits (in particular, the circuits between our Mobility sites and our switches),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and other decreased by $1.6 million, or 2.1%, to $76.1 million from $77.7 million for the three months ended June 30, 2024 and 2023, respectively. The net decrease in cost of communication services and other, within our segments, consisted of the following:</w:t>
      </w:r>
    </w:p>
    <w:p>
      <w:pPr>
        <w:spacing w:after="0" w:line="214" w:lineRule="exact"/>
        <w:rPr>
          <w:sz w:val="20"/>
          <w:szCs w:val="20"/>
          <w:color w:val="auto"/>
        </w:rPr>
      </w:pPr>
    </w:p>
    <w:p>
      <w:pPr>
        <w:ind w:left="1040" w:right="99" w:hanging="315"/>
        <w:spacing w:after="0" w:line="258"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cost of communication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$0.7 million, or 2.0%, to $33.8 million from $34.5 million for the three months ended June 30, 2024 and 2023, respectively. This segment incurred a decrease in its cost of communication services and other expenses as a result of the impact of certain cost savings initiatives that commenced in previous periods partially offset by an increase in these costs to support this segment’s revenue growth.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40" w:right="239" w:hanging="315"/>
        <w:spacing w:after="0" w:line="257"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Cost of communication services and other within our US Telecom segment decreased by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2.3%, to $42.3 million from $43.3 million for the three months ended June 30, 2024 and 2023, respectively. Such decrease was a result of the beneficial impact of certain cost savings initiatives that commenced during previous periods as well as a reduction in the costs associated with the Emergency Connectivity Fund which was terminated during the second quarter of 2024. Such decreases were partially offset by an increase in costs associated with the increase in project-related revenues.</w:t>
      </w:r>
    </w:p>
    <w:p>
      <w:pPr>
        <w:spacing w:after="0" w:line="225"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in both our International and US Telecom segments may continue to decrease as a result of the ongoing cost reduction initiatives that commenced in previous periods but may be partially offset by future inflationary pressure.</w:t>
      </w:r>
    </w:p>
    <w:p>
      <w:pPr>
        <w:spacing w:after="0" w:line="212" w:lineRule="exact"/>
        <w:rPr>
          <w:sz w:val="20"/>
          <w:szCs w:val="20"/>
          <w:color w:val="auto"/>
        </w:rPr>
      </w:pPr>
    </w:p>
    <w:p>
      <w:pPr>
        <w:ind w:left="60" w:right="13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construction revenue. </w:t>
      </w:r>
      <w:r>
        <w:rPr>
          <w:rFonts w:ascii="Times New Roman" w:cs="Times New Roman" w:eastAsia="Times New Roman" w:hAnsi="Times New Roman"/>
          <w:sz w:val="18"/>
          <w:szCs w:val="18"/>
          <w:color w:val="auto"/>
        </w:rPr>
        <w:t>Cost of construction revenue includes the expenses incurred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of and the delivery to AT&amp;T of cell sites in accordance with our FirstNet Agreement. During the three months ended June 30, 2024 and 2023, cost of construction revenue decreased to $0.8 million from $1.0 million as a result of a decrease in the number of sites completed during 2024 as compared to 2023. We expect to substantially complete the build by the end of 2024 with the remainder to be completed in early 2025.</w:t>
      </w:r>
    </w:p>
    <w:p>
      <w:pPr>
        <w:spacing w:after="0" w:line="206"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22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$4.2 million, or 6.8%, to $57.7 million from $61.9 million for the three months ended June 30, 2024 and 2023, respectively. The changes in selling, general and administrative expenses, within our segments, consisted of the following:</w:t>
      </w:r>
    </w:p>
    <w:p>
      <w:pPr>
        <w:spacing w:after="0" w:line="214" w:lineRule="exact"/>
        <w:rPr>
          <w:sz w:val="20"/>
          <w:szCs w:val="20"/>
          <w:color w:val="auto"/>
        </w:rPr>
      </w:pPr>
    </w:p>
    <w:p>
      <w:pPr>
        <w:ind w:left="1040" w:right="99" w:hanging="315"/>
        <w:spacing w:after="0" w:line="258"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our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decreased by $0.1 million, or 0.4%, to $28.3 million from $28.4 million for the three months ended June 30, 2024 and 2023, respectively. This decrease was the result of the beneficial impact of certain cost savings initiatives within most of our international markets that commenced during previous periods partially offset by an increase in costs needed to support the expansion of our subscriber base.</w:t>
      </w:r>
    </w:p>
    <w:p>
      <w:pPr>
        <w:spacing w:after="0" w:line="183"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Selling, general and administrative expenses decreased within our US Telecom segment by $4.5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16.4%, to $22.9 million from $27.4 million, for the three months ended June 30, 2024 and 2023, respectively. This decrease, which was incurred in all of our US markets, was primarily related to certain cost savings initiatives that commenced in previous periods.</w:t>
      </w:r>
    </w:p>
    <w:p>
      <w:pPr>
        <w:spacing w:after="0" w:line="179" w:lineRule="exact"/>
        <w:rPr>
          <w:rFonts w:ascii="Times New Roman" w:cs="Times New Roman" w:eastAsia="Times New Roman" w:hAnsi="Times New Roman"/>
          <w:sz w:val="18"/>
          <w:szCs w:val="18"/>
          <w:color w:val="auto"/>
        </w:rPr>
      </w:pPr>
    </w:p>
    <w:p>
      <w:pPr>
        <w:ind w:left="1040" w:right="179" w:hanging="315"/>
        <w:spacing w:after="0" w:line="26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Overhead. </w:t>
      </w:r>
      <w:r>
        <w:rPr>
          <w:rFonts w:ascii="Times New Roman" w:cs="Times New Roman" w:eastAsia="Times New Roman" w:hAnsi="Times New Roman"/>
          <w:sz w:val="18"/>
          <w:szCs w:val="18"/>
          <w:color w:val="auto"/>
        </w:rPr>
        <w:t>Selling, general and administrative expenses within our corporate overhead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$0.3 million, or 4.8%, to $6.5 million from $6.2 million, for the three months ended June 30, 2024 and 2023, respectively, primarily related to an increase in professional fees.</w:t>
      </w:r>
    </w:p>
    <w:p>
      <w:pPr>
        <w:spacing w:after="0" w:line="202"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both our International and US Telecom segments, as well as our Corporate Overhead, may decrease as a result of the ongoing cost reduction initiatives that commenced in previous periods but may be partially offset by future inflationary pressure.</w:t>
      </w:r>
    </w:p>
    <w:p>
      <w:pPr>
        <w:spacing w:after="0" w:line="212"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represents a non-cash expense related to the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grants of equity awards to employees and directors.</w:t>
      </w:r>
    </w:p>
    <w:p>
      <w:pPr>
        <w:spacing w:after="0" w:line="19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for the three months ended June 30, 2024 and 2023 was $2.8 million and $2.7 million, respectively.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7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Transaction-related charges. </w:t>
      </w:r>
      <w:r>
        <w:rPr>
          <w:rFonts w:ascii="Times New Roman" w:cs="Times New Roman" w:eastAsia="Times New Roman" w:hAnsi="Times New Roman"/>
          <w:sz w:val="18"/>
          <w:szCs w:val="18"/>
          <w:color w:val="auto"/>
        </w:rPr>
        <w:t>Transaction-related charges include the external costs, such as legal,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and consulting fees directly associated with acquisition and disposition-related activities, which are expensed as incurred. Transaction-related charges also include certain internal personnel costs incurred as a result of the completion of an acquisition or disposition. Transaction-related charges do not include employee salary and travel-related expenses, incurred in connection with acquisitions or dispositions or any integration-related costs.</w:t>
      </w:r>
    </w:p>
    <w:p>
      <w:pPr>
        <w:spacing w:after="0" w:line="224"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We incurred a nominal amount of transaction-related charges during the three months ended June 30, 2024 and $0.4 million during the three months ended June 30, 2023.</w:t>
      </w:r>
    </w:p>
    <w:p>
      <w:pPr>
        <w:spacing w:after="0" w:line="198" w:lineRule="exact"/>
        <w:rPr>
          <w:sz w:val="20"/>
          <w:szCs w:val="20"/>
          <w:color w:val="auto"/>
        </w:rPr>
      </w:pPr>
    </w:p>
    <w:p>
      <w:pPr>
        <w:ind w:left="6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Restructuring expenses. </w:t>
      </w:r>
      <w:r>
        <w:rPr>
          <w:rFonts w:ascii="Times New Roman" w:cs="Times New Roman" w:eastAsia="Times New Roman" w:hAnsi="Times New Roman"/>
          <w:sz w:val="18"/>
          <w:szCs w:val="18"/>
          <w:color w:val="auto"/>
        </w:rPr>
        <w:t>We did not record any restructuring expenses during the three months ended June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In connection with our repositioning of our legacy wholesale roaming operations in our US Telecom segment, we recorded a $0.4 million restructuring charge during the three months ended June 30, 2023 primarily related to the decommissioning of certain cell sites.</w:t>
      </w:r>
    </w:p>
    <w:p>
      <w:pPr>
        <w:spacing w:after="0" w:line="203" w:lineRule="exact"/>
        <w:rPr>
          <w:sz w:val="20"/>
          <w:szCs w:val="20"/>
          <w:color w:val="auto"/>
        </w:rPr>
      </w:pPr>
    </w:p>
    <w:p>
      <w:pPr>
        <w:ind w:left="60" w:right="279" w:firstLine="6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represent the depreciation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amortization charges we record on our property and equipment.</w:t>
      </w:r>
    </w:p>
    <w:p>
      <w:pPr>
        <w:spacing w:after="0" w:line="199"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decreased by $0.6 million, or 1.7%, to $35.6 million from $36.2 million for the three months ended June 30, 2024 and 2023, respectively. The net decrease in depreciation and amortization expenses, within our segments, consisted primarily of the following:</w:t>
      </w:r>
    </w:p>
    <w:p>
      <w:pPr>
        <w:spacing w:after="0" w:line="214" w:lineRule="exact"/>
        <w:rPr>
          <w:sz w:val="20"/>
          <w:szCs w:val="20"/>
          <w:color w:val="auto"/>
        </w:rPr>
      </w:pPr>
    </w:p>
    <w:p>
      <w:pPr>
        <w:ind w:left="1040" w:right="19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Depreciation and amortization expenses increased within our International Telecom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by $2.2 million, or 15.6%, to $16.3 million from $14.1 million, for three months ended June 30, 2024 and 2023, respectively. Increases were incurred in all of our international markets as a result of recent capital expenditures used to expand and upgrade our network operations.</w:t>
      </w:r>
    </w:p>
    <w:p>
      <w:pPr>
        <w:spacing w:after="0" w:line="179" w:lineRule="exact"/>
        <w:rPr>
          <w:rFonts w:ascii="Times New Roman" w:cs="Times New Roman" w:eastAsia="Times New Roman" w:hAnsi="Times New Roman"/>
          <w:sz w:val="18"/>
          <w:szCs w:val="18"/>
          <w:color w:val="auto"/>
        </w:rPr>
      </w:pPr>
    </w:p>
    <w:p>
      <w:pPr>
        <w:ind w:left="1040" w:right="219" w:hanging="315"/>
        <w:spacing w:after="0" w:line="267"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Depreciation and amortization expenses decreased within our US Telecom segment by $2.2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10.3%, to $19.2 million from $21.4 million, for the three months ended June 30, 2024 and 2023, respectively, primarily as a result of certain assets becoming fully depreciated in recent periods.</w:t>
      </w:r>
    </w:p>
    <w:p>
      <w:pPr>
        <w:spacing w:after="0" w:line="173" w:lineRule="exact"/>
        <w:rPr>
          <w:rFonts w:ascii="Times New Roman" w:cs="Times New Roman" w:eastAsia="Times New Roman" w:hAnsi="Times New Roman"/>
          <w:sz w:val="18"/>
          <w:szCs w:val="18"/>
          <w:color w:val="auto"/>
        </w:rPr>
      </w:pPr>
    </w:p>
    <w:p>
      <w:pPr>
        <w:ind w:left="1040" w:right="259" w:hanging="315"/>
        <w:spacing w:after="0" w:line="267"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Overhead</w:t>
      </w:r>
      <w:r>
        <w:rPr>
          <w:rFonts w:ascii="Times New Roman" w:cs="Times New Roman" w:eastAsia="Times New Roman" w:hAnsi="Times New Roman"/>
          <w:sz w:val="18"/>
          <w:szCs w:val="18"/>
          <w:color w:val="auto"/>
        </w:rPr>
        <w:t>. Depreciation and amortization expenses decreased within our corporate overhead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$0.6 million to a nominal amount from $0.7 million, for the three months ended June 30, 2024 and 2023, respectively, primarily as a result of certain assets becoming fully depreciated in recent periods.</w:t>
      </w:r>
    </w:p>
    <w:p>
      <w:pPr>
        <w:spacing w:after="0" w:line="202"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We expect depreciation and amortization expenses to increase in our International Telecom segment as a result of recent capital expenditures and decrease within our US Telecom segments as some of our tangible and intangible assets we acquired are now fully depreciated.</w:t>
      </w:r>
    </w:p>
    <w:p>
      <w:pPr>
        <w:spacing w:after="0" w:line="212" w:lineRule="exact"/>
        <w:rPr>
          <w:sz w:val="20"/>
          <w:szCs w:val="20"/>
          <w:color w:val="auto"/>
        </w:rPr>
      </w:pPr>
    </w:p>
    <w:p>
      <w:pPr>
        <w:ind w:left="60" w:right="5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from acquisitions. </w:t>
      </w:r>
      <w:r>
        <w:rPr>
          <w:rFonts w:ascii="Times New Roman" w:cs="Times New Roman" w:eastAsia="Times New Roman" w:hAnsi="Times New Roman"/>
          <w:sz w:val="18"/>
          <w:szCs w:val="18"/>
          <w:color w:val="auto"/>
        </w:rPr>
        <w:t>Amortization of intangibles from acquisitions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customer relationships and trade names related to our completed acquisitions.</w:t>
      </w:r>
    </w:p>
    <w:p>
      <w:pPr>
        <w:spacing w:after="0" w:line="199"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Amortization of intangibles from acquisitions decreased by $1.2 million to $1.9 million from $3.1 million for the three months ended June 30, 2024 and 2023, respectively, as a result of certain intangible assets becoming fully amortized in recent periods.</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expect that amortization of intangibles from acquisitions will decrease as such costs continue to amortize.</w:t>
      </w:r>
    </w:p>
    <w:p>
      <w:pPr>
        <w:spacing w:after="0" w:line="262" w:lineRule="exact"/>
        <w:rPr>
          <w:sz w:val="20"/>
          <w:szCs w:val="20"/>
          <w:color w:val="auto"/>
        </w:rPr>
      </w:pPr>
    </w:p>
    <w:p>
      <w:pPr>
        <w:ind w:left="60" w:right="3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Gain (loss) on disposition of assets</w:t>
      </w:r>
      <w:r>
        <w:rPr>
          <w:rFonts w:ascii="Times New Roman" w:cs="Times New Roman" w:eastAsia="Times New Roman" w:hAnsi="Times New Roman"/>
          <w:sz w:val="18"/>
          <w:szCs w:val="18"/>
          <w:color w:val="auto"/>
        </w:rPr>
        <w:t>. During the three months ended June 30, 2024, we recorded a gain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of assets of $15.9 million primarily relating to the sale of real estate in our International Telecom segment.</w:t>
      </w:r>
    </w:p>
    <w:p>
      <w:pPr>
        <w:spacing w:after="0" w:line="199"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2023, we recorded a loss on the disposition of long-lived assets of $0.4 million within our US Telecom segment.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represents interest earned on our cash, cash equivalents, restricted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 balances. Interest income was $0.1 million and a nominal amount for the three months ended June 30, 2024 and 2023, respectively.</w:t>
      </w:r>
    </w:p>
    <w:p>
      <w:pPr>
        <w:spacing w:after="0" w:line="211" w:lineRule="exact"/>
        <w:rPr>
          <w:sz w:val="20"/>
          <w:szCs w:val="20"/>
          <w:color w:val="auto"/>
        </w:rPr>
      </w:pPr>
    </w:p>
    <w:p>
      <w:pPr>
        <w:jc w:val="both"/>
        <w:ind w:left="60" w:right="3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We incur interest expense on the 2023 CoBank Credit Facility, the Alaska Credit and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the FirstNet Receivables Credit Facility, the GTT Credit Facilities, the Sacred Wind Term Debt and the Viya Debt. In addition, interest expense includes commitment fees, letter of credit fees and the amortization of debt issuance costs.</w:t>
      </w:r>
    </w:p>
    <w:p>
      <w:pPr>
        <w:spacing w:after="0" w:line="221" w:lineRule="exact"/>
        <w:rPr>
          <w:sz w:val="20"/>
          <w:szCs w:val="20"/>
          <w:color w:val="auto"/>
        </w:rPr>
      </w:pPr>
    </w:p>
    <w:p>
      <w:pPr>
        <w:jc w:val="both"/>
        <w:ind w:left="60" w:right="439" w:firstLine="648"/>
        <w:spacing w:after="0" w:line="289" w:lineRule="auto"/>
        <w:rPr>
          <w:sz w:val="20"/>
          <w:szCs w:val="20"/>
          <w:color w:val="auto"/>
        </w:rPr>
      </w:pPr>
      <w:r>
        <w:rPr>
          <w:rFonts w:ascii="Times New Roman" w:cs="Times New Roman" w:eastAsia="Times New Roman" w:hAnsi="Times New Roman"/>
          <w:sz w:val="17"/>
          <w:szCs w:val="17"/>
          <w:color w:val="auto"/>
        </w:rPr>
        <w:t>Interest expense increased to $12.3 million from $10.4 million for the three months ended June 30, 2024 and 2023, respectively, as additional interest expense was incurred as a result of an increase in borrowings under our credit facilities and a year-over-year increase in the term SOFR rate on all floating-rate borrowings under those facilities.</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expense may increase in future periods as a result of additional borrowings or an increase in interest rates.</w:t>
      </w:r>
    </w:p>
    <w:p>
      <w:pPr>
        <w:spacing w:after="0" w:line="262"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(expense). </w:t>
      </w:r>
      <w:r>
        <w:rPr>
          <w:rFonts w:ascii="Times New Roman" w:cs="Times New Roman" w:eastAsia="Times New Roman" w:hAnsi="Times New Roman"/>
          <w:sz w:val="18"/>
          <w:szCs w:val="18"/>
          <w:color w:val="auto"/>
        </w:rPr>
        <w:t>For the three months ended June 30, 2024, other income (expense) was $0.6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primarily related to expenses for certain employee benefit plans and losses on foreign currency transactions.</w:t>
      </w:r>
    </w:p>
    <w:p>
      <w:pPr>
        <w:spacing w:after="0" w:line="19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2023, other income (expense) was $2.2 million of income primarily related to gains from our noncontrolling investments.</w:t>
      </w:r>
    </w:p>
    <w:p>
      <w:pPr>
        <w:spacing w:after="0" w:line="185" w:lineRule="exact"/>
        <w:rPr>
          <w:sz w:val="20"/>
          <w:szCs w:val="20"/>
          <w:color w:val="auto"/>
        </w:rPr>
      </w:pPr>
    </w:p>
    <w:p>
      <w:pPr>
        <w:ind w:left="60" w:right="35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for the three months ended June 30, 2024 and 2023 was 1.8% and 88.5%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w:t>
      </w:r>
    </w:p>
    <w:p>
      <w:pPr>
        <w:spacing w:after="0" w:line="199"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We recorded an income tax expense of $0.2 million in relation to a pretax income of $11.5 million for the three months ended June 30, 2024. The effective tax rate for the three months ended June 30, 2024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and a $0.8 million expense for interest on unrecognized tax positions.</w:t>
      </w:r>
    </w:p>
    <w:p>
      <w:pPr>
        <w:spacing w:after="0" w:line="229"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We recorded an income tax benefit of $5.1 million in relation to a pretax loss of $5.7 million for the three months ended June 30, 2023. The effective tax rate for the three months ended June 30, 2023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a $0.7 million expense for interest on unrecognized tax positions.</w:t>
      </w:r>
    </w:p>
    <w:p>
      <w:pPr>
        <w:spacing w:after="0" w:line="20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noncontrolling interests, net of tax. </w:t>
      </w:r>
      <w:r>
        <w:rPr>
          <w:rFonts w:ascii="Times New Roman" w:cs="Times New Roman" w:eastAsia="Times New Roman" w:hAnsi="Times New Roman"/>
          <w:sz w:val="18"/>
          <w:szCs w:val="18"/>
          <w:color w:val="auto"/>
        </w:rPr>
        <w:t>Net income (loss)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noncontrolling interests, net of tax reflected an allocation of $2.3 million of income and $1.4 million of losses generated by our less than wholly owned subsidiaries for the three months ended June 30, 2024 and 2023, respectively. Changes in net income (loss) attributable to noncontrolling interests, net of tax, within our segments, consisted of the following:</w:t>
      </w:r>
    </w:p>
    <w:p>
      <w:pPr>
        <w:spacing w:after="0" w:line="219" w:lineRule="exact"/>
        <w:rPr>
          <w:sz w:val="20"/>
          <w:szCs w:val="20"/>
          <w:color w:val="auto"/>
        </w:rPr>
      </w:pPr>
    </w:p>
    <w:p>
      <w:pPr>
        <w:ind w:left="1040" w:right="259" w:hanging="315"/>
        <w:spacing w:after="0" w:line="258"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net income (loss)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interests, net of tax increased by $3.1 million, or 155.0%, to an allocation of $5.1 million of income from an allocation of $2.0 million of income for the three months ended June 30, 2024 and 2023, respectively, largely as a result of the $15.9 million gain we recorded on the disposition of assets, primarily real estate, and increased profitability at certain less than wholly owned subsidiaries.</w:t>
      </w:r>
    </w:p>
    <w:p>
      <w:pPr>
        <w:spacing w:after="0" w:line="183" w:lineRule="exact"/>
        <w:rPr>
          <w:rFonts w:ascii="Times New Roman" w:cs="Times New Roman" w:eastAsia="Times New Roman" w:hAnsi="Times New Roman"/>
          <w:sz w:val="18"/>
          <w:szCs w:val="18"/>
          <w:color w:val="auto"/>
        </w:rPr>
      </w:pPr>
    </w:p>
    <w:p>
      <w:pPr>
        <w:ind w:left="1040" w:right="219" w:hanging="315"/>
        <w:spacing w:after="0" w:line="261"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net income (loss) attributable to noncontrolling interests,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tax decreased by $0.7 million, or 20.0%, to an allocation of losses of $2.8 million from an allocation of losses of $3.5 million for the three months ended June 30, 2024 and 2023, respectively, as a result of decreased losses at our less than wholly owned subsidiaries within this segment.</w:t>
      </w:r>
    </w:p>
    <w:p>
      <w:pPr>
        <w:spacing w:after="0" w:line="178" w:lineRule="exact"/>
        <w:rPr>
          <w:sz w:val="20"/>
          <w:szCs w:val="20"/>
          <w:color w:val="auto"/>
        </w:rPr>
      </w:pPr>
    </w:p>
    <w:p>
      <w:pPr>
        <w:jc w:val="both"/>
        <w:ind w:left="60" w:right="1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ATN International, Inc. stockholders. </w:t>
      </w:r>
      <w:r>
        <w:rPr>
          <w:rFonts w:ascii="Times New Roman" w:cs="Times New Roman" w:eastAsia="Times New Roman" w:hAnsi="Times New Roman"/>
          <w:sz w:val="18"/>
          <w:szCs w:val="18"/>
          <w:color w:val="auto"/>
        </w:rPr>
        <w:t>Net income (loss) attributable to ATN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Inc. stockholders was $9.0 million of income for the three months ended June 30, 2024 as compared to $0.8 million of income for the three months ended June 30, 2023.</w:t>
      </w:r>
    </w:p>
    <w:p>
      <w:pPr>
        <w:spacing w:after="0" w:line="215"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On a per diluted share basis, net income was $0.50 per diluted share for the three months ended June 30, 2024 as compared to a loss of $0.03 per diluted share for the three months ended June 30, 2023. Such per share amounts were negatively impacted by accrued preferred dividends of $1.4 million and $1.3 million for the three months ended June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Selected Segment Financial Information</w:t>
      </w:r>
    </w:p>
    <w:p>
      <w:pPr>
        <w:spacing w:after="0" w:line="270"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segment information for the six months ended June 30, 2024 and 2023 (in thousands):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86"/>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44,573</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52,848</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54,454</w:t>
            </w:r>
          </w:p>
        </w:tc>
      </w:tr>
      <w:tr>
        <w:trPr>
          <w:trHeight w:val="209"/>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37,247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103,030</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130,882</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123,536</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110,376</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233,912</w:t>
            </w:r>
          </w:p>
        </w:tc>
      </w:tr>
      <w:tr>
        <w:trPr>
          <w:trHeight w:val="209"/>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67,318</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10"/>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185,456</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358,633</w:t>
            </w:r>
          </w:p>
        </w:tc>
      </w:tr>
      <w:tr>
        <w:trPr>
          <w:trHeight w:val="209"/>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r>
      <w:tr>
        <w:trPr>
          <w:trHeight w:val="21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188,416</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181,660</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370,076</w:t>
            </w:r>
          </w:p>
        </w:tc>
      </w:tr>
      <w:tr>
        <w:trPr>
          <w:trHeight w:val="197"/>
        </w:trPr>
        <w:tc>
          <w:tcPr>
            <w:tcW w:w="3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44,090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(16,682)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28,890</w:t>
            </w:r>
          </w:p>
        </w:tc>
      </w:tr>
    </w:tbl>
    <w:p>
      <w:pPr>
        <w:spacing w:after="0" w:line="179"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00" w:type="dxa"/>
            <w:vAlign w:val="bottom"/>
          </w:tcPr>
          <w:p>
            <w:pPr>
              <w:spacing w:after="0"/>
              <w:rPr>
                <w:sz w:val="16"/>
                <w:szCs w:val="16"/>
                <w:color w:val="auto"/>
              </w:rPr>
            </w:pPr>
          </w:p>
        </w:tc>
        <w:tc>
          <w:tcPr>
            <w:tcW w:w="12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920" w:type="dxa"/>
            <w:vAlign w:val="bottom"/>
          </w:tcPr>
          <w:p>
            <w:pPr>
              <w:spacing w:after="0"/>
              <w:rPr>
                <w:sz w:val="16"/>
                <w:szCs w:val="16"/>
                <w:color w:val="auto"/>
              </w:rPr>
            </w:pPr>
          </w:p>
        </w:tc>
      </w:tr>
      <w:tr>
        <w:trPr>
          <w:trHeight w:val="185"/>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0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00" w:type="dxa"/>
            <w:vAlign w:val="bottom"/>
          </w:tcPr>
          <w:p>
            <w:pPr>
              <w:spacing w:after="0"/>
              <w:rPr>
                <w:sz w:val="16"/>
                <w:szCs w:val="16"/>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16"/>
        </w:trPr>
        <w:tc>
          <w:tcPr>
            <w:tcW w:w="3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47,730</w:t>
            </w:r>
          </w:p>
        </w:tc>
      </w:tr>
      <w:tr>
        <w:trPr>
          <w:trHeight w:val="209"/>
        </w:trPr>
        <w:tc>
          <w:tcPr>
            <w:tcW w:w="35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52,963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55,099</w:t>
            </w:r>
          </w:p>
        </w:tc>
      </w:tr>
      <w:tr>
        <w:trPr>
          <w:trHeight w:val="210"/>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34,327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106,141</w:t>
            </w:r>
          </w:p>
        </w:tc>
      </w:tr>
      <w:tr>
        <w:trPr>
          <w:trHeight w:val="216"/>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129,426</w:t>
            </w:r>
          </w:p>
        </w:tc>
      </w:tr>
      <w:tr>
        <w:trPr>
          <w:trHeight w:val="209"/>
        </w:trPr>
        <w:tc>
          <w:tcPr>
            <w:tcW w:w="3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118,563</w:t>
            </w:r>
          </w:p>
        </w:tc>
        <w:tc>
          <w:tcPr>
            <w:tcW w:w="2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117,004</w:t>
            </w:r>
          </w:p>
        </w:tc>
        <w:tc>
          <w:tcPr>
            <w:tcW w:w="2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235,567</w:t>
            </w:r>
          </w:p>
        </w:tc>
      </w:tr>
      <w:tr>
        <w:trPr>
          <w:trHeight w:val="210"/>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71,230</w:t>
            </w: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179,944</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182,939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362,883</w:t>
            </w:r>
          </w:p>
        </w:tc>
      </w:tr>
      <w:tr>
        <w:trPr>
          <w:trHeight w:val="21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w:t>
            </w:r>
          </w:p>
        </w:tc>
      </w:tr>
      <w:tr>
        <w:trPr>
          <w:trHeight w:val="209"/>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w:t>
            </w:r>
          </w:p>
        </w:tc>
      </w:tr>
      <w:tr>
        <w:trPr>
          <w:trHeight w:val="209"/>
        </w:trPr>
        <w:tc>
          <w:tcPr>
            <w:tcW w:w="35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7,721</w:t>
            </w:r>
          </w:p>
        </w:tc>
      </w:tr>
      <w:tr>
        <w:trPr>
          <w:trHeight w:val="250"/>
        </w:trPr>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182,389</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189,825</w:t>
            </w:r>
          </w:p>
        </w:tc>
        <w:tc>
          <w:tcPr>
            <w:tcW w:w="2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372,214</w:t>
            </w:r>
          </w:p>
        </w:tc>
      </w:tr>
      <w:tr>
        <w:trPr>
          <w:trHeight w:val="196"/>
        </w:trPr>
        <w:tc>
          <w:tcPr>
            <w:tcW w:w="3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4"/>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(6,737)</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r>
    </w:tbl>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Corporate and other items refer to corporate overhead costs and consolidating adjustments.</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comparison of our segment results for the six months ended June 30, 2024, and 2023 is as follows:</w:t>
      </w:r>
    </w:p>
    <w:p>
      <w:pPr>
        <w:spacing w:after="0" w:line="264"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Revenues within our International Telecom segment increased $6.0 million, or 3.3%,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$188.4 million from $182.4 million for the six months ended June 30, 2024 and 2023, respectively, primarily as a result of an increase in Fixed Revenues which increased $4.9 million, or 4.1%, to $123.5 million from $118.6 million for the six months ended June 30, 2024 and 2023, respectively. This increase in Fixed Revenues was primarily the result of network upgrades and expansions as well as improved customer care and marketing strategies which led to an increase in both business and consumer subscribers. In addition, an increase in the number of homes passed by high-speed data solutions allowed us to migrate legacy copper customers to more durable fiber services.</w:t>
      </w:r>
    </w:p>
    <w:p>
      <w:pPr>
        <w:spacing w:after="0" w:line="212" w:lineRule="exact"/>
        <w:rPr>
          <w:sz w:val="20"/>
          <w:szCs w:val="20"/>
          <w:color w:val="auto"/>
        </w:rPr>
      </w:pPr>
    </w:p>
    <w:p>
      <w:pPr>
        <w:ind w:left="60" w:right="339" w:firstLine="648"/>
        <w:spacing w:after="0" w:line="258" w:lineRule="auto"/>
        <w:rPr>
          <w:sz w:val="20"/>
          <w:szCs w:val="20"/>
          <w:color w:val="auto"/>
        </w:rPr>
      </w:pPr>
      <w:r>
        <w:rPr>
          <w:rFonts w:ascii="Times New Roman" w:cs="Times New Roman" w:eastAsia="Times New Roman" w:hAnsi="Times New Roman"/>
          <w:sz w:val="18"/>
          <w:szCs w:val="18"/>
          <w:color w:val="auto"/>
        </w:rPr>
        <w:t>Operating expenses within our International Telecom segment decreased by $9.7 million, or 6.3%, to $144.3 million from $154.0 million for the six months ended June 30, 2024 and 2023, respectively. The net decrease was the result of a $15.8 million gain on the disposition of long-lived assets, primarily real estate, and certain cost savings initiatives that commenced in previous periods partially offset by an increase in other operating expenses to support this segment’s revenue growth.</w:t>
      </w:r>
    </w:p>
    <w:p>
      <w:pPr>
        <w:spacing w:after="0" w:line="224"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As a result, our International Telecom segment’s operating income increased $15.7 million, or 55.3%, to $44.1 million from $28.4 million for the six months ended June 30, 2024 and 2023, respectively.</w:t>
      </w:r>
    </w:p>
    <w:p>
      <w:pPr>
        <w:spacing w:after="0" w:line="200" w:lineRule="exact"/>
        <w:rPr>
          <w:sz w:val="20"/>
          <w:szCs w:val="20"/>
          <w:color w:val="auto"/>
        </w:rPr>
      </w:pPr>
    </w:p>
    <w:p>
      <w:pPr>
        <w:ind w:left="60" w:right="17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Revenue within our US Telecom segment decreased by $8.1 million, or 4.3%, to $181.7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$189.8 million for the six months ended June 30, 2024 and 2023, respectively, primarily as a result of the conclusion of the Emergency Connectivity Fund during the second quarter of 2024.</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Operating expenses within our US Telecom segment decreased $16.3 million, or 8.3%, to $180.2 million from</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$196.5 million for the six months ended June 30, 2024 and 2023, respectively, as a result of certain cost savings initiatives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that commenced in previous periods.</w:t>
      </w:r>
    </w:p>
    <w:p>
      <w:pPr>
        <w:spacing w:after="0" w:line="247"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above, our US Telecom segment’s operating income (loss) increased by $8.2 million to income of $1.5 million from a loss of $6.7 million for the six months ended June 30, 2024 and 2023, respectively.</w:t>
      </w:r>
    </w:p>
    <w:p>
      <w:pPr>
        <w:spacing w:after="0" w:line="202"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year over year discussion and analysis of our results of operations for the six months ended June 30, 2024 and 2023 (in thousands):</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50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5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7"/>
                <w:szCs w:val="17"/>
                <w:color w:val="auto"/>
              </w:rPr>
            </w:pP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50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 services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358,633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362,883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370,076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372,214</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0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excluding depreciation and</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amortization unless otherwise indicated</w:t>
            </w: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156,527</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156,759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118,979</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123,262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(4,283)</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(432)</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69,897</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(2,724)</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loss on disposition of long-lived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(16,422)</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(16,700)</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(6,007.2)</w:t>
            </w:r>
          </w:p>
        </w:tc>
        <w:tc>
          <w:tcPr>
            <w:tcW w:w="0" w:type="dxa"/>
            <w:vAlign w:val="bottom"/>
          </w:tcPr>
          <w:p>
            <w:pPr>
              <w:spacing w:after="0"/>
              <w:rPr>
                <w:sz w:val="1"/>
                <w:szCs w:val="1"/>
                <w:color w:val="auto"/>
              </w:rPr>
            </w:pPr>
          </w:p>
        </w:tc>
      </w:tr>
      <w:tr>
        <w:trPr>
          <w:trHeight w:val="210"/>
        </w:trPr>
        <w:tc>
          <w:tcPr>
            <w:tcW w:w="50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341,186</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369,140</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(27,954)</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(23,857)</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(19,256)</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(4,601)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(2,817)</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(16,618)</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2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5,213</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(5,827)</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noncontrolling interests, net of</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(3,300)</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(127.0)</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ATN</w:t>
            </w: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04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c>
          <w:tcPr>
            <w:tcW w:w="200" w:type="dxa"/>
            <w:vAlign w:val="bottom"/>
            <w:shd w:val="clear" w:color="auto" w:fill="CCEEFF"/>
          </w:tcPr>
          <w:p>
            <w:pPr>
              <w:spacing w:after="0"/>
              <w:rPr>
                <w:sz w:val="15"/>
                <w:szCs w:val="15"/>
                <w:color w:val="auto"/>
              </w:rPr>
            </w:pP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(5,118)</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20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INC. STOCKHOLDERS</w:t>
            </w:r>
          </w:p>
        </w:tc>
        <w:tc>
          <w:tcPr>
            <w:tcW w:w="100" w:type="dxa"/>
            <w:vAlign w:val="bottom"/>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right w:val="single" w:sz="8" w:color="CCEEFF"/>
            </w:tcBorders>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Services Revenue</w:t>
      </w:r>
    </w:p>
    <w:p>
      <w:pPr>
        <w:spacing w:after="0" w:line="266" w:lineRule="exact"/>
        <w:rPr>
          <w:sz w:val="20"/>
          <w:szCs w:val="20"/>
          <w:color w:val="auto"/>
        </w:rPr>
      </w:pPr>
    </w:p>
    <w:p>
      <w:pPr>
        <w:ind w:left="60" w:right="3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Mobility Revenue. </w:t>
      </w:r>
      <w:r>
        <w:rPr>
          <w:rFonts w:ascii="Times New Roman" w:cs="Times New Roman" w:eastAsia="Times New Roman" w:hAnsi="Times New Roman"/>
          <w:sz w:val="18"/>
          <w:szCs w:val="18"/>
          <w:color w:val="auto"/>
        </w:rPr>
        <w:t>Mobility revenue decreased by $0.6 million, or 1.1%, to $54.5 million for the six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2024 from $55.1 million for the six months ended June 30, 2023. Mobility revenue from consumer customers decreased by $3.1 million partially offset by an increase in Mobility revenue from business customers of $2.5 million.</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net decrease in Mobility revenue, within our segments, consisted of the following:</w:t>
      </w:r>
    </w:p>
    <w:p>
      <w:pPr>
        <w:spacing w:after="0" w:line="250" w:lineRule="exact"/>
        <w:rPr>
          <w:sz w:val="20"/>
          <w:szCs w:val="20"/>
          <w:color w:val="auto"/>
        </w:rPr>
      </w:pPr>
    </w:p>
    <w:p>
      <w:pPr>
        <w:ind w:left="1040" w:right="99" w:hanging="315"/>
        <w:spacing w:after="0" w:line="257"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Mobility revenue decreased by $0.1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0.2%, to $52.8 million for the six months ended June 30, 2024 from $52.9 million for the six months ended June 30, 2023. This decrease was primarily related to a decrease in the demand for voice services partially offset by an increase in the demand for data services. Mobility revenue from consumer customers decreased $2.8 million partially offset by an increase in Mobility revenue from business customers of $2.7 million.</w:t>
      </w:r>
    </w:p>
    <w:p>
      <w:pPr>
        <w:spacing w:after="0" w:line="182"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Telecom. </w:t>
      </w:r>
      <w:r>
        <w:rPr>
          <w:rFonts w:ascii="Times New Roman" w:cs="Times New Roman" w:eastAsia="Times New Roman" w:hAnsi="Times New Roman"/>
          <w:sz w:val="18"/>
          <w:szCs w:val="18"/>
          <w:color w:val="auto"/>
        </w:rPr>
        <w:t>Mobility revenue within our US Telecom segment decreased by $0.5 million, or 23.8%, to $1.6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$2.1 million for the six months ended June 30, 2024 and 2023, respectively. Substantially all of the decrease related to a decrease in revenue from consumers within our retail operations due to a reduction in subscribers as we continue to put more emphasis on other revenue sources within this segment.</w:t>
      </w:r>
    </w:p>
    <w:p>
      <w:pPr>
        <w:spacing w:after="0" w:line="218" w:lineRule="exact"/>
        <w:rPr>
          <w:sz w:val="20"/>
          <w:szCs w:val="20"/>
          <w:color w:val="auto"/>
        </w:rPr>
      </w:pPr>
    </w:p>
    <w:p>
      <w:pPr>
        <w:ind w:left="60" w:right="1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Fixed Revenue. </w:t>
      </w:r>
      <w:r>
        <w:rPr>
          <w:rFonts w:ascii="Times New Roman" w:cs="Times New Roman" w:eastAsia="Times New Roman" w:hAnsi="Times New Roman"/>
          <w:sz w:val="18"/>
          <w:szCs w:val="18"/>
          <w:color w:val="auto"/>
        </w:rPr>
        <w:t>Fixed revenue decreased by $1.7 million, or 0.7%, to $233.9 million from $235.6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six months ended June 30, 2024 and 2023, respectively. Revenue from business customers decreased by $3.1 million, partially offset by an increase in revenue from consumer customers of $1.5 million. The increase in Fixed revenue, within our segments, consisted of the following:</w:t>
      </w:r>
    </w:p>
    <w:p>
      <w:pPr>
        <w:spacing w:after="0" w:line="219" w:lineRule="exact"/>
        <w:rPr>
          <w:sz w:val="20"/>
          <w:szCs w:val="20"/>
          <w:color w:val="auto"/>
        </w:rPr>
      </w:pPr>
    </w:p>
    <w:p>
      <w:pPr>
        <w:ind w:left="1040" w:right="139" w:hanging="315"/>
        <w:spacing w:after="0" w:line="257"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Fixed revenue increased by $4.9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4.1%, to $123.5 million from $118.6 million for the six months ended June 30, 2024 and 2023, respectively. Of this increase, $2.9 million and $2.0 million relate to increases in revenue from business and consumer customers, respectively. This increase was a result of network upgrades and expansions which led to an increase in subscribers and the number of homes passed by high-speed data solutions which allowed us to migrate legacy copper customers to more durable and higher revenue generating fiber services.</w:t>
      </w:r>
    </w:p>
    <w:p>
      <w:pPr>
        <w:spacing w:after="0" w:line="182" w:lineRule="exact"/>
        <w:rPr>
          <w:rFonts w:ascii="Times New Roman" w:cs="Times New Roman" w:eastAsia="Times New Roman" w:hAnsi="Times New Roman"/>
          <w:sz w:val="18"/>
          <w:szCs w:val="18"/>
          <w:color w:val="auto"/>
        </w:rPr>
      </w:pPr>
    </w:p>
    <w:p>
      <w:pPr>
        <w:ind w:left="1040" w:right="159" w:hanging="315"/>
        <w:spacing w:after="0" w:line="261"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Fixed revenue within our US Telecom segment decreased by $6.6 million, or 5.6%, to $110.4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$117.0 million for the three months ended June 30, 2024 and 2023, respectively. Revenue from business and consumer customers decreased by $6.0 million and $0.6 million, respectively, primarily as a result of the expiration of the Emergency Connectivity Fund during the second quarter of 2024.</w:t>
      </w:r>
    </w:p>
    <w:p>
      <w:pPr>
        <w:spacing w:after="0" w:line="205"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Carrier Services Revenue. </w:t>
      </w:r>
      <w:r>
        <w:rPr>
          <w:rFonts w:ascii="Times New Roman" w:cs="Times New Roman" w:eastAsia="Times New Roman" w:hAnsi="Times New Roman"/>
          <w:sz w:val="18"/>
          <w:szCs w:val="18"/>
          <w:color w:val="auto"/>
        </w:rPr>
        <w:t>Carrier Services revenue decreased by $3.9 million, or 5.5%, to $67.3 million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$71.2 million for the six months ended June 30, 2024 and 2023, respectively. The decrease, within our segments, consisted of the following:</w:t>
      </w:r>
    </w:p>
    <w:p>
      <w:pPr>
        <w:spacing w:after="0" w:line="213"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Carrier Services revenue decreased by</w:t>
      </w:r>
    </w:p>
    <w:p>
      <w:pPr>
        <w:spacing w:after="0" w:line="29" w:lineRule="exact"/>
        <w:rPr>
          <w:rFonts w:ascii="Times New Roman" w:cs="Times New Roman" w:eastAsia="Times New Roman" w:hAnsi="Times New Roman"/>
          <w:sz w:val="18"/>
          <w:szCs w:val="18"/>
          <w:color w:val="auto"/>
        </w:rPr>
      </w:pPr>
    </w:p>
    <w:p>
      <w:pPr>
        <w:ind w:left="1040" w:right="139"/>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$0.4 million, or 5.3%, to $7.2 million, from $7.6 million for the three months ended June 30, 2024 and 2023, respectively, primarily as a result of a decrease in roaming revenues in some of our international markets.</w:t>
      </w:r>
    </w:p>
    <w:p>
      <w:pPr>
        <w:spacing w:after="0" w:line="155" w:lineRule="exact"/>
        <w:rPr>
          <w:rFonts w:ascii="Times New Roman" w:cs="Times New Roman" w:eastAsia="Times New Roman" w:hAnsi="Times New Roman"/>
          <w:sz w:val="18"/>
          <w:szCs w:val="18"/>
          <w:color w:val="auto"/>
        </w:rPr>
      </w:pPr>
    </w:p>
    <w:p>
      <w:pPr>
        <w:ind w:left="1040" w:right="219" w:hanging="315"/>
        <w:spacing w:after="0" w:line="267"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Carrier Services revenue within our US Telecom segment decreased by $3.6 million, or 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$60.1 million from $63.7 million, for the six months ended June 30, 2024 and 2023, respectively, as a result of the transition of legacy roaming arrangements to carrier service management contracts.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Communications Services Revenue. </w:t>
      </w:r>
      <w:r>
        <w:rPr>
          <w:rFonts w:ascii="Times New Roman" w:cs="Times New Roman" w:eastAsia="Times New Roman" w:hAnsi="Times New Roman"/>
          <w:sz w:val="18"/>
          <w:szCs w:val="18"/>
          <w:color w:val="auto"/>
        </w:rPr>
        <w:t>Other Communications Services revenue increased by $1.9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$2.9 million from $1.0 million for the six months ended June 30, 2024 and 2023, respectively, primarily as a result of non-recurring project-related revenue being recognized within our International Telecom and US Telecom segments, respectively, during the six months ended June 30, 2024.</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Revenue</w:t>
      </w:r>
    </w:p>
    <w:p>
      <w:pPr>
        <w:spacing w:after="0" w:line="270" w:lineRule="exact"/>
        <w:rPr>
          <w:sz w:val="20"/>
          <w:szCs w:val="20"/>
          <w:color w:val="auto"/>
        </w:rPr>
      </w:pPr>
    </w:p>
    <w:p>
      <w:pPr>
        <w:ind w:left="60" w:right="259"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and 2023, Construction revenue increased to $2.4 million from $1.6 million, respectively, as a result of an increase in the number of sites completed during 2024 as compared to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66" w:lineRule="exact"/>
        <w:rPr>
          <w:sz w:val="20"/>
          <w:szCs w:val="20"/>
          <w:color w:val="auto"/>
        </w:rPr>
      </w:pPr>
    </w:p>
    <w:p>
      <w:pPr>
        <w:ind w:left="60" w:right="19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Managed Services Revenue. </w:t>
      </w:r>
      <w:r>
        <w:rPr>
          <w:rFonts w:ascii="Times New Roman" w:cs="Times New Roman" w:eastAsia="Times New Roman" w:hAnsi="Times New Roman"/>
          <w:sz w:val="18"/>
          <w:szCs w:val="18"/>
          <w:color w:val="auto"/>
        </w:rPr>
        <w:t>Managed Services revenue increased $1.3 million, or 16.9%, to $9.0 million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$7.7 million during the six months ended June 30, 2024 and 2023, respectively. The net increase in Managed Services revenue, within our segments, consisted of the following:</w:t>
      </w:r>
    </w:p>
    <w:p>
      <w:pPr>
        <w:spacing w:after="0" w:line="215"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Within our International Telecom segment, Managed Services revenue increased $0.6 million, or 25.0%, to $3.0 million from $2.4 million for the six months ended June 30, 2024 and 2023, respectively, as a result of our continued efforts to sell Managed Services solutions across all of our international markets.</w:t>
      </w:r>
    </w:p>
    <w:p>
      <w:pPr>
        <w:spacing w:after="0" w:line="203"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Within our US Telecom segment, Managed Services revenue increased $0.8 million, or 15.1%, to $6.1 million from $5.3 million for the six months ended June 30, 2024 and 2023, respectively, as a result of our continued efforts to sell Managed Services solutions to all of our US markets.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6" w:lineRule="exact"/>
        <w:rPr>
          <w:sz w:val="20"/>
          <w:szCs w:val="20"/>
          <w:color w:val="auto"/>
        </w:rPr>
      </w:pPr>
    </w:p>
    <w:p>
      <w:pPr>
        <w:ind w:left="60" w:right="379"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Cost of communication services and other. </w:t>
      </w:r>
      <w:r>
        <w:rPr>
          <w:rFonts w:ascii="Times New Roman" w:cs="Times New Roman" w:eastAsia="Times New Roman" w:hAnsi="Times New Roman"/>
          <w:sz w:val="17"/>
          <w:szCs w:val="17"/>
          <w:color w:val="auto"/>
        </w:rPr>
        <w:t>Cost of communication services and other decreased by $0.3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million, or 0.2%, to $156.5 million from $156.8 million for the six months ended June 30, 2024 and 2023, respectively. The net increase in cost of communication services and other, within our segments, consisted of the following:</w:t>
      </w:r>
    </w:p>
    <w:p>
      <w:pPr>
        <w:spacing w:after="0" w:line="182" w:lineRule="exact"/>
        <w:rPr>
          <w:sz w:val="20"/>
          <w:szCs w:val="20"/>
          <w:color w:val="auto"/>
        </w:rPr>
      </w:pPr>
    </w:p>
    <w:p>
      <w:pPr>
        <w:ind w:left="1040" w:right="119" w:hanging="315"/>
        <w:spacing w:after="0" w:line="258"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cost of communication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$0.7 million, or 1.0%, to $68.0 million from $68.7 million for the six months ended June 30, 2024 and 2023. This segment incurred a decrease in its cost of communication services and other expenses as a result of the impact of certain cost savings initiatives that commenced in previous periods partially offset by an increase in these costs to support this segment’s revenue growth.</w:t>
      </w:r>
    </w:p>
    <w:p>
      <w:pPr>
        <w:spacing w:after="0" w:line="115" w:lineRule="exact"/>
        <w:rPr>
          <w:rFonts w:ascii="Times New Roman" w:cs="Times New Roman" w:eastAsia="Times New Roman" w:hAnsi="Times New Roman"/>
          <w:sz w:val="18"/>
          <w:szCs w:val="18"/>
          <w:color w:val="auto"/>
        </w:rPr>
      </w:pPr>
    </w:p>
    <w:p>
      <w:pPr>
        <w:ind w:left="1040" w:right="259" w:hanging="315"/>
        <w:spacing w:after="0" w:line="256" w:lineRule="auto"/>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Cost of communication services and other within our US Telecom segment increased by $0.4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0.5%, to $88.7 million from $88.3 million for the six months ended June 30, 2024 and 2023, respectively. Such increase was primarily related to increases in transport costs as well as costs associated with the increase in project-related revenues. These increases, however, were partially offset by the beneficial impact of certain cost savings initiatives that commenced during previous periods as well as a reduction in the costs associated with the Emergency Connectivity Fund which was terminated during the second quarter of 2024.</w:t>
      </w:r>
    </w:p>
    <w:p>
      <w:pPr>
        <w:spacing w:after="0" w:line="221" w:lineRule="exact"/>
        <w:rPr>
          <w:sz w:val="20"/>
          <w:szCs w:val="20"/>
          <w:color w:val="auto"/>
        </w:rPr>
      </w:pPr>
    </w:p>
    <w:p>
      <w:pPr>
        <w:ind w:left="60" w:right="5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construction revenue. </w:t>
      </w:r>
      <w:r>
        <w:rPr>
          <w:rFonts w:ascii="Times New Roman" w:cs="Times New Roman" w:eastAsia="Times New Roman" w:hAnsi="Times New Roman"/>
          <w:sz w:val="18"/>
          <w:szCs w:val="18"/>
          <w:color w:val="auto"/>
        </w:rPr>
        <w:t>During the six months ended June 30, 2024 and 2023, cost of construction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to $2.4 million from $1.6 million as a result of an increase in the number of sites completed during 2024 as compared to 2023.</w:t>
      </w:r>
    </w:p>
    <w:p>
      <w:pPr>
        <w:spacing w:after="0" w:line="211"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$4.3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or 3.5%, to $119.0 million from $123.3 million during the six months ended June 30, 2024 and 2023, respectively. The changes in selling, general and administrative expenses, within our segments, consisted of the following:</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40" w:right="199" w:hanging="315"/>
        <w:spacing w:after="0" w:line="258"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our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increased by $1.8 million, or 3.2%, to $57.9 million from $56.1 million for the six months ended June 30, 2024 and 2023, respectively. This increase was primarily as a result of an increase in our sales and marketing costs needed to support the expansion of our subscriber base partially offset by the beneficial impact of certain cost savings initiatives that commenced in previous periods.</w:t>
      </w:r>
    </w:p>
    <w:p>
      <w:pPr>
        <w:spacing w:after="0" w:line="183"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Selling, general and administrative expenses decreased within our US Telecom segment by $6.4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11.8%, to $47.9 million from $54.3 million, for the six months ended June 30, 2024 and 2023, respectively. This decrease was primarily related to certain cost savings initiatives that commenced in previous periods.</w:t>
      </w:r>
    </w:p>
    <w:p>
      <w:pPr>
        <w:spacing w:after="0" w:line="179" w:lineRule="exact"/>
        <w:rPr>
          <w:rFonts w:ascii="Times New Roman" w:cs="Times New Roman" w:eastAsia="Times New Roman" w:hAnsi="Times New Roman"/>
          <w:sz w:val="18"/>
          <w:szCs w:val="18"/>
          <w:color w:val="auto"/>
        </w:rPr>
      </w:pPr>
    </w:p>
    <w:p>
      <w:pPr>
        <w:ind w:left="1040" w:right="179" w:hanging="315"/>
        <w:spacing w:after="0" w:line="267"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Overhead. </w:t>
      </w:r>
      <w:r>
        <w:rPr>
          <w:rFonts w:ascii="Times New Roman" w:cs="Times New Roman" w:eastAsia="Times New Roman" w:hAnsi="Times New Roman"/>
          <w:sz w:val="18"/>
          <w:szCs w:val="18"/>
          <w:color w:val="auto"/>
        </w:rPr>
        <w:t>Selling, general and administrative expenses within our corporate overhead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$0.2 million, or 1.6%, to $13.1 million from $12.9 million, for the six months ended June 30, 2024 and 2023, respectively, primarily related to an increase in professional fees.</w:t>
      </w:r>
    </w:p>
    <w:p>
      <w:pPr>
        <w:spacing w:after="0" w:line="212" w:lineRule="exact"/>
        <w:rPr>
          <w:sz w:val="20"/>
          <w:szCs w:val="20"/>
          <w:color w:val="auto"/>
        </w:rPr>
      </w:pPr>
    </w:p>
    <w:p>
      <w:pPr>
        <w:ind w:left="60" w:right="3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for the six months ended June 30, 2024 and 2023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$4.7 million and $4.5 million, respectively.</w:t>
      </w:r>
    </w:p>
    <w:p>
      <w:pPr>
        <w:spacing w:after="0" w:line="195" w:lineRule="exact"/>
        <w:rPr>
          <w:sz w:val="20"/>
          <w:szCs w:val="20"/>
          <w:color w:val="auto"/>
        </w:rPr>
      </w:pPr>
    </w:p>
    <w:p>
      <w:pPr>
        <w:ind w:left="60" w:right="61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Transaction-related charges. </w:t>
      </w:r>
      <w:r>
        <w:rPr>
          <w:rFonts w:ascii="Times New Roman" w:cs="Times New Roman" w:eastAsia="Times New Roman" w:hAnsi="Times New Roman"/>
          <w:sz w:val="18"/>
          <w:szCs w:val="18"/>
          <w:color w:val="auto"/>
        </w:rPr>
        <w:t>We incurred a nominal amount of transaction-related charges during the six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June 30, 2024 and $0.5 million during the six months ended June 30, 2023.</w:t>
      </w:r>
    </w:p>
    <w:p>
      <w:pPr>
        <w:spacing w:after="0" w:line="182"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Restructuring expenses. </w:t>
      </w:r>
      <w:r>
        <w:rPr>
          <w:rFonts w:ascii="Times New Roman" w:cs="Times New Roman" w:eastAsia="Times New Roman" w:hAnsi="Times New Roman"/>
          <w:sz w:val="18"/>
          <w:szCs w:val="18"/>
          <w:color w:val="auto"/>
        </w:rPr>
        <w:t>In order to reduce costs to improve our cost structures and profitability, we incurred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reduction in force costs totaling $1.2 million within our International Telecom segment during the six months ended June 30, 2024.</w:t>
      </w:r>
    </w:p>
    <w:p>
      <w:pPr>
        <w:spacing w:after="0" w:line="215" w:lineRule="exact"/>
        <w:rPr>
          <w:sz w:val="20"/>
          <w:szCs w:val="20"/>
          <w:color w:val="auto"/>
        </w:rPr>
      </w:pPr>
    </w:p>
    <w:p>
      <w:pPr>
        <w:ind w:left="60" w:right="99" w:firstLine="693"/>
        <w:spacing w:after="0" w:line="266" w:lineRule="auto"/>
        <w:rPr>
          <w:sz w:val="20"/>
          <w:szCs w:val="20"/>
          <w:color w:val="auto"/>
        </w:rPr>
      </w:pPr>
      <w:r>
        <w:rPr>
          <w:rFonts w:ascii="Times New Roman" w:cs="Times New Roman" w:eastAsia="Times New Roman" w:hAnsi="Times New Roman"/>
          <w:sz w:val="18"/>
          <w:szCs w:val="18"/>
          <w:color w:val="auto"/>
        </w:rPr>
        <w:t>In connection with our repositioning of our legacy wholesale roaming operations in our US Telecom segment, we recorded a $3.3 million restructuring charge during the six months ended June 30, 2023 primarily related to the decommissioning of certain cell sites.</w:t>
      </w:r>
    </w:p>
    <w:p>
      <w:pPr>
        <w:spacing w:after="0" w:line="212" w:lineRule="exact"/>
        <w:rPr>
          <w:sz w:val="20"/>
          <w:szCs w:val="20"/>
          <w:color w:val="auto"/>
        </w:rPr>
      </w:pPr>
    </w:p>
    <w:p>
      <w:pPr>
        <w:ind w:left="60" w:right="239" w:firstLine="69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decreased by $2.7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3.7%, to $69.9 million from $72.6 million for the six months ended June 30, 2024 and 2023, respectively. The net decrease in depreciation and amortization expenses, within our segments, consisted primarily of the following:</w:t>
      </w:r>
    </w:p>
    <w:p>
      <w:pPr>
        <w:spacing w:after="0" w:line="200" w:lineRule="exact"/>
        <w:rPr>
          <w:sz w:val="20"/>
          <w:szCs w:val="20"/>
          <w:color w:val="auto"/>
        </w:rPr>
      </w:pPr>
    </w:p>
    <w:p>
      <w:pPr>
        <w:ind w:left="1040" w:right="79" w:hanging="315"/>
        <w:spacing w:after="0" w:line="261"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Depreciation and amortization expenses increased within our International Telecom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by $4.1 million, or 14.5%, to $32.4 million from $28.3 million, for six months ended June 30, 2024 and 2023, respectively. Increases were incurred in all of our international markets as a result of recent capital expenditures used to expand and upgrade our network operations.</w:t>
      </w:r>
    </w:p>
    <w:p>
      <w:pPr>
        <w:spacing w:after="0" w:line="179" w:lineRule="exact"/>
        <w:rPr>
          <w:rFonts w:ascii="Times New Roman" w:cs="Times New Roman" w:eastAsia="Times New Roman" w:hAnsi="Times New Roman"/>
          <w:sz w:val="18"/>
          <w:szCs w:val="18"/>
          <w:color w:val="auto"/>
        </w:rPr>
      </w:pPr>
    </w:p>
    <w:p>
      <w:pPr>
        <w:jc w:val="both"/>
        <w:ind w:left="1040" w:right="379" w:hanging="315"/>
        <w:spacing w:after="0" w:line="26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Depreciation and amortization expenses decreased within our US Telecom segment by $5.5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12.8%, to $37.4 million from $42.9 million, for the six months ended June 30, 2024 and 2023, respectively, primarily as a result of certain assets becoming fully depreciated in recent periods.</w:t>
      </w:r>
    </w:p>
    <w:p>
      <w:pPr>
        <w:spacing w:after="0" w:line="173" w:lineRule="exact"/>
        <w:rPr>
          <w:rFonts w:ascii="Times New Roman" w:cs="Times New Roman" w:eastAsia="Times New Roman" w:hAnsi="Times New Roman"/>
          <w:sz w:val="18"/>
          <w:szCs w:val="18"/>
          <w:color w:val="auto"/>
        </w:rPr>
      </w:pPr>
    </w:p>
    <w:p>
      <w:pPr>
        <w:ind w:left="1040" w:right="259" w:hanging="315"/>
        <w:spacing w:after="0" w:line="267"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Overhead</w:t>
      </w:r>
      <w:r>
        <w:rPr>
          <w:rFonts w:ascii="Times New Roman" w:cs="Times New Roman" w:eastAsia="Times New Roman" w:hAnsi="Times New Roman"/>
          <w:sz w:val="18"/>
          <w:szCs w:val="18"/>
          <w:color w:val="auto"/>
        </w:rPr>
        <w:t>. Depreciation and amortization expenses decreased within our corporate overhead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$1.3 million to $0.1 million from $1.4 million, for the six months ended June 30, 2024 and 2023, respectively, primarily as a result of certain assets becoming fully depreciated in recent periods.</w:t>
      </w:r>
    </w:p>
    <w:p>
      <w:pPr>
        <w:spacing w:after="0" w:line="212"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from acquisitions. </w:t>
      </w:r>
      <w:r>
        <w:rPr>
          <w:rFonts w:ascii="Times New Roman" w:cs="Times New Roman" w:eastAsia="Times New Roman" w:hAnsi="Times New Roman"/>
          <w:sz w:val="18"/>
          <w:szCs w:val="18"/>
          <w:color w:val="auto"/>
        </w:rPr>
        <w:t>Amortization of intangibles from acquisitions decreased by $2.5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to $3.9 million from $6.4 million for the six months ended June 30, 2024 and 2023, respectively, as a result of certain intangible assets becoming fully amortized in recent periods.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Gain on disposition of assets</w:t>
      </w:r>
      <w:r>
        <w:rPr>
          <w:rFonts w:ascii="Times New Roman" w:cs="Times New Roman" w:eastAsia="Times New Roman" w:hAnsi="Times New Roman"/>
          <w:sz w:val="18"/>
          <w:szCs w:val="18"/>
          <w:color w:val="auto"/>
        </w:rPr>
        <w:t>. During the six months ended June 30, 2024, we recorded a gain on the disposition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assets of $16.4 million. This gain is comprised primarily of a $15.9 million gain related to the sale of real estate within our International Telecom segment and a $0.5 million gain pertaining to the previously completed disposition of our renewable energy assets.</w:t>
      </w:r>
    </w:p>
    <w:p>
      <w:pPr>
        <w:spacing w:after="0" w:line="221"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2023, we recorded a loss on the disposition of long-lived assets of $0.3 million within our US Telecom segment.</w:t>
      </w:r>
    </w:p>
    <w:p>
      <w:pPr>
        <w:spacing w:after="0" w:line="198" w:lineRule="exact"/>
        <w:rPr>
          <w:sz w:val="20"/>
          <w:szCs w:val="20"/>
          <w:color w:val="auto"/>
        </w:rPr>
      </w:pPr>
    </w:p>
    <w:p>
      <w:pPr>
        <w:ind w:left="60" w:right="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was $0.6 million and a nominal amount for the six months ended June 30,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2023, respectively.</w:t>
      </w:r>
    </w:p>
    <w:p>
      <w:pPr>
        <w:spacing w:after="0" w:line="182" w:lineRule="exact"/>
        <w:rPr>
          <w:sz w:val="20"/>
          <w:szCs w:val="20"/>
          <w:color w:val="auto"/>
        </w:rPr>
      </w:pPr>
    </w:p>
    <w:p>
      <w:pPr>
        <w:ind w:left="60" w:right="19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Interest expense increased to $23.9 million from $19.3 million for the six months ended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2024 and 2023, respectively, as additional interest expense was incurred as a result of an increase in borrowings under our credit facilities and a year-over-year increase in the term SOFR rate on all floating-rate borrowings under those facilities.</w:t>
      </w:r>
    </w:p>
    <w:p>
      <w:pPr>
        <w:spacing w:after="0" w:line="217" w:lineRule="exact"/>
        <w:rPr>
          <w:sz w:val="20"/>
          <w:szCs w:val="20"/>
          <w:color w:val="auto"/>
        </w:rPr>
      </w:pPr>
    </w:p>
    <w:p>
      <w:pPr>
        <w:ind w:left="60" w:right="2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income (expense). </w:t>
      </w:r>
      <w:r>
        <w:rPr>
          <w:rFonts w:ascii="Times New Roman" w:cs="Times New Roman" w:eastAsia="Times New Roman" w:hAnsi="Times New Roman"/>
          <w:sz w:val="18"/>
          <w:szCs w:val="18"/>
          <w:color w:val="auto"/>
        </w:rPr>
        <w:t>For the six months ended June 30, 2024, other income (expense) was $0.4 million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primarily related to certain employee benefit plans and by losses on foreign currency transactions.</w:t>
      </w:r>
    </w:p>
    <w:p>
      <w:pPr>
        <w:spacing w:after="0" w:line="19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2023, other income (expenses) was $2.4 million of income primarily related to gains from our noncontrolling investments.</w:t>
      </w:r>
    </w:p>
    <w:p>
      <w:pPr>
        <w:spacing w:after="0" w:line="185" w:lineRule="exact"/>
        <w:rPr>
          <w:sz w:val="20"/>
          <w:szCs w:val="20"/>
          <w:color w:val="auto"/>
        </w:rPr>
      </w:pPr>
    </w:p>
    <w:p>
      <w:pPr>
        <w:ind w:left="60" w:right="3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for the six months ended June 30, 2024 and 2023 was 35.0% and 43.0%,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w:t>
      </w:r>
    </w:p>
    <w:p>
      <w:pPr>
        <w:spacing w:after="0" w:line="199"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8"/>
          <w:szCs w:val="18"/>
          <w:color w:val="auto"/>
        </w:rPr>
        <w:t>We recorded an income tax expense of $1.8 million in relation to a pretax income of $5.2 million for the six months ended June 30, 2024. The effective tax rate for the six months ended June 30, 2024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$2.4 million expense associated with the gain on sale of land in a foreign jurisdiction, a $3.7 million benefit from the reversal of an unrecognized tax position due to a statute of limitations expiration, a $1.5 million expense to record an unrecognized tax position for the current year, and a $1.5 million expense for interest on unrecognized tax positions.</w:t>
      </w:r>
    </w:p>
    <w:p>
      <w:pPr>
        <w:spacing w:after="0" w:line="232" w:lineRule="exact"/>
        <w:rPr>
          <w:sz w:val="20"/>
          <w:szCs w:val="20"/>
          <w:color w:val="auto"/>
        </w:rPr>
      </w:pPr>
    </w:p>
    <w:p>
      <w:pPr>
        <w:ind w:left="60" w:right="79" w:firstLine="648"/>
        <w:spacing w:after="0" w:line="274" w:lineRule="auto"/>
        <w:rPr>
          <w:sz w:val="20"/>
          <w:szCs w:val="20"/>
          <w:color w:val="auto"/>
        </w:rPr>
      </w:pPr>
      <w:r>
        <w:rPr>
          <w:rFonts w:ascii="Times New Roman" w:cs="Times New Roman" w:eastAsia="Times New Roman" w:hAnsi="Times New Roman"/>
          <w:sz w:val="17"/>
          <w:szCs w:val="17"/>
          <w:color w:val="auto"/>
        </w:rPr>
        <w:t>We recorded an income tax benefit of $5.8 million in relation to a pretax loss of $13.5 million for the six months ended June 30, 2023. The effective tax rate for the six months ended June 30, 2023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and (iii) discrete items including a $4.0 million benefit from the reversal of an unrecognized tax position due to a statute of limitations expiration, and a $1.3 million expense for interest on unrecognized tax positions.</w:t>
      </w:r>
    </w:p>
    <w:p>
      <w:pPr>
        <w:spacing w:after="0" w:line="200"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applications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9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noncontrolling interests, net of tax. </w:t>
      </w:r>
      <w:r>
        <w:rPr>
          <w:rFonts w:ascii="Times New Roman" w:cs="Times New Roman" w:eastAsia="Times New Roman" w:hAnsi="Times New Roman"/>
          <w:sz w:val="18"/>
          <w:szCs w:val="18"/>
          <w:color w:val="auto"/>
        </w:rPr>
        <w:t>Net income (loss) attributable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noncontrolling interests, net of tax reflected an allocation of $0.7 million of income and $2.6 million of losses generated by our less than wholly owned subsidiaries for the six months ended June 30, 2024 and 2023, respectively. Changes in net income (loss) attributable to noncontrolling interests, net of tax, within our segments, consisted of the following:</w:t>
      </w:r>
    </w:p>
    <w:p>
      <w:pPr>
        <w:spacing w:after="0" w:line="219" w:lineRule="exact"/>
        <w:rPr>
          <w:sz w:val="20"/>
          <w:szCs w:val="20"/>
          <w:color w:val="auto"/>
        </w:rPr>
      </w:pPr>
    </w:p>
    <w:p>
      <w:pPr>
        <w:ind w:left="1040" w:right="259" w:hanging="315"/>
        <w:spacing w:after="0" w:line="258"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net income (loss) attributable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interests, net of tax increased by $2.7 million, or 69.2%, to an allocation of $6.6 million of income from an allocation of $3.9 million of income for the six months ended June 30, 2024 and 2023, respectively, largely as a result of the $15.9 million gain we recorded on the disposition of assets, primarily real estate, and increased profitability at certain less than wholly owned subsidiaries.</w:t>
      </w:r>
    </w:p>
    <w:p>
      <w:pPr>
        <w:spacing w:after="0" w:line="183" w:lineRule="exact"/>
        <w:rPr>
          <w:rFonts w:ascii="Times New Roman" w:cs="Times New Roman" w:eastAsia="Times New Roman" w:hAnsi="Times New Roman"/>
          <w:sz w:val="18"/>
          <w:szCs w:val="18"/>
          <w:color w:val="auto"/>
        </w:rPr>
      </w:pPr>
    </w:p>
    <w:p>
      <w:pPr>
        <w:ind w:left="1040" w:right="139" w:hanging="315"/>
        <w:spacing w:after="0" w:line="261"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net income (loss) attributable to noncontrolling interests,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tax decreased by $0.6 million, or 9.2%, to an allocation of losses of $5.9 million from an allocation of losses of $6.5 million for the six months ended June 30, 2024 and 2023, respectively, as a result of decreased losses at our less than wholly owned subsidiaries within this segment.</w:t>
      </w:r>
    </w:p>
    <w:p>
      <w:pPr>
        <w:spacing w:after="0" w:line="178" w:lineRule="exact"/>
        <w:rPr>
          <w:sz w:val="20"/>
          <w:szCs w:val="20"/>
          <w:color w:val="auto"/>
        </w:rPr>
      </w:pPr>
    </w:p>
    <w:p>
      <w:pPr>
        <w:ind w:left="60" w:right="1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income (loss) attributable to ATN International, Inc. stockholders. </w:t>
      </w:r>
      <w:r>
        <w:rPr>
          <w:rFonts w:ascii="Times New Roman" w:cs="Times New Roman" w:eastAsia="Times New Roman" w:hAnsi="Times New Roman"/>
          <w:sz w:val="18"/>
          <w:szCs w:val="18"/>
          <w:color w:val="auto"/>
        </w:rPr>
        <w:t>Net income (loss) attributable to ATN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International, Inc. stockholders was $2.7 million of income for the six months ended June 30, 2024 as compared to $5.1 million of loss for the six months ended June 30, 2023.</w:t>
      </w:r>
    </w:p>
    <w:p>
      <w:pPr>
        <w:spacing w:after="0" w:line="215"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a per diluted share basis, net income was break even per diluted share for the six months ended June 30, 2024 as compared to a loss of $0.48 per diluted share for the six months ended June 30, 2023. Such per share amounts were negatively impacted by accrued preferred dividends of $2.7 million and $2.3 million for the six months ended June 30, 2024 and 2023, respectively.</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and Tax Issues</w:t>
      </w:r>
    </w:p>
    <w:p>
      <w:pPr>
        <w:spacing w:after="0" w:line="27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involved in a number of regulatory and tax proceedings. A material and adverse outcome in one or more of these proceedings could have a material adverse impact on our financial condition and future operations. For discussion of ongoing proceedings, see Note 13 to the Consolidated Financial Statements in this Report</w:t>
      </w:r>
      <w:r>
        <w:rPr>
          <w:rFonts w:ascii="Times New Roman" w:cs="Times New Roman" w:eastAsia="Times New Roman" w:hAnsi="Times New Roman"/>
          <w:sz w:val="18"/>
          <w:szCs w:val="18"/>
          <w:color w:val="212529"/>
        </w:rPr>
        <w:t>.</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met our operational liquidity needs and have funded our capital expenditures and acquisitions through a combination of cash-on-hand, internally generated funds, borrowings under our credit facilities, proceeds from dispositions, and seller financings. We believe our current cash, cash equivalents, short term investments and availability under our current credit facilities will be sufficient to meet our cash needs for at least the next twelve months for working capital needs and capital expenditures.</w:t>
      </w:r>
    </w:p>
    <w:p>
      <w:pPr>
        <w:spacing w:after="0" w:line="222" w:lineRule="exact"/>
        <w:rPr>
          <w:sz w:val="20"/>
          <w:szCs w:val="20"/>
          <w:color w:val="auto"/>
        </w:rPr>
      </w:pPr>
    </w:p>
    <w:p>
      <w:pPr>
        <w:ind w:left="60" w:right="119"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Total liquidity. </w:t>
      </w:r>
      <w:r>
        <w:rPr>
          <w:rFonts w:ascii="Times New Roman" w:cs="Times New Roman" w:eastAsia="Times New Roman" w:hAnsi="Times New Roman"/>
          <w:sz w:val="17"/>
          <w:szCs w:val="17"/>
          <w:color w:val="auto"/>
        </w:rPr>
        <w:t>As of June 30, 2024, we had approximately $73.3 million in cash, cash equivalents, and 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Of this amount, $30.1 million was held by our foreign subsidiaries and is indefinitely invested outside the United States. In addition, we had approximately $540.8 million of debt, net of unamortized deferred financing costs, as of June 30, 2024. How and when we deploy our balance sheet capacity, including the availability under our various credit facilities (as further described below), will figure prominently in our longer-term growth prospects and stockholder returns.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68" w:lineRule="exact"/>
        <w:rPr>
          <w:sz w:val="20"/>
          <w:szCs w:val="20"/>
          <w:color w:val="auto"/>
        </w:rPr>
      </w:pPr>
    </w:p>
    <w:p>
      <w:pPr>
        <w:ind w:left="60" w:right="1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We have historically funded our acquisitions with a combination of cash-on-hand,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our credit facilities as well as equity investor and seller financings.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We continue to explore opportunities to expand our telecommunications business or acquire new businesses in the United States, the Caribbean and elsewhere. Such acquisitions may require external financing. While there can be no 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22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used in investing activities. </w:t>
      </w:r>
      <w:r>
        <w:rPr>
          <w:rFonts w:ascii="Times New Roman" w:cs="Times New Roman" w:eastAsia="Times New Roman" w:hAnsi="Times New Roman"/>
          <w:sz w:val="18"/>
          <w:szCs w:val="18"/>
          <w:color w:val="auto"/>
        </w:rPr>
        <w:t>Cash used in investing activities decreased by $48.8 million to $46.8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$95.6 million for the six months ended June 30, 2024 and 2023, respectively. This year-over-year decrease was the result of an increase in the reimbursements of capital expenditures of $43.1 million and $17.9 million in proceeds from the sale of certain assets within our International Telecom segment which was completed during 2024. These amounts were partially offset by an increase in capital expenditures, including reimbursable amounts, of $11.6 million.</w:t>
      </w:r>
    </w:p>
    <w:p>
      <w:pPr>
        <w:spacing w:after="0" w:line="224" w:lineRule="exact"/>
        <w:rPr>
          <w:sz w:val="20"/>
          <w:szCs w:val="20"/>
          <w:color w:val="auto"/>
        </w:rPr>
      </w:pPr>
    </w:p>
    <w:p>
      <w:pPr>
        <w:ind w:left="60" w:right="19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provided by (used in) financing activities. </w:t>
      </w:r>
      <w:r>
        <w:rPr>
          <w:rFonts w:ascii="Times New Roman" w:cs="Times New Roman" w:eastAsia="Times New Roman" w:hAnsi="Times New Roman"/>
          <w:sz w:val="18"/>
          <w:szCs w:val="18"/>
          <w:color w:val="auto"/>
        </w:rPr>
        <w:t>Cash provided by (used in) financing activities was $0.5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cash used in financing activities during the six months ended June 30, 2024 and $42.8 million of cash provided by financing activities during the six months ended June 30, 2023. The change of $43.3 million was primarily the result of a reduction in borrowings, net of repayments, of $38.0 million, and increase in cash used to repurchase our common stock (including shares repurchased from employees and directors to satisfy certain tax withholding obligations) of $3.7 million and an increase in cash used for the payment of dividends to our common stockholders of $0.8 million.</w:t>
      </w:r>
    </w:p>
    <w:p>
      <w:pPr>
        <w:spacing w:after="0" w:line="209"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Working Capital. </w:t>
      </w:r>
      <w:r>
        <w:rPr>
          <w:rFonts w:ascii="Times New Roman" w:cs="Times New Roman" w:eastAsia="Times New Roman" w:hAnsi="Times New Roman"/>
          <w:sz w:val="18"/>
          <w:szCs w:val="18"/>
          <w:color w:val="auto"/>
        </w:rPr>
        <w:t>Historically, we have internally funded our working capital needs. Pursuant to the FirstNet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222"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For the six months ended June 30, 2024 and 2023, we spent approximately $108.0 million and $96.4 million, respectively, on capital expenditures relating to our telecommunications networks and business support systems of which $46.2 million and $7.0 million, respectively, are reimbursable under various government programs. The following notes our capital expenditures, by operating segment, for these periods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65"/>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77,498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1,579</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108,028</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57,531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96,437</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Corporate and other items refer to corporate overhead costs and consolidating adjustments.</w:t>
      </w:r>
    </w:p>
    <w:p>
      <w:pPr>
        <w:spacing w:after="0" w:line="25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invest in our telecommunication networks along with our operating and business support systems in many of our markets. For the year ended December 31, 2024, such investments are expected to total approximately $100 million to $110 million, net of reimbursable amounts, and will primarily relate to network expansion and upgrades which are expected to further drive subscriber and revenue growth in future periods.</w:t>
      </w:r>
    </w:p>
    <w:p>
      <w:pPr>
        <w:spacing w:after="0" w:line="21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have historically used cash-on-hand to make payments for income taxes. Our policy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spacing w:after="0" w:line="220" w:lineRule="exact"/>
        <w:rPr>
          <w:sz w:val="20"/>
          <w:szCs w:val="20"/>
          <w:color w:val="auto"/>
        </w:rPr>
      </w:pPr>
    </w:p>
    <w:p>
      <w:pPr>
        <w:jc w:val="both"/>
        <w:ind w:left="60" w:right="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For the six months ended June 30, 2024, our Board of Directors declared $7.3 million of dividends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stockholders which includes a $0.24 per share dividend declared on June 20, 2024 and paid on July 10, 2024. We have declared quarterly dividends since the fourth quarter of 1998.</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Repurchase Plan. </w:t>
      </w:r>
      <w:r>
        <w:rPr>
          <w:rFonts w:ascii="Times New Roman" w:cs="Times New Roman" w:eastAsia="Times New Roman" w:hAnsi="Times New Roman"/>
          <w:sz w:val="18"/>
          <w:szCs w:val="18"/>
          <w:color w:val="auto"/>
        </w:rPr>
        <w:t>On December 14, 2023, our Board of Directors authorized the repurchase of up to $25.0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of our common stock, from time to time, on the open market or in privately negotiated transactions (the “2023 Repurchase Plan”). As of June 30, 2024, we had $15.0 million available to repurchase shares of our common stock under the 2023 Repurchase Plan. We repurchased $10.0 million and $6.8 million of our common stock during the six months ended June 30, 2024 and 2023, respectively.</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68"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operations. </w:t>
      </w:r>
      <w:r>
        <w:rPr>
          <w:rFonts w:ascii="Times New Roman" w:cs="Times New Roman" w:eastAsia="Times New Roman" w:hAnsi="Times New Roman"/>
          <w:sz w:val="18"/>
          <w:szCs w:val="18"/>
          <w:color w:val="auto"/>
        </w:rPr>
        <w:t>Cash provided by operating activities was $58.4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as compared to $60.3 million for the six months ended June 30, 2023. The decrease of $1.9 million was primarily related to an increase in net income of $11.1 million offset by an increase in gain on the sale of certain assets within our International Telecom segment of $16.7 million and a change in working capital.</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70"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On July 13, 2023, we, along with certain of our subsidiaries as guarantors, entered into a new Credit Agreement with CoBank, ACB and a syndicate of other lenders (as may be amended from time to time, the “2023 CoBank Credit Facility”). On July 10, 2024, we amended our credit facility to add certain subsidiaries as guarantors and to provide further flexibility to take on certain grant and government program obligations. The amendment to the 2023 CoBank Credit Facility is filed herewith as Exhibit 10.1.</w:t>
      </w:r>
    </w:p>
    <w:p>
      <w:pPr>
        <w:spacing w:after="0" w:line="224"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We may use (i) up to $25 million under the 2023 CoBank Credit Facility for letters of credit, and (ii) up to $20 million under a swingline sub-facility. Upon the closing of the 2023 CoBank Credit Facility, we drew all of the 2023 CoBank Term Loan and approximately $13.6 million of the 2023 CoBank Revolving Loan. These borrowings were used to repay $139.5 million of debt outstanding under the 2019 CoBank Credit Facility at close.</w:t>
      </w:r>
    </w:p>
    <w:p>
      <w:pPr>
        <w:spacing w:after="0" w:line="21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2023 CoBank Term Loan must be repaid in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CoBank Term Loan Quarterly Payment Dates 2023 CoBank Term Loan Quarterly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-125095</wp:posOffset>
            </wp:positionV>
            <wp:extent cx="5014595" cy="6254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014595" cy="625475"/>
                    </a:xfrm>
                    <a:prstGeom prst="rect">
                      <a:avLst/>
                    </a:prstGeom>
                    <a:noFill/>
                  </pic:spPr>
                </pic:pic>
              </a:graphicData>
            </a:graphic>
          </wp:anchor>
        </w:drawing>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4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December 31, 2023 – June 30, 2025</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4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34"/>
        </w:trPr>
        <w:tc>
          <w:tcPr>
            <w:tcW w:w="4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24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or 1.75% to 3.50% for Revolving Loans or (ii) a base rate plus an applicable margin ranging from 1.00% to 2.75% for the Term Loan or 0.75% to 2.50% for the 2023 CoBank Revolving Loans. Swingline loans will bear interest at the base rate plus the applicable margin for base rate loans. The base rate is equal to the higher of (i) 1.00% plus the one-month SOFR rate (ii) the federal funds effective rate (as defined in the 2023 CoBank Credit Agreement) plus 0.50% per annum; and (iii) the prime rate (as defined in the 2023 CoBank Credit Agreement). The applicable margin is determined based on the ratio (as further defined in the 2023 CoBank Credit Agreement) of our maximum Total Net Leverage Ratio. Under the terms of the 2023 CoBank Credit Agreement, we must also pay a fee ranging from 0.25% to 0.50% on the average daily unused portion of the 2023 CoBank Credit Facility over each calendar quarter.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32"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We capitalized $4.3 million of fees associated with the 2023 CoBank Credit Facility which are being amortized over the life of the debt and $3.5 million were unamortized as of June 30, 2024.</w:t>
      </w:r>
    </w:p>
    <w:p>
      <w:pPr>
        <w:spacing w:after="0" w:line="202"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had $127.6 million outstanding under the 2023 CoBank Term Loan as of June 30, 2024. Under the 2023 CoBank Revolving Loan, we had $58.6 million outstanding and $111.4 million of availability as of June 30, 2024. We were in compliance with all financial covenants as of June 30, 2024.</w:t>
      </w:r>
    </w:p>
    <w:p>
      <w:pPr>
        <w:spacing w:after="0" w:line="20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October 2023, we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$(0.1) million and $(0.5) million as of June 30, 2024 and December 31, 2023, respectively.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2019 CoBank Credit Facility</w:t>
      </w:r>
    </w:p>
    <w:p>
      <w:pPr>
        <w:spacing w:after="0" w:line="270"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On April 10, 2019, we entered into a credit facility, with CoBank, ACB and a syndicate of other lenders (as amended, the “2019 CoBank Credit Facility”). The 2019 CoBank Credit Facility provided for a $200 million revolving credit facility that included (i) up to $75 million for standby or trade letters of credit and (ii) up to $10 million under a swingline sub-facility. In connection with the execution of the 2023 CoBank Credit Facility, as defined above, outstanding borrowings under the 2019 CoBank Credit Facility were repaid in full.</w:t>
      </w:r>
    </w:p>
    <w:p>
      <w:pPr>
        <w:spacing w:after="0" w:line="210" w:lineRule="exact"/>
        <w:rPr>
          <w:sz w:val="20"/>
          <w:szCs w:val="20"/>
          <w:color w:val="auto"/>
        </w:rPr>
      </w:pPr>
    </w:p>
    <w:p>
      <w:pPr>
        <w:ind w:left="60" w:right="79" w:firstLine="648"/>
        <w:spacing w:after="0" w:line="271" w:lineRule="auto"/>
        <w:rPr>
          <w:sz w:val="20"/>
          <w:szCs w:val="20"/>
          <w:color w:val="auto"/>
        </w:rPr>
      </w:pPr>
      <w:r>
        <w:rPr>
          <w:rFonts w:ascii="Times New Roman" w:cs="Times New Roman" w:eastAsia="Times New Roman" w:hAnsi="Times New Roman"/>
          <w:sz w:val="17"/>
          <w:szCs w:val="17"/>
          <w:color w:val="auto"/>
        </w:rPr>
        <w:t>Amounts borrowed under the 2019 CoBank Credit Facility bore interest at a rate equal to, at our option, either (i) the London Interbank Offered Rate (“LIBOR”) plus an applicable margin ranging between 1.25% to 2.25% or (ii) a base rate plus an applicable margin ranging from 0.25% to 1.25%. Swingline loans bore interest at the base rate plus the applicable margin for base rate loans. The base rate was equal to the higher of (i) 1.00% plus the higher of (x) LIBOR for an interest period of one month and (y) LIBOR for an interest period of one week; (ii) the Federal Funds Effective Rate (as defined in the 2019 CoBank Credit Facility) plus 0.50% per annum; and (iii) the Prime Rate (as defined in the 2019 CoBank Credit Facility). The applicable margin was determined based on the Total Net Leverage Ratio (as defined in the 2019 CoBank Credit Facility). Under the terms of the 2019 CoBank Credit Facility, we also paid a commitment fee ranging from 0.150% to 0.375% of the average daily unused portion of the 2019 CoBank Credit Facility over each calendar quarter.</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we entered into a General Agreement of Indemnity to issue performance Standby Letters of Credit on behalf of us and our subsidiaries. As of June 30, 2024, $30.9 million of Standby Letters of Credit had been issued under this agreement.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Credit Facility</w:t>
      </w:r>
    </w:p>
    <w:p>
      <w:pPr>
        <w:spacing w:after="0" w:line="270"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On December 23, 2022, Alaska Communications entered into a Credit Agreement (the “Alaska Credit Facility”) with Fifth Third Bank, National Association, as Administrative Agent, and a syndicate of lenders to provide a Revolving Credit Commitment of $75.0 million (the “Alaska Revolving Facility”) and Term Loan Commitment of $230.0 million (the “Alaska Term Loan”).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Alaska Communications had drawn $49.5 million on the Alaska Revolving Facility and had $25.5 million available to draw. The Alaska Term Loan balance was $225.7 million and principal payments commenced in the fourth quarter of 2023. Both facilities mature on July 22, 2026.</w:t>
      </w:r>
    </w:p>
    <w:p>
      <w:pPr>
        <w:spacing w:after="0" w:line="216" w:lineRule="exact"/>
        <w:rPr>
          <w:sz w:val="20"/>
          <w:szCs w:val="20"/>
          <w:color w:val="auto"/>
        </w:rPr>
      </w:pPr>
    </w:p>
    <w:p>
      <w:pPr>
        <w:jc w:val="both"/>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Alaska Communications capitalized $7.3 million of fees associated with the Alaska Credit Facility which are being amortized over the life of the debt and $3.1 million were unamortized as of June 30, 2024.</w:t>
      </w:r>
    </w:p>
    <w:p>
      <w:pPr>
        <w:spacing w:after="0" w:line="202" w:lineRule="exact"/>
        <w:rPr>
          <w:sz w:val="20"/>
          <w:szCs w:val="20"/>
          <w:color w:val="auto"/>
        </w:rPr>
      </w:pPr>
    </w:p>
    <w:p>
      <w:pPr>
        <w:jc w:val="both"/>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Alaska Credit Facility also provides for incremental facilities up to an aggregate principal amount of the greater of $70.0 million and Alaska Communications’ trailing twelve-month Consolidated EBITDA (as defined in the Alaska Credit Facility).</w:t>
      </w:r>
    </w:p>
    <w:p>
      <w:pPr>
        <w:spacing w:after="0" w:line="20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Alaska Credit Facility include the following:</w:t>
      </w:r>
    </w:p>
    <w:p>
      <w:pPr>
        <w:spacing w:after="0" w:line="266" w:lineRule="exact"/>
        <w:rPr>
          <w:sz w:val="20"/>
          <w:szCs w:val="20"/>
          <w:color w:val="auto"/>
        </w:rPr>
      </w:pPr>
    </w:p>
    <w:p>
      <w:pPr>
        <w:ind w:left="1040" w:right="119" w:hanging="315"/>
        <w:spacing w:after="0" w:line="258"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outstanding bear an interest rate of the forward-looking SOFR rate with a one-month interest period, plus the SOFR Spread Adjustment of 10 basis points, plus a margin ranging from 3.00% to 4.00% based on Alaska Communications’ Consolidated Total Net Leverage Ratio (as defined in the Credit Agreement) or an alternate base rate may be selected at a margin that is 1% lower than the counterpart SOFR margin;</w:t>
      </w:r>
    </w:p>
    <w:p>
      <w:pPr>
        <w:spacing w:after="0" w:line="183" w:lineRule="exact"/>
        <w:rPr>
          <w:rFonts w:ascii="Times New Roman" w:cs="Times New Roman" w:eastAsia="Times New Roman" w:hAnsi="Times New Roman"/>
          <w:sz w:val="18"/>
          <w:szCs w:val="18"/>
          <w:color w:val="auto"/>
        </w:rPr>
      </w:pPr>
    </w:p>
    <w:p>
      <w:pPr>
        <w:ind w:left="1040" w:right="99" w:hanging="315"/>
        <w:spacing w:after="0" w:line="261"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are due quarterly and commenced in the fourth quarter of 2023 in amounts as follows: from the fourth quarter of 2023 through the third quarter of 2024, $1.4 million; and from the fourth quarter of 2024 through the third quarter of 2026, $2.9 million. The remaining unpaid balance is due on the final maturity date;</w:t>
      </w:r>
    </w:p>
    <w:p>
      <w:pPr>
        <w:spacing w:after="0" w:line="179" w:lineRule="exact"/>
        <w:rPr>
          <w:rFonts w:ascii="Times New Roman" w:cs="Times New Roman" w:eastAsia="Times New Roman" w:hAnsi="Times New Roman"/>
          <w:sz w:val="18"/>
          <w:szCs w:val="18"/>
          <w:color w:val="auto"/>
        </w:rPr>
      </w:pPr>
    </w:p>
    <w:p>
      <w:pPr>
        <w:ind w:left="1040" w:right="159" w:hanging="315"/>
        <w:spacing w:after="0" w:line="255"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Alaska Communications is required to maintain financial ratios as defined in the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is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88" w:lineRule="exact"/>
        <w:rPr>
          <w:rFonts w:ascii="Times New Roman" w:cs="Times New Roman" w:eastAsia="Times New Roman" w:hAnsi="Times New Roman"/>
          <w:sz w:val="18"/>
          <w:szCs w:val="18"/>
          <w:color w:val="auto"/>
        </w:rPr>
      </w:pPr>
    </w:p>
    <w:p>
      <w:pPr>
        <w:ind w:left="1040" w:right="279" w:hanging="315"/>
        <w:spacing w:after="0" w:line="282" w:lineRule="auto"/>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Alaska Credit Facility is non-recourse to us and is secured by substantially all of the personal property and certain material real property owned by Alaska Communications.</w:t>
      </w:r>
    </w:p>
    <w:p>
      <w:pPr>
        <w:spacing w:after="0" w:line="162"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In November 2023, Alaska Communications entered into two forward starting 1-month floating to fixed SOFR interest rate swap agreements. The total non-amortizing notional amount of the agreements is $200.0 million, with fixed SOFR rates of 4.8695% and 4.8980% and both agreements mature on June 30, 2025. The swap agreements had a fair value of $0.1 million and $(1.2) million as of June 30, 2024 and December 31, 2023, respectively.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56" w:lineRule="exact"/>
        <w:rPr>
          <w:sz w:val="20"/>
          <w:szCs w:val="20"/>
          <w:color w:val="auto"/>
        </w:rPr>
      </w:pPr>
    </w:p>
    <w:p>
      <w:pPr>
        <w:ind w:left="60" w:right="279" w:firstLine="648"/>
        <w:spacing w:after="0" w:line="312" w:lineRule="auto"/>
        <w:rPr>
          <w:sz w:val="20"/>
          <w:szCs w:val="20"/>
          <w:color w:val="auto"/>
        </w:rPr>
      </w:pPr>
      <w:r>
        <w:rPr>
          <w:rFonts w:ascii="Times New Roman" w:cs="Times New Roman" w:eastAsia="Times New Roman" w:hAnsi="Times New Roman"/>
          <w:sz w:val="17"/>
          <w:szCs w:val="17"/>
          <w:color w:val="auto"/>
        </w:rPr>
        <w:t>On June 15, 2022, Alaska Communications Systems Holdings, the parent company of Alaska Communications, entered into a secured lending arrangement with Bristol Bay Industrial, LLC (the “Alaska Term Facility”).</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of principal commenced on March 31, 2023. The Alaska Term Facility was repaid in full during the three months ended June 30, 2024.</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us, Commnet Wireless, and CoBank, ACB (the “Receivables Credit Facility”).</w:t>
      </w:r>
    </w:p>
    <w:p>
      <w:pPr>
        <w:spacing w:after="0" w:line="189"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 the loan security, relate to the obligations of AT&amp;T under the FirstNet Agreement.</w:t>
      </w:r>
    </w:p>
    <w:p>
      <w:pPr>
        <w:spacing w:after="0" w:line="220"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19, 2023, CoBank amended the Receivables Credit Facility and extended the delayed draw period to December 31, 2024.</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66"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As of June 30, 2024, Commnet Wireless had $46.5 million outstanding, of which $7.7 million was classified as being current on our balance sheet, and $11.3 million of availability under the Receivables Credit Facility. Commnet Wireless capitalized $0.8 million in fees associated with the Receivables Credit Facility which are being amortized over the life of the debt and $0.4 million were unamortized as of June 30,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GTT Credit Facilities</w:t>
      </w:r>
    </w:p>
    <w:p>
      <w:pPr>
        <w:spacing w:after="0" w:line="270"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On October 12, 2022, GTT received approval from Republic Bank (Guyana) Limited for a $2.9 million term facility and a $5.7 million overdraft facility (the “GTT Credit Facilities”).</w:t>
      </w:r>
    </w:p>
    <w:p>
      <w:pPr>
        <w:spacing w:after="0" w:line="20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GTT Credit Facilities are secured by real estate assets and carry a fixed interest rate of 7.5% which will be reviewed by the bank from time to time and subject to change at the bank’s discretion. The term facility is repayable over five years in equal monthly installments of principal and interest, commencing one month after funds are advanced. The overdraft facility will expire on October 31, 2024.</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June 30, 2024, there were no outstanding amounts under the GTT Credit Facilities.</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70"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Sacred Wind acquisition completed on November 7, 2022, we assumed $31.6 million of term debt (the “Sacred Wind Term Debt”) with the United States of America acting through the Administrator of the Rural Utilities Service (“RUS”). The loan agreements are dated as of October 23, 2006 and March 17, 2016. RUS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19"/>
        <w:spacing w:after="0" w:line="282" w:lineRule="auto"/>
        <w:rPr>
          <w:sz w:val="20"/>
          <w:szCs w:val="20"/>
          <w:color w:val="auto"/>
        </w:rPr>
      </w:pPr>
      <w:r>
        <w:rPr>
          <w:rFonts w:ascii="Times New Roman" w:cs="Times New Roman" w:eastAsia="Times New Roman" w:hAnsi="Times New Roman"/>
          <w:sz w:val="18"/>
          <w:szCs w:val="18"/>
          <w:color w:val="auto"/>
        </w:rPr>
        <w:t>provides financial assistance in the form of loans under the Rural Electrification Act of 1936 to furnish or improve telecommunications and/or broadband services in rural areas.</w:t>
      </w:r>
    </w:p>
    <w:p>
      <w:pPr>
        <w:spacing w:after="0" w:line="202" w:lineRule="exact"/>
        <w:rPr>
          <w:sz w:val="20"/>
          <w:szCs w:val="20"/>
          <w:color w:val="auto"/>
        </w:rPr>
      </w:pPr>
    </w:p>
    <w:p>
      <w:pPr>
        <w:jc w:val="both"/>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The Sacred Wind Term Debt is secured by substantially all assets of Sacred Wind and an underlying mortgage to the United States of America. These mortgage notes are to be repaid in equal monthly installments covering principal and interest beginning after date of issue and expiring by 2035.</w:t>
      </w:r>
    </w:p>
    <w:p>
      <w:pPr>
        <w:spacing w:after="0" w:line="216"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Sacred Wind Term Debt contains certain restrictions on the declaration or payment of dividends, redemption of capital stock or investment in affiliated companies without the consent by the RUS noteholders. The agreements also contain a financial covenant which Sacred Wind was not in compliance with as of December 31, 2021. Sacred Wind submitted a corrective action plan to comply with the financial covenant as of December 31, 2025. On May 5, 2022, Sacred Wind’s corrective action plan was accepted by the RUS. As of June 30, 2024, we were in compliance with that corrective action plan.</w:t>
      </w:r>
    </w:p>
    <w:p>
      <w:pPr>
        <w:spacing w:after="0" w:line="214" w:lineRule="exact"/>
        <w:rPr>
          <w:sz w:val="20"/>
          <w:szCs w:val="20"/>
          <w:color w:val="auto"/>
        </w:rPr>
      </w:pPr>
    </w:p>
    <w:p>
      <w:pPr>
        <w:ind w:left="60" w:right="479"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$26.6 million was outstanding under the Sacred Wind Term Debt. Of that amount, $3.3 million was current and $23.3 million was long term.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Viya Debt</w:t>
      </w:r>
    </w:p>
    <w:p>
      <w:pPr>
        <w:spacing w:after="0" w:line="25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and certain of our subsidiaries, have entered into a $60.0 million loan agreement (the “Viya Debt”) with Rural Telephone Finance Cooperative (“RTFC”).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us.</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paid a fee of $0.9 million in 2016 to lock the interest rate at 4% per annum over the term of the Viya Debt.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fee was recorded as a reduction to the Viya Debt carrying amount and is being amortized over the life of the loan.</w:t>
      </w:r>
    </w:p>
    <w:p>
      <w:pPr>
        <w:spacing w:after="0" w:line="247"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As of June 30, 2024, $60.0 million of the Viya Debt remained outstanding and $0.2 million of the rate lock fee was unamortized.</w:t>
      </w:r>
    </w:p>
    <w:p>
      <w:pPr>
        <w:spacing w:after="0" w:line="189"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On May 5, 2022, RTFC agreed to amend the Net Leverage Ratio to 7.0 to 1.0 through the maturity date of July 1, 2026. The Ratio is tested annually, and we were in compliance with the Net Leverage Ratio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our debt instruments (amounts in thousands):</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43"/>
        </w:trPr>
        <w:tc>
          <w:tcPr>
            <w:tcW w:w="3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21"/>
                <w:szCs w:val="21"/>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251"/>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3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189"/>
        </w:trPr>
        <w:tc>
          <w:tcPr>
            <w:tcW w:w="326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July 1, 2024 through December 31, 2024</w:t>
            </w:r>
          </w:p>
        </w:tc>
        <w:tc>
          <w:tcPr>
            <w:tcW w:w="3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6,050</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1,625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7,675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3,786</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262,969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331,094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w:t>
            </w: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13,473</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w:t>
            </w:r>
          </w:p>
        </w:tc>
      </w:tr>
      <w:tr>
        <w:trPr>
          <w:trHeight w:val="216"/>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103,630</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9,160</w:t>
            </w: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186,183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547,944</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46,528</w:t>
            </w:r>
          </w:p>
        </w:tc>
      </w:tr>
      <w:tr>
        <w:trPr>
          <w:trHeight w:val="210"/>
        </w:trPr>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Discounts</w:t>
            </w:r>
          </w:p>
        </w:tc>
        <w:tc>
          <w:tcPr>
            <w:tcW w:w="3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09"/>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as of June 30, 2024</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298,375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540,835</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46,101</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68"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our internally generated funds are demand for our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regulatory developments, economic conditions in the markets where we operate our businesses and industry trends within the telecommunications industry.</w:t>
      </w:r>
    </w:p>
    <w:p>
      <w:pPr>
        <w:spacing w:after="0" w:line="214" w:lineRule="exact"/>
        <w:rPr>
          <w:sz w:val="20"/>
          <w:szCs w:val="20"/>
          <w:color w:val="auto"/>
        </w:rPr>
      </w:pPr>
    </w:p>
    <w:p>
      <w:pPr>
        <w:ind w:left="60" w:right="7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Credit Facility. </w:t>
      </w:r>
      <w:r>
        <w:rPr>
          <w:rFonts w:ascii="Times New Roman" w:cs="Times New Roman" w:eastAsia="Times New Roman" w:hAnsi="Times New Roman"/>
          <w:sz w:val="18"/>
          <w:szCs w:val="18"/>
          <w:color w:val="auto"/>
        </w:rPr>
        <w:t>Our 2023 CoBank Credit Facility contains customary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and covenants, including covenants limiting additional indebtedness, liens, guaranties, mergers and consolidations, substantial asset sales, investments and loans, sale and leasebacks, transactions with affiliates and fundamental changes.</w:t>
      </w:r>
    </w:p>
    <w:p>
      <w:pPr>
        <w:spacing w:after="0" w:line="209" w:lineRule="exact"/>
        <w:rPr>
          <w:sz w:val="20"/>
          <w:szCs w:val="20"/>
          <w:color w:val="auto"/>
        </w:rPr>
      </w:pPr>
    </w:p>
    <w:p>
      <w:pPr>
        <w:jc w:val="both"/>
        <w:ind w:left="60" w:right="499" w:firstLine="648"/>
        <w:spacing w:after="0" w:line="266" w:lineRule="auto"/>
        <w:rPr>
          <w:sz w:val="20"/>
          <w:szCs w:val="20"/>
          <w:color w:val="auto"/>
        </w:rPr>
      </w:pPr>
      <w:r>
        <w:rPr>
          <w:rFonts w:ascii="Times New Roman" w:cs="Times New Roman" w:eastAsia="Times New Roman" w:hAnsi="Times New Roman"/>
          <w:sz w:val="18"/>
          <w:szCs w:val="18"/>
          <w:color w:val="auto"/>
        </w:rPr>
        <w:t>In addition, the 2023 CoBank Credit Facility contains a financial covenant that imposes a maximum ratio of indebtedness to EBITDA. As of June 30, 2024, we were in compliance with all of the financial covenants of the 2023 CoBank Credit Facility.</w:t>
      </w:r>
    </w:p>
    <w:p>
      <w:pPr>
        <w:spacing w:after="0" w:line="21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markets. </w:t>
      </w:r>
      <w:r>
        <w:rPr>
          <w:rFonts w:ascii="Times New Roman" w:cs="Times New Roman" w:eastAsia="Times New Roman" w:hAnsi="Times New Roman"/>
          <w:sz w:val="18"/>
          <w:szCs w:val="18"/>
          <w:color w:val="auto"/>
        </w:rPr>
        <w:t>Our ability to raise funds in the capital markets depends on, among other things,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the conditions of the telecommunications industry, our financial performance, the state of the capital markets and our compliance with SEC requirements for the offering of securities. In August 2022, we filed a new “universal” shelf registration statement with the SEC, to register potential future offerings of up to $300 million of our securities.</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5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within our income statement. During each of the three months ended June 30, 2024 and 2023, we recorded $0.3 million and $0.4 million, respectively, in losses on foreign currency transactions. During each of the six months ended June 30,</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2024 and 2023, we recorded $0.5 million and $0.6 million, respectively, in losses on foreign currency transactions. We will continue to assess the impact of our exposure to the Guyana Dollar.</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70"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 to Note 2.</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39" w:firstLine="551"/>
        <w:spacing w:after="0" w:line="266" w:lineRule="auto"/>
        <w:rPr>
          <w:sz w:val="20"/>
          <w:szCs w:val="20"/>
          <w:color w:val="auto"/>
        </w:rPr>
      </w:pPr>
      <w:r>
        <w:rPr>
          <w:rFonts w:ascii="Times New Roman" w:cs="Times New Roman" w:eastAsia="Times New Roman" w:hAnsi="Times New Roman"/>
          <w:sz w:val="18"/>
          <w:szCs w:val="18"/>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2023.</w:t>
      </w:r>
    </w:p>
    <w:p>
      <w:pPr>
        <w:spacing w:after="0" w:line="200" w:lineRule="exact"/>
        <w:rPr>
          <w:sz w:val="20"/>
          <w:szCs w:val="20"/>
          <w:color w:val="auto"/>
        </w:rPr>
      </w:pP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68"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Translation and Remeasurement. </w:t>
      </w:r>
      <w:r>
        <w:rPr>
          <w:rFonts w:ascii="Times New Roman" w:cs="Times New Roman" w:eastAsia="Times New Roman" w:hAnsi="Times New Roman"/>
          <w:sz w:val="18"/>
          <w:szCs w:val="18"/>
          <w:color w:val="auto"/>
        </w:rPr>
        <w:t>We translate the assets and liabilities of our foreign subsidiaries from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pacing w:after="0" w:line="22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consolidated statements of operations.</w:t>
      </w:r>
    </w:p>
    <w:p>
      <w:pPr>
        <w:spacing w:after="0" w:line="20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Benefit Plans. </w:t>
      </w:r>
      <w:r>
        <w:rPr>
          <w:rFonts w:ascii="Times New Roman" w:cs="Times New Roman" w:eastAsia="Times New Roman" w:hAnsi="Times New Roman"/>
          <w:sz w:val="18"/>
          <w:szCs w:val="18"/>
          <w:color w:val="auto"/>
        </w:rPr>
        <w:t>We sponsor pension and other postretirement benefit plans for employees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Net periodic pension expense is recognized in our consolidated statements of operations. We recognize a pension or other postretirement plan’s funded status as either an asset or liability in our consolidated balance sheets. Actuarial gains and losses are reported as a component of other comprehensive income and amortized through other income in subsequent periods.</w:t>
      </w:r>
    </w:p>
    <w:p>
      <w:pPr>
        <w:spacing w:after="0" w:line="22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w:t>
      </w:r>
      <w:r>
        <w:rPr>
          <w:rFonts w:ascii="Times New Roman" w:cs="Times New Roman" w:eastAsia="Times New Roman" w:hAnsi="Times New Roman"/>
          <w:sz w:val="18"/>
          <w:szCs w:val="18"/>
          <w:color w:val="auto"/>
        </w:rPr>
        <w:t>As of June 30, 2024, we had $211.4 million of variable rate debt outstanding,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fluctuations in interest rates. Our interest expense may be affected by changes in interest rates. We believe that a 100-basis-point change in the interest rates on our variable rate debt would result in a $2.1 million change in our annual interest expense. We may have additional exposure to fluctuations in interest rates if we again borrow amounts under our revolver loans within our credit facilities.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70" w:lineRule="exact"/>
        <w:rPr>
          <w:sz w:val="20"/>
          <w:szCs w:val="20"/>
          <w:color w:val="auto"/>
        </w:rPr>
      </w:pPr>
    </w:p>
    <w:p>
      <w:pPr>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June 30, 2024.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June 30, 2024, our Chief Executive Officer and Chief Financial Officer concluded that, as of such date, our disclosure controls and procedures were effective at the reasonable assurance level.</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7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June 30, 2024 that have materially affected, or are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13 to the Unaudited Condensed Consolidated Financial Statements included in this Report.</w:t>
      </w: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under Part I, Item 1A “Risk Factors” of our 2023 Annual Report on Form 10-K. The risks described herein and in our 2023 Annual Report on Form 10-K, as amended,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w:t>
      </w:r>
    </w:p>
    <w:p>
      <w:pPr>
        <w:spacing w:after="0" w:line="25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December 14, 2023, our Board of Directors authorized the repurchase of up to $25.0 million of our common stock, from time to time, on the open market or in privately negotiated transactions (the “2023 Repurchase Plan”). We have $15.0 million available to be repurchased under the 2023 Repurchase Plan as of June 30, 2024.</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repurchases by us of our common stock during the quarter ended June 30, 2024:</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w:t>
            </w:r>
          </w:p>
        </w:tc>
        <w:tc>
          <w:tcPr>
            <w:tcW w:w="130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740" w:type="dxa"/>
            <w:vAlign w:val="bottom"/>
            <w:gridSpan w:val="2"/>
            <w:vMerge w:val="continue"/>
          </w:tcPr>
          <w:p>
            <w:pPr>
              <w:spacing w:after="0"/>
              <w:rPr>
                <w:sz w:val="12"/>
                <w:szCs w:val="12"/>
                <w:color w:val="auto"/>
              </w:rPr>
            </w:pP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7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90"/>
        </w:trPr>
        <w:tc>
          <w:tcPr>
            <w:tcW w:w="4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 per</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3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3"/>
        </w:trPr>
        <w:tc>
          <w:tcPr>
            <w:tcW w:w="4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16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92,102</w:t>
            </w:r>
          </w:p>
        </w:tc>
        <w:tc>
          <w:tcPr>
            <w:tcW w:w="2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$ 25.11</w:t>
            </w:r>
          </w:p>
        </w:tc>
        <w:tc>
          <w:tcPr>
            <w:tcW w:w="1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92,102</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22,566,380</w:t>
            </w:r>
          </w:p>
        </w:tc>
        <w:tc>
          <w:tcPr>
            <w:tcW w:w="0" w:type="dxa"/>
            <w:vAlign w:val="bottom"/>
          </w:tcPr>
          <w:p>
            <w:pPr>
              <w:spacing w:after="0"/>
              <w:rPr>
                <w:sz w:val="1"/>
                <w:szCs w:val="1"/>
                <w:color w:val="auto"/>
              </w:rPr>
            </w:pPr>
          </w:p>
        </w:tc>
      </w:tr>
      <w:tr>
        <w:trPr>
          <w:trHeight w:val="432"/>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327,190 (1)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327,167</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15,000,007</w:t>
            </w:r>
          </w:p>
        </w:tc>
        <w:tc>
          <w:tcPr>
            <w:tcW w:w="0" w:type="dxa"/>
            <w:vAlign w:val="bottom"/>
          </w:tcPr>
          <w:p>
            <w:pPr>
              <w:spacing w:after="0"/>
              <w:rPr>
                <w:sz w:val="1"/>
                <w:szCs w:val="1"/>
                <w:color w:val="auto"/>
              </w:rPr>
            </w:pPr>
          </w:p>
        </w:tc>
      </w:tr>
      <w:tr>
        <w:trPr>
          <w:trHeight w:val="432"/>
        </w:trPr>
        <w:tc>
          <w:tcPr>
            <w:tcW w:w="4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 (1)</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4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40" w:right="79" w:hanging="315"/>
        <w:spacing w:after="0" w:line="256"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 shares purchased on May 3, 2024 and 1,667 shares purchased on June 18, 2024 from our executive officers, other employees and directors who tendered these shares to us to satisfy their tax withholding obligations incurred in connection with the vesting of restricted stock awards at such date. These shares were not purchased under the 2023 Repurchase Plan discussed above. The price paid per share was the closing price per share of our common stock on the Nasdaq Stock Market on the date those shares were purchased.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7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While the Company does allow for its officers and directors to enter into trading arrangements intended to satisfy the affirmative defense conditions of Rule 10b5-1 with the Company’s prior approval, during the quarter ended June 30, 2024, none of the Company's directors or officers informed the Company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10.1*</w:t>
            </w:r>
          </w:p>
        </w:tc>
        <w:tc>
          <w:tcPr>
            <w:tcW w:w="72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Joinder, Consent, First Amendment and Reaffirmation Agreement, dated July 10, 2024, among ATN</w:t>
            </w:r>
          </w:p>
        </w:tc>
        <w:tc>
          <w:tcPr>
            <w:tcW w:w="46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International, Inc as Borrower, SWC Telesolutions, Inc., ATN International Telecom Group, LLC,</w:t>
            </w:r>
          </w:p>
        </w:tc>
        <w:tc>
          <w:tcPr>
            <w:tcW w:w="5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5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CoBank, ACB, as Administrative Agent, Fifth Third Bank, N.A., MUFG Bank, Ltd. and the Guarantors</w:t>
            </w:r>
          </w:p>
        </w:tc>
        <w:tc>
          <w:tcPr>
            <w:tcW w:w="2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party thereto.</w:t>
            </w:r>
          </w:p>
        </w:tc>
      </w:tr>
      <w:tr>
        <w:trPr>
          <w:trHeight w:val="20"/>
        </w:trPr>
        <w:tc>
          <w:tcPr>
            <w:tcW w:w="104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73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of the Securities Exchange Act of</w:t>
            </w:r>
          </w:p>
        </w:tc>
        <w:tc>
          <w:tcPr>
            <w:tcW w:w="4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Sarbanes-Oxley Act of 2002.</w:t>
            </w:r>
          </w:p>
        </w:tc>
        <w:tc>
          <w:tcPr>
            <w:tcW w:w="2160" w:type="dxa"/>
            <w:vAlign w:val="bottom"/>
            <w:gridSpan w:val="7"/>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7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of the Securities Exchange Act of 1934,</w:t>
            </w:r>
          </w:p>
        </w:tc>
      </w:tr>
      <w:tr>
        <w:trPr>
          <w:trHeight w:val="196"/>
        </w:trPr>
        <w:tc>
          <w:tcPr>
            <w:tcW w:w="1040" w:type="dxa"/>
            <w:vAlign w:val="bottom"/>
          </w:tcPr>
          <w:p>
            <w:pPr>
              <w:spacing w:after="0"/>
              <w:rPr>
                <w:sz w:val="17"/>
                <w:szCs w:val="17"/>
                <w:color w:val="auto"/>
              </w:rPr>
            </w:pP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r>
      <w:tr>
        <w:trPr>
          <w:trHeight w:val="372"/>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32.1**</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040" w:type="dxa"/>
            <w:vAlign w:val="bottom"/>
          </w:tcPr>
          <w:p>
            <w:pPr>
              <w:spacing w:after="0"/>
              <w:rPr>
                <w:sz w:val="17"/>
                <w:szCs w:val="17"/>
                <w:color w:val="auto"/>
              </w:rPr>
            </w:pPr>
          </w:p>
        </w:tc>
        <w:tc>
          <w:tcPr>
            <w:tcW w:w="70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0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r>
      <w:tr>
        <w:trPr>
          <w:trHeight w:val="412"/>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32.2**</w:t>
            </w:r>
          </w:p>
        </w:tc>
        <w:tc>
          <w:tcPr>
            <w:tcW w:w="70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7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77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r>
      <w:tr>
        <w:trPr>
          <w:trHeight w:val="434"/>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0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392"/>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101.SCH*</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2"/>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101.CAL*</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91"/>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101.DEF*</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92"/>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101.LAB*</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91"/>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101.PRE*</w:t>
            </w: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60" w:right="939" w:firstLine="320"/>
        <w:spacing w:after="0" w:line="641" w:lineRule="auto"/>
        <w:tabs>
          <w:tab w:leader="none" w:pos="119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embedded within Exhibit 101). * Filed herewith.</w:t>
      </w:r>
    </w:p>
    <w:p>
      <w:pPr>
        <w:spacing w:after="0" w:line="1" w:lineRule="exact"/>
        <w:rPr>
          <w:rFonts w:ascii="Times New Roman" w:cs="Times New Roman" w:eastAsia="Times New Roman" w:hAnsi="Times New Roman"/>
          <w:sz w:val="18"/>
          <w:szCs w:val="18"/>
          <w:color w:val="auto"/>
        </w:rPr>
      </w:pPr>
    </w:p>
    <w:p>
      <w:pPr>
        <w:ind w:left="60" w:right="99" w:hanging="10"/>
        <w:spacing w:after="0" w:line="266" w:lineRule="auto"/>
        <w:tabs>
          <w:tab w:leader="none" w:pos="2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Carlos R. Doglioli</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15"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9"/>
          <w:szCs w:val="19"/>
          <w:b w:val="1"/>
          <w:bCs w:val="1"/>
          <w:i w:val="1"/>
          <w:iCs w:val="1"/>
          <w:color w:val="auto"/>
        </w:rPr>
        <w:t>Execution Version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JOINDER, CONSENT, FIRST AMENDMENT AND REAFFIRMATION AGREEMENT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b w:val="1"/>
          <w:bCs w:val="1"/>
          <w:color w:val="auto"/>
        </w:rPr>
        <w:t>JOINDER, CONSENT, FIRST AMENDMENT AND REAFFIRMATION AGREEMENT</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b w:val="1"/>
          <w:bCs w:val="1"/>
          <w:u w:val="single" w:color="auto"/>
          <w:color w:val="auto"/>
        </w:rPr>
        <w:t>Agreement</w:t>
      </w:r>
      <w:r>
        <w:rPr>
          <w:rFonts w:ascii="Times New Roman" w:cs="Times New Roman" w:eastAsia="Times New Roman" w:hAnsi="Times New Roman"/>
          <w:sz w:val="20"/>
          <w:szCs w:val="20"/>
          <w:color w:val="auto"/>
        </w:rPr>
        <w:t xml:space="preserve">”) is made, entered into and effective as of July 10, 2024, by and among </w:t>
      </w:r>
      <w:r>
        <w:rPr>
          <w:rFonts w:ascii="Times New Roman" w:cs="Times New Roman" w:eastAsia="Times New Roman" w:hAnsi="Times New Roman"/>
          <w:sz w:val="20"/>
          <w:szCs w:val="20"/>
          <w:b w:val="1"/>
          <w:bCs w:val="1"/>
          <w:color w:val="auto"/>
        </w:rPr>
        <w:t>ATN INTERNATIONAL, INC.</w:t>
      </w:r>
      <w:r>
        <w:rPr>
          <w:rFonts w:ascii="Times New Roman" w:cs="Times New Roman" w:eastAsia="Times New Roman" w:hAnsi="Times New Roman"/>
          <w:sz w:val="20"/>
          <w:szCs w:val="20"/>
          <w:color w:val="auto"/>
        </w:rPr>
        <w:t>, a Delaware corporation (the “</w:t>
      </w:r>
      <w:r>
        <w:rPr>
          <w:rFonts w:ascii="Times New Roman" w:cs="Times New Roman" w:eastAsia="Times New Roman" w:hAnsi="Times New Roman"/>
          <w:sz w:val="20"/>
          <w:szCs w:val="20"/>
          <w:b w:val="1"/>
          <w:bCs w:val="1"/>
          <w:u w:val="single" w:color="auto"/>
          <w:color w:val="auto"/>
        </w:rPr>
        <w:t>Borrower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SWC TELESOLUTIONS, INC.</w:t>
      </w:r>
      <w:r>
        <w:rPr>
          <w:rFonts w:ascii="Times New Roman" w:cs="Times New Roman" w:eastAsia="Times New Roman" w:hAnsi="Times New Roman"/>
          <w:sz w:val="20"/>
          <w:szCs w:val="20"/>
          <w:color w:val="auto"/>
        </w:rPr>
        <w:t>, a New Mexico corporation (“</w:t>
      </w:r>
      <w:r>
        <w:rPr>
          <w:rFonts w:ascii="Times New Roman" w:cs="Times New Roman" w:eastAsia="Times New Roman" w:hAnsi="Times New Roman"/>
          <w:sz w:val="20"/>
          <w:szCs w:val="20"/>
          <w:b w:val="1"/>
          <w:bCs w:val="1"/>
          <w:u w:val="single" w:color="auto"/>
          <w:color w:val="auto"/>
        </w:rPr>
        <w:t>SWC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ATN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INTERNATIONAL TELECOM GROUP, LLC</w:t>
      </w:r>
      <w:r>
        <w:rPr>
          <w:rFonts w:ascii="Times New Roman" w:cs="Times New Roman" w:eastAsia="Times New Roman" w:hAnsi="Times New Roman"/>
          <w:sz w:val="20"/>
          <w:szCs w:val="20"/>
          <w:color w:val="auto"/>
        </w:rPr>
        <w:t>, a Delaware limited liability company (“</w:t>
      </w:r>
      <w:r>
        <w:rPr>
          <w:rFonts w:ascii="Times New Roman" w:cs="Times New Roman" w:eastAsia="Times New Roman" w:hAnsi="Times New Roman"/>
          <w:sz w:val="20"/>
          <w:szCs w:val="20"/>
          <w:b w:val="1"/>
          <w:bCs w:val="1"/>
          <w:u w:val="single" w:color="auto"/>
          <w:color w:val="auto"/>
        </w:rPr>
        <w:t>Telecom Group</w:t>
      </w:r>
      <w:r>
        <w:rPr>
          <w:rFonts w:ascii="Times New Roman" w:cs="Times New Roman" w:eastAsia="Times New Roman" w:hAnsi="Times New Roman"/>
          <w:sz w:val="20"/>
          <w:szCs w:val="20"/>
          <w:color w:val="auto"/>
        </w:rPr>
        <w:t>”; and together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SWC, each a “</w:t>
      </w:r>
      <w:r>
        <w:rPr>
          <w:rFonts w:ascii="Times New Roman" w:cs="Times New Roman" w:eastAsia="Times New Roman" w:hAnsi="Times New Roman"/>
          <w:sz w:val="20"/>
          <w:szCs w:val="20"/>
          <w:b w:val="1"/>
          <w:bCs w:val="1"/>
          <w:u w:val="single" w:color="auto"/>
          <w:color w:val="auto"/>
        </w:rPr>
        <w:t>New 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u w:val="single" w:color="auto"/>
          <w:color w:val="auto"/>
        </w:rPr>
        <w:t>New Guarantors</w:t>
      </w:r>
      <w:r>
        <w:rPr>
          <w:rFonts w:ascii="Times New Roman" w:cs="Times New Roman" w:eastAsia="Times New Roman" w:hAnsi="Times New Roman"/>
          <w:sz w:val="20"/>
          <w:szCs w:val="20"/>
          <w:color w:val="auto"/>
        </w:rPr>
        <w:t>”), each of the subsidiaries of Borrower identified as existing guarantors on the signature pages hereto (each individually, an “</w:t>
      </w:r>
      <w:r>
        <w:rPr>
          <w:rFonts w:ascii="Times New Roman" w:cs="Times New Roman" w:eastAsia="Times New Roman" w:hAnsi="Times New Roman"/>
          <w:sz w:val="20"/>
          <w:szCs w:val="20"/>
          <w:b w:val="1"/>
          <w:bCs w:val="1"/>
          <w:u w:val="single" w:color="auto"/>
          <w:color w:val="auto"/>
        </w:rPr>
        <w:t>Existing Guarantor</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u w:val="single" w:color="auto"/>
          <w:color w:val="auto"/>
        </w:rPr>
        <w:t>Existing Guarantors</w:t>
      </w:r>
      <w:r>
        <w:rPr>
          <w:rFonts w:ascii="Times New Roman" w:cs="Times New Roman" w:eastAsia="Times New Roman" w:hAnsi="Times New Roman"/>
          <w:sz w:val="20"/>
          <w:szCs w:val="20"/>
          <w:color w:val="auto"/>
        </w:rPr>
        <w:t>”; and together with the Borrower, each individually an “</w:t>
      </w:r>
      <w:r>
        <w:rPr>
          <w:rFonts w:ascii="Times New Roman" w:cs="Times New Roman" w:eastAsia="Times New Roman" w:hAnsi="Times New Roman"/>
          <w:sz w:val="20"/>
          <w:szCs w:val="20"/>
          <w:b w:val="1"/>
          <w:bCs w:val="1"/>
          <w:u w:val="single" w:color="auto"/>
          <w:color w:val="auto"/>
        </w:rPr>
        <w:t>Existing 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u w:val="single" w:color="auto"/>
          <w:color w:val="auto"/>
        </w:rPr>
        <w:t>Existing Loan Parties</w:t>
      </w:r>
      <w:r>
        <w:rPr>
          <w:rFonts w:ascii="Times New Roman" w:cs="Times New Roman" w:eastAsia="Times New Roman" w:hAnsi="Times New Roman"/>
          <w:sz w:val="20"/>
          <w:szCs w:val="20"/>
          <w:color w:val="auto"/>
        </w:rPr>
        <w:t>”; the Existing Loan Parties, together with the New Guarantors, each individually a “</w:t>
      </w:r>
      <w:r>
        <w:rPr>
          <w:rFonts w:ascii="Times New Roman" w:cs="Times New Roman" w:eastAsia="Times New Roman" w:hAnsi="Times New Roman"/>
          <w:sz w:val="20"/>
          <w:szCs w:val="20"/>
          <w:b w:val="1"/>
          <w:bCs w:val="1"/>
          <w:u w:val="single" w:color="auto"/>
          <w:color w:val="auto"/>
        </w:rPr>
        <w:t>Loan Party</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u w:val="single" w:color="auto"/>
          <w:color w:val="auto"/>
        </w:rPr>
        <w:t>Loan Parties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COBANK, ACB</w:t>
      </w:r>
      <w:r>
        <w:rPr>
          <w:rFonts w:ascii="Times New Roman" w:cs="Times New Roman" w:eastAsia="Times New Roman" w:hAnsi="Times New Roman"/>
          <w:sz w:val="20"/>
          <w:szCs w:val="20"/>
          <w:color w:val="auto"/>
        </w:rPr>
        <w:t>, as Administrative Agent (the “</w:t>
      </w:r>
      <w:r>
        <w:rPr>
          <w:rFonts w:ascii="Times New Roman" w:cs="Times New Roman" w:eastAsia="Times New Roman" w:hAnsi="Times New Roman"/>
          <w:sz w:val="20"/>
          <w:szCs w:val="20"/>
          <w:b w:val="1"/>
          <w:bCs w:val="1"/>
          <w:u w:val="single" w:color="auto"/>
          <w:color w:val="auto"/>
        </w:rPr>
        <w:t>Administrative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Agent</w:t>
      </w:r>
      <w:r>
        <w:rPr>
          <w:rFonts w:ascii="Times New Roman" w:cs="Times New Roman" w:eastAsia="Times New Roman" w:hAnsi="Times New Roman"/>
          <w:sz w:val="20"/>
          <w:szCs w:val="20"/>
          <w:color w:val="auto"/>
        </w:rPr>
        <w:t>”), and the Lenders party hereto.</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RECITALS</w:t>
      </w:r>
    </w:p>
    <w:p>
      <w:pPr>
        <w:spacing w:after="0" w:line="21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Existing Loan Parties, the Administrative Agent and the Lenders have entered into that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 Agreement, dated as of July 13, 2023 (as amended, modified, supplemented, extended or restated from time to time, the “</w:t>
      </w:r>
      <w:r>
        <w:rPr>
          <w:rFonts w:ascii="Times New Roman" w:cs="Times New Roman" w:eastAsia="Times New Roman" w:hAnsi="Times New Roman"/>
          <w:sz w:val="20"/>
          <w:szCs w:val="20"/>
          <w:b w:val="1"/>
          <w:bCs w:val="1"/>
          <w:u w:val="single" w:color="auto"/>
          <w:color w:val="auto"/>
        </w:rPr>
        <w:t>Credit Agreement</w:t>
      </w:r>
      <w:r>
        <w:rPr>
          <w:rFonts w:ascii="Times New Roman" w:cs="Times New Roman" w:eastAsia="Times New Roman" w:hAnsi="Times New Roman"/>
          <w:sz w:val="20"/>
          <w:szCs w:val="20"/>
          <w:color w:val="auto"/>
        </w:rPr>
        <w:t>”; the Credit Agreement, as amended by this Agreement, the “</w:t>
      </w:r>
      <w:r>
        <w:rPr>
          <w:rFonts w:ascii="Times New Roman" w:cs="Times New Roman" w:eastAsia="Times New Roman" w:hAnsi="Times New Roman"/>
          <w:sz w:val="20"/>
          <w:szCs w:val="20"/>
          <w:b w:val="1"/>
          <w:bCs w:val="1"/>
          <w:u w:val="single" w:color="auto"/>
          <w:color w:val="auto"/>
        </w:rPr>
        <w:t>Amended Credit Agreement</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Existing Loan Parties have entered into that certain Pledge and Security Agreement, dated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July 13, 2023 (as amended, modified, supplemented, extended or restated from time to time, the “</w:t>
      </w:r>
      <w:r>
        <w:rPr>
          <w:rFonts w:ascii="Times New Roman" w:cs="Times New Roman" w:eastAsia="Times New Roman" w:hAnsi="Times New Roman"/>
          <w:sz w:val="20"/>
          <w:szCs w:val="20"/>
          <w:b w:val="1"/>
          <w:bCs w:val="1"/>
          <w:u w:val="single" w:color="auto"/>
          <w:color w:val="auto"/>
        </w:rPr>
        <w:t>Security Agreement</w:t>
      </w:r>
      <w:r>
        <w:rPr>
          <w:rFonts w:ascii="Times New Roman" w:cs="Times New Roman" w:eastAsia="Times New Roman" w:hAnsi="Times New Roman"/>
          <w:sz w:val="20"/>
          <w:szCs w:val="20"/>
          <w:color w:val="auto"/>
        </w:rPr>
        <w:t>”; the Security Agreement, as amended by this Agreement, the “</w:t>
      </w:r>
      <w:r>
        <w:rPr>
          <w:rFonts w:ascii="Times New Roman" w:cs="Times New Roman" w:eastAsia="Times New Roman" w:hAnsi="Times New Roman"/>
          <w:sz w:val="20"/>
          <w:szCs w:val="20"/>
          <w:b w:val="1"/>
          <w:bCs w:val="1"/>
          <w:u w:val="single" w:color="auto"/>
          <w:color w:val="auto"/>
        </w:rPr>
        <w:t>Amended Security Agreement</w:t>
      </w:r>
      <w:r>
        <w:rPr>
          <w:rFonts w:ascii="Times New Roman" w:cs="Times New Roman" w:eastAsia="Times New Roman" w:hAnsi="Times New Roman"/>
          <w:sz w:val="20"/>
          <w:szCs w:val="20"/>
          <w:color w:val="auto"/>
        </w:rPr>
        <w:t>”), in favor of the Administrative Agent;</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certain amendments to the Credit Agreement and Security Agreement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set forth herein, and the Lenders party hereto have agreed to such amendments; and</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each New Guarantor will obtain benefits as a result of the continued extension of credit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Borrower under the Credit Agreement, which benefits are hereby acknowledged, and, accordingly, desires to be joined as a “Guarantor” and a “Loan Party” under the Credit Agreement and a “Grantor” under the Security Agreement, all pursuant to the terms of this Agreement.</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NOW, THEREFORE, </w:t>
      </w:r>
      <w:r>
        <w:rPr>
          <w:rFonts w:ascii="Times New Roman" w:cs="Times New Roman" w:eastAsia="Times New Roman" w:hAnsi="Times New Roman"/>
          <w:sz w:val="20"/>
          <w:szCs w:val="20"/>
          <w:color w:val="auto"/>
        </w:rPr>
        <w:t>in consideration of the foregoing and the agreements set forth in this Agreement, each of the Loan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the Administrative Agent, and the Lenders hereby agree as follows: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1. </w:t>
      </w:r>
      <w:r>
        <w:rPr>
          <w:rFonts w:ascii="Times New Roman" w:cs="Times New Roman" w:eastAsia="Times New Roman" w:hAnsi="Times New Roman"/>
          <w:sz w:val="20"/>
          <w:szCs w:val="20"/>
          <w:b w:val="1"/>
          <w:bCs w:val="1"/>
          <w:u w:val="single" w:color="auto"/>
          <w:color w:val="auto"/>
        </w:rPr>
        <w:t>Amendments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conditions set forth below,</w:t>
      </w:r>
    </w:p>
    <w:p>
      <w:pPr>
        <w:spacing w:after="0" w:line="220" w:lineRule="exact"/>
        <w:rPr>
          <w:sz w:val="20"/>
          <w:szCs w:val="20"/>
          <w:color w:val="auto"/>
        </w:rPr>
      </w:pPr>
    </w:p>
    <w:p>
      <w:pPr>
        <w:jc w:val="both"/>
        <w:ind w:left="660" w:firstLine="644"/>
        <w:spacing w:after="0" w:line="249" w:lineRule="auto"/>
        <w:tabs>
          <w:tab w:leader="none" w:pos="195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Credit Agreement is amended to delete the stricken text (indicated textually in the same manner as the following example: </w:t>
      </w:r>
      <w:r>
        <w:rPr>
          <w:rFonts w:ascii="Times New Roman" w:cs="Times New Roman" w:eastAsia="Times New Roman" w:hAnsi="Times New Roman"/>
          <w:sz w:val="20"/>
          <w:szCs w:val="20"/>
          <w:color w:val="FF0000"/>
          <w:strike w:val="1"/>
        </w:rPr>
        <w:t>stricken text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color w:val="00B04F"/>
          <w:strike w:val="1"/>
        </w:rPr>
        <w:t>stricken text</w:t>
      </w:r>
      <w:r>
        <w:rPr>
          <w:rFonts w:ascii="Times New Roman" w:cs="Times New Roman" w:eastAsia="Times New Roman" w:hAnsi="Times New Roman"/>
          <w:sz w:val="20"/>
          <w:szCs w:val="20"/>
          <w:color w:val="auto"/>
        </w:rPr>
        <w:t xml:space="preserve">) and to add the double-underlined text (indicated textually in the same manner as the following example: </w:t>
      </w:r>
      <w:r>
        <w:rPr>
          <w:rFonts w:ascii="Times New Roman" w:cs="Times New Roman" w:eastAsia="Times New Roman" w:hAnsi="Times New Roman"/>
          <w:sz w:val="20"/>
          <w:szCs w:val="20"/>
          <w:u w:val="single" w:color="auto"/>
          <w:color w:val="006FC0"/>
        </w:rPr>
        <w:t>double-underlined text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00B04F"/>
        </w:rPr>
        <w:t>double-underlined text</w:t>
      </w:r>
      <w:r>
        <w:rPr>
          <w:rFonts w:ascii="Times New Roman" w:cs="Times New Roman" w:eastAsia="Times New Roman" w:hAnsi="Times New Roman"/>
          <w:sz w:val="20"/>
          <w:szCs w:val="20"/>
          <w:color w:val="auto"/>
        </w:rPr>
        <w:t>) as set forth in the pages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617220</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74" w:name="page75"/>
    <w:bookmarkEnd w:id="74"/>
    <w:p>
      <w:pPr>
        <w:jc w:val="both"/>
        <w:ind w:left="200"/>
        <w:spacing w:after="0" w:line="253" w:lineRule="auto"/>
        <w:rPr>
          <w:sz w:val="20"/>
          <w:szCs w:val="20"/>
          <w:color w:val="auto"/>
        </w:rPr>
      </w:pPr>
      <w:r>
        <w:rPr>
          <w:rFonts w:ascii="Times New Roman" w:cs="Times New Roman" w:eastAsia="Times New Roman" w:hAnsi="Times New Roman"/>
          <w:sz w:val="20"/>
          <w:szCs w:val="20"/>
          <w:color w:val="auto"/>
        </w:rPr>
        <w:t xml:space="preserve">conformed copy of the Credit Agreement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the Schedules to the Credit Agreement are hereby amended in the same manner as set forth on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and the Annexes to the Security Agreement are hereby amended in the same manner as set forth on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w:t>
      </w:r>
    </w:p>
    <w:p>
      <w:pPr>
        <w:spacing w:after="0" w:line="176" w:lineRule="exact"/>
        <w:rPr>
          <w:sz w:val="20"/>
          <w:szCs w:val="20"/>
          <w:color w:val="auto"/>
        </w:rPr>
      </w:pPr>
    </w:p>
    <w:p>
      <w:pPr>
        <w:ind w:left="200" w:right="20" w:firstLine="644"/>
        <w:spacing w:after="0" w:line="269" w:lineRule="auto"/>
        <w:tabs>
          <w:tab w:leader="none" w:pos="149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the convenience of the Loan Parties, a clean copy of the conformed Credit Agreement is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ind w:left="1500" w:hanging="656"/>
        <w:spacing w:after="0"/>
        <w:tabs>
          <w:tab w:leader="none" w:pos="150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2.3 of the Security Agreement is hereby amended and restated in its entirety as follows:</w:t>
      </w:r>
    </w:p>
    <w:p>
      <w:pPr>
        <w:spacing w:after="0" w:line="216" w:lineRule="exact"/>
        <w:rPr>
          <w:sz w:val="20"/>
          <w:szCs w:val="20"/>
          <w:color w:val="auto"/>
        </w:rPr>
      </w:pPr>
    </w:p>
    <w:p>
      <w:pPr>
        <w:jc w:val="both"/>
        <w:ind w:left="200" w:right="20" w:firstLine="324"/>
        <w:spacing w:after="0" w:line="254"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u w:val="single" w:color="auto"/>
          <w:color w:val="auto"/>
        </w:rPr>
        <w:t>Excluded Collateral</w:t>
      </w:r>
      <w:r>
        <w:rPr>
          <w:rFonts w:ascii="Times New Roman" w:cs="Times New Roman" w:eastAsia="Times New Roman" w:hAnsi="Times New Roman"/>
          <w:sz w:val="20"/>
          <w:szCs w:val="20"/>
          <w:color w:val="auto"/>
        </w:rPr>
        <w:t xml:space="preserve">. Notwithstanding anything to the contrary contained herein, as and to the extent provided in this </w:t>
      </w:r>
      <w:r>
        <w:rPr>
          <w:rFonts w:ascii="Times New Roman" w:cs="Times New Roman" w:eastAsia="Times New Roman" w:hAnsi="Times New Roman"/>
          <w:sz w:val="20"/>
          <w:szCs w:val="20"/>
          <w:b w:val="1"/>
          <w:bCs w:val="1"/>
          <w:color w:val="auto"/>
        </w:rPr>
        <w:t>Section 2.3</w:t>
      </w:r>
      <w:r>
        <w:rPr>
          <w:rFonts w:ascii="Times New Roman" w:cs="Times New Roman" w:eastAsia="Times New Roman" w:hAnsi="Times New Roman"/>
          <w:sz w:val="20"/>
          <w:szCs w:val="20"/>
          <w:color w:val="auto"/>
        </w:rPr>
        <w:t>, the Collateral shall not include, and the Lien of this Agreement and any other Collateral Documents shall not attach to, the following:</w:t>
      </w:r>
    </w:p>
    <w:p>
      <w:pPr>
        <w:spacing w:after="0" w:line="174" w:lineRule="exact"/>
        <w:rPr>
          <w:sz w:val="20"/>
          <w:szCs w:val="20"/>
          <w:color w:val="auto"/>
        </w:rPr>
      </w:pPr>
    </w:p>
    <w:p>
      <w:pPr>
        <w:jc w:val="both"/>
        <w:ind w:left="200" w:firstLine="644"/>
        <w:spacing w:after="0" w:line="246" w:lineRule="auto"/>
        <w:tabs>
          <w:tab w:leader="none" w:pos="14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“intent to use” Trademark applications filed under U.S.C. 1051(b) to the extent assignment of the same is prohibited under U.S.C. 1060(a)(1), in each case, only until such time as such Grantor begins to use such Trademarks and the assignment thereof is no longer prohibited (the security interest provided herein in such Trademark shall be deemed granted by such Grantor at such time and will attach immediately without further action);</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42" w:lineRule="auto"/>
        <w:tabs>
          <w:tab w:leader="none" w:pos="14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Interests of any Grantor in (i) any Material Foreign Subsidiary that represents in excess of 65% of the outstanding voting stock of such Material Foreign Subsidiary, (ii) the CAH Holdco Subsidiaries, (iii) SW DinehNet, LLC, (iv) any Immaterial Subsidiary, (v) any Restricted Subsidiary with respect to which the Administrative Agent and the Borrower mutually agree in writing that the burden or cost or other tax consequences (including any material adverse tax consequences) of the applicable Grantor pledging the Equity Interests of such Restricted Subsidiary shall be excessive in view of the benefits obtained by the Lenders therefrom (for the avoidance of doubt, no such Subsidiaries have been designated as such as of the Closing Date), (vi) any Restricted Subsidiary that is a Specified CFC (other than a Material Foreign Subsidiary), (vii) any Restricted Subsidiary that is a Domestic Foreign Holdco, (viii) any Restricted Subsidiary that is a Domestic Subsidiary of a Specified CFC, (ix) any Restricted Subsidiary that is a Stimulus Recipient Subsidiary, or (x) any Unrestricted Subsidiary;</w:t>
      </w:r>
    </w:p>
    <w:p>
      <w:pPr>
        <w:spacing w:after="0" w:line="192" w:lineRule="exact"/>
        <w:rPr>
          <w:rFonts w:ascii="Times New Roman" w:cs="Times New Roman" w:eastAsia="Times New Roman" w:hAnsi="Times New Roman"/>
          <w:sz w:val="20"/>
          <w:szCs w:val="20"/>
          <w:color w:val="auto"/>
        </w:rPr>
      </w:pPr>
    </w:p>
    <w:p>
      <w:pPr>
        <w:jc w:val="both"/>
        <w:ind w:left="200" w:firstLine="644"/>
        <w:spacing w:after="0" w:line="246" w:lineRule="auto"/>
        <w:tabs>
          <w:tab w:leader="none" w:pos="14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item of real or personal, tangible or intangible, property (including Licenses issued by the FCC and any applicable PUC) to the extent and only for so long as the creation, attachment or perfection of the security interest granted herein by any Grantor in its right, title and interest in such item of property is prohibited by applicable Law or is permitted only with the consent (that has not been obtained) of a Governmental Authority (including the FCC and any applicable PUC);</w:t>
      </w:r>
    </w:p>
    <w:p>
      <w:pPr>
        <w:spacing w:after="0" w:line="184" w:lineRule="exact"/>
        <w:rPr>
          <w:rFonts w:ascii="Times New Roman" w:cs="Times New Roman" w:eastAsia="Times New Roman" w:hAnsi="Times New Roman"/>
          <w:sz w:val="20"/>
          <w:szCs w:val="20"/>
          <w:color w:val="auto"/>
        </w:rPr>
      </w:pPr>
    </w:p>
    <w:p>
      <w:pPr>
        <w:jc w:val="both"/>
        <w:ind w:left="200" w:firstLine="644"/>
        <w:spacing w:after="0" w:line="254" w:lineRule="auto"/>
        <w:tabs>
          <w:tab w:leader="none" w:pos="1496"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property subject to a Lien permitted under paragraph (l) of the definition of Permitted Liens to the extent and only for so long as the applicable purchase money security agreement, Capital Lease or other applicable documentation contains a term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614045</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75" w:name="page76"/>
    <w:bookmarkEnd w:id="75"/>
    <w:p>
      <w:pPr>
        <w:jc w:val="both"/>
        <w:ind w:left="660"/>
        <w:spacing w:after="0" w:line="249" w:lineRule="auto"/>
        <w:rPr>
          <w:sz w:val="20"/>
          <w:szCs w:val="20"/>
          <w:color w:val="auto"/>
        </w:rPr>
      </w:pPr>
      <w:r>
        <w:rPr>
          <w:rFonts w:ascii="Times New Roman" w:cs="Times New Roman" w:eastAsia="Times New Roman" w:hAnsi="Times New Roman"/>
          <w:sz w:val="20"/>
          <w:szCs w:val="20"/>
          <w:color w:val="auto"/>
        </w:rPr>
        <w:t>restricts, prohibits, or requires a consent (that has not been obtained) of a Person (other than such Grantor or any other Loan Party) to, the creation, attachment or perfection of the security interest granted herein and such restriction, prohibition and/or requirement of consent is not rendered ineffective by applicable Law (including pursuant to Sections 9- 406, 9-407, 9-408 or 9-409 of the UCC);</w:t>
      </w:r>
    </w:p>
    <w:p>
      <w:pPr>
        <w:spacing w:after="0" w:line="179" w:lineRule="exact"/>
        <w:rPr>
          <w:sz w:val="20"/>
          <w:szCs w:val="20"/>
          <w:color w:val="auto"/>
        </w:rPr>
      </w:pPr>
    </w:p>
    <w:p>
      <w:pPr>
        <w:jc w:val="both"/>
        <w:ind w:left="660" w:firstLine="644"/>
        <w:spacing w:after="0" w:line="243" w:lineRule="auto"/>
        <w:tabs>
          <w:tab w:leader="none" w:pos="195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item of real or personal, tangible or intangible, property (other than any Equity Interests owned by any Grantor) to the extent and only for so long as the creation, attachment or perfection of the security interest granted herein by any Grantor in its right, title and interest in such item of property (i) would give any other Person (other than such Grantor or any other Loan Party or any Subsidiary of any Loan Party or any Person who has consented to such security interest) the right to terminate its obligations with respect to such item of property and such right is not rendered ineffective by applicable Law (including pursuant to Sections 9-406, 9-407, 9-408 or 9-409 of the UCC), or (ii) would cause such property to become void or voidable if a security interest therein was created, attached or perfected;</w:t>
      </w:r>
    </w:p>
    <w:p>
      <w:pPr>
        <w:spacing w:after="0" w:line="189"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5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item of real or personal, tangible or intangible, property (other than any Equity Interests owned by any Grantor) to the extent and only for so long as such property is subject to a Contract that contains a term that restricts, prohibits or requires a consent (that has not been obtained) of a Person (other than such Grantor or any other Loan Party) to, the creation, attachment or perfection of the security interest granted herein and any such restriction, prohibition and/or requirement of consent is not rendered ineffective by applicable Law (including pursuant to Sections 9-406, 9-407, 9-408 or 9-409 of the UCC); and</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5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Equity Interests in any Minority Investment to the extent that the governance or similar documents of such Minority Investment contain a term that restricts, prohibits, or requires a consent (that has not been obtained) of a Person (other than such Grantor or any other Loan Party) to, the creation, attachment or perfection of the security interest granted herein and such restriction, prohibition and/or requirement of consent is not rendered ineffective by applicable Law (including pursuant to Sections 9-406, 9-407, 9-408 or 9-409 of the UCC); and</w:t>
      </w:r>
    </w:p>
    <w:p>
      <w:pPr>
        <w:spacing w:after="0" w:line="180" w:lineRule="exact"/>
        <w:rPr>
          <w:rFonts w:ascii="Times New Roman" w:cs="Times New Roman" w:eastAsia="Times New Roman" w:hAnsi="Times New Roman"/>
          <w:sz w:val="20"/>
          <w:szCs w:val="20"/>
          <w:color w:val="auto"/>
        </w:rPr>
      </w:pPr>
    </w:p>
    <w:p>
      <w:pPr>
        <w:jc w:val="both"/>
        <w:ind w:left="660" w:firstLine="644"/>
        <w:spacing w:after="0" w:line="244" w:lineRule="auto"/>
        <w:tabs>
          <w:tab w:leader="none" w:pos="1956"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any Funding Program Deposit Account, any Funding Program Assets, any Funding Program Award Funds, any Funding Program Matching Funds, any Funding Program In-kind Assets, any Funding Program Cash Assets and any rights with respect to any Funding Program Agreement, to the extent and only for so long as such property is subject to any Funding Program Agreement and contains a term that restricts, prohibits or requires a consent (that has not been obtained) of any Funding Agency to, the creation, attachment or perfection of the security interest granted herein and any such restriction, prohibition and/or requirement of consent is not rendered ineffective by the Law (including pursuant to Sections 9-406, 9-407, 9-408 or 9 409 of the UCC)</w:t>
      </w:r>
      <w:r>
        <w:rPr>
          <w:rFonts w:ascii="Times New Roman" w:cs="Times New Roman" w:eastAsia="Times New Roman" w:hAnsi="Times New Roman"/>
          <w:sz w:val="20"/>
          <w:szCs w:val="20"/>
          <w:b w:val="1"/>
          <w:bCs w:val="1"/>
          <w:color w:val="auto"/>
        </w:rPr>
        <w:t>.</w:t>
      </w:r>
    </w:p>
    <w:p>
      <w:pPr>
        <w:spacing w:after="0" w:line="186"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Further, notwithstanding anything to the contrary contained herein or in any other Loan Document, so long as no Event of Default has occurred and is continuing, (A) no Grantor shall be required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6" w:name="page77"/>
    <w:bookmarkEnd w:id="76"/>
    <w:p>
      <w:pPr>
        <w:jc w:val="both"/>
        <w:spacing w:after="0" w:line="246" w:lineRule="auto"/>
        <w:rPr>
          <w:sz w:val="20"/>
          <w:szCs w:val="20"/>
          <w:color w:val="auto"/>
        </w:rPr>
      </w:pPr>
      <w:r>
        <w:rPr>
          <w:rFonts w:ascii="Times New Roman" w:cs="Times New Roman" w:eastAsia="Times New Roman" w:hAnsi="Times New Roman"/>
          <w:sz w:val="20"/>
          <w:szCs w:val="20"/>
          <w:color w:val="auto"/>
        </w:rPr>
        <w:t>take any action with respect to the perfection of security interests in (1) Commercial Tort Claims in the aggregate amount asserting damages of less than the greater of (i) $20,000,000 and (ii) 25% of EBITDA of the Borrower and the Restricted Subsidiary for the Test Period and (2) (i) fee-owned real property, or (ii) any leased real property, (B) leasehold or real property mortgages or estoppels, landlord, bailee or similar waivers shall not be required, and (C) no Collateral Assignment shall be required.</w:t>
      </w:r>
    </w:p>
    <w:p>
      <w:pPr>
        <w:spacing w:after="0" w:line="18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If at any time the creation, attachment or perfection of the security interest granted herein in any of property subject to </w:t>
      </w:r>
      <w:r>
        <w:rPr>
          <w:rFonts w:ascii="Times New Roman" w:cs="Times New Roman" w:eastAsia="Times New Roman" w:hAnsi="Times New Roman"/>
          <w:sz w:val="20"/>
          <w:szCs w:val="20"/>
          <w:b w:val="1"/>
          <w:bCs w:val="1"/>
          <w:color w:val="auto"/>
        </w:rPr>
        <w:t xml:space="preserve">clauses (C) through (H) </w:t>
      </w:r>
      <w:r>
        <w:rPr>
          <w:rFonts w:ascii="Times New Roman" w:cs="Times New Roman" w:eastAsia="Times New Roman" w:hAnsi="Times New Roman"/>
          <w:sz w:val="20"/>
          <w:szCs w:val="20"/>
          <w:color w:val="auto"/>
        </w:rPr>
        <w:t>of this</w:t>
      </w:r>
      <w:r>
        <w:rPr>
          <w:rFonts w:ascii="Times New Roman" w:cs="Times New Roman" w:eastAsia="Times New Roman" w:hAnsi="Times New Roman"/>
          <w:sz w:val="20"/>
          <w:szCs w:val="20"/>
          <w:b w:val="1"/>
          <w:bCs w:val="1"/>
          <w:color w:val="auto"/>
        </w:rPr>
        <w:t xml:space="preserve"> Section 2.3 </w:t>
      </w:r>
      <w:r>
        <w:rPr>
          <w:rFonts w:ascii="Times New Roman" w:cs="Times New Roman" w:eastAsia="Times New Roman" w:hAnsi="Times New Roman"/>
          <w:sz w:val="20"/>
          <w:szCs w:val="20"/>
          <w:color w:val="auto"/>
        </w:rPr>
        <w:t>shall be permitted or consent in respect thereof shall have been obtained, then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applicable Grantor shall at such time be deemed to have granted a security interest in such property (and such security interest will attach immediately without further action). Notwithstanding anything to the contrary set forth above, the rights to receive, and any interest in, all Proceeds of, or monies or other consideration received or receivable from or attributable to the sale, transfer, lease, assignment or other disposition of, any of the property subject to this </w:t>
      </w:r>
      <w:r>
        <w:rPr>
          <w:rFonts w:ascii="Times New Roman" w:cs="Times New Roman" w:eastAsia="Times New Roman" w:hAnsi="Times New Roman"/>
          <w:sz w:val="20"/>
          <w:szCs w:val="20"/>
          <w:b w:val="1"/>
          <w:bCs w:val="1"/>
          <w:color w:val="auto"/>
        </w:rPr>
        <w:t>Section 2.3</w:t>
      </w:r>
      <w:r>
        <w:rPr>
          <w:rFonts w:ascii="Times New Roman" w:cs="Times New Roman" w:eastAsia="Times New Roman" w:hAnsi="Times New Roman"/>
          <w:sz w:val="20"/>
          <w:szCs w:val="20"/>
          <w:color w:val="auto"/>
        </w:rPr>
        <w:t xml:space="preserve"> (to the extent a direct security interest in such property or Proceeds from the sale, transfer, lease, assignment or other disposition of such property shall not have already been granted) shall attach immediately and be subject to the security interest granted pursuant to </w:t>
      </w:r>
      <w:r>
        <w:rPr>
          <w:rFonts w:ascii="Times New Roman" w:cs="Times New Roman" w:eastAsia="Times New Roman" w:hAnsi="Times New Roman"/>
          <w:sz w:val="20"/>
          <w:szCs w:val="20"/>
          <w:b w:val="1"/>
          <w:bCs w:val="1"/>
          <w:color w:val="auto"/>
        </w:rPr>
        <w:t>Section 2.1</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2. </w:t>
      </w:r>
      <w:r>
        <w:rPr>
          <w:rFonts w:ascii="Times New Roman" w:cs="Times New Roman" w:eastAsia="Times New Roman" w:hAnsi="Times New Roman"/>
          <w:sz w:val="20"/>
          <w:szCs w:val="20"/>
          <w:b w:val="1"/>
          <w:bCs w:val="1"/>
          <w:u w:val="single" w:color="auto"/>
          <w:color w:val="auto"/>
        </w:rPr>
        <w:t>Joinder</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left="660" w:firstLine="644"/>
        <w:spacing w:after="0" w:line="241" w:lineRule="auto"/>
        <w:tabs>
          <w:tab w:leader="none" w:pos="195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New Guarantor hereby becomes a Guarantor under the terms of the Credit Agreement and in consideration of the value of the synergistic and other benefits received by each New Guarantor as a result of being or becoming affiliated with the Borrower and the other Guarantors, each New Guarantor hereby agrees that effective as of the date hereof it hereby is, and shall be deemed to be, and assumes the obligations of, (a) a “Guarantor” and a “Loan Party” under the Credit Agreement, including Article XII thereof, (b) a “Grantor” jointly and severally under the Security Agreement, and (c) a “Loan Party” or “Guarantor”, as the case may be, under each of the other Loan Documents to which the Loan Parties, the Guarantors or the Grantors are a party; and, as such, each New Guarantor hereby agrees that from the date hereof and until the occurrence of the Payment In Full, each New Guarantor shall perform, comply with, and be subject to and bound by each of the terms and provisions of the Credit Agreement, the Security Agreement and each of the other Loan Documents jointly and severally with the other Guarantors and Grantors party thereto. Without limiting the generality of the foregoing, each New Guarantor hereby represents and warrants that (i) each of the representations and warranties set forth in Article V of the Credit Agreement applicable to such New Guarantor as a Guarantor and a Loan Party, as modified by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is true and correct, (ii) each of the representations and warranties set forth in Article III of the Security Agreement applicable to each New Guarantor as a Grantor and a Loan Party, as modified by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hereto, is true and correct, and (iii) each New Guarantor has heretofore received a true and correct copy of the Credit Agreement, Security Agreement and each of the other Loan Documents (including any modifications thereof or supplements or waivers thereto) in effect on the date hereof.</w:t>
      </w:r>
    </w:p>
    <w:p>
      <w:pPr>
        <w:spacing w:after="0" w:line="190"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New Guarantor covenants and agrees that, from the date hereof and until the occurrence of the Payment In Full, such New Guarantor will perform and observe,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7" w:name="page78"/>
    <w:bookmarkEnd w:id="77"/>
    <w:p>
      <w:pPr>
        <w:jc w:val="both"/>
        <w:ind w:left="660"/>
        <w:spacing w:after="0" w:line="245" w:lineRule="auto"/>
        <w:rPr>
          <w:sz w:val="20"/>
          <w:szCs w:val="20"/>
          <w:color w:val="auto"/>
        </w:rPr>
      </w:pPr>
      <w:r>
        <w:rPr>
          <w:rFonts w:ascii="Times New Roman" w:cs="Times New Roman" w:eastAsia="Times New Roman" w:hAnsi="Times New Roman"/>
          <w:sz w:val="20"/>
          <w:szCs w:val="20"/>
          <w:color w:val="auto"/>
        </w:rPr>
        <w:t>and cause each of its Subsidiaries to perform and observe, all of the terms, covenants and agreements set forth in the Loan Documents that are required to be, or that the Borrower has agreed to cause to be, performed or observed by such Guarantor, such Grantor, such Loan Party or such Subsidiary, including, without limitation, the covenants set forth in Articles VI and VII of the Credit Agreement, the Events of Default set forth in Article IX of the Credit Agreement, the rights of set off contained in Section 9.2(c) of the Credit Agreement and Articles IV and V of the Security Agreement.</w:t>
      </w:r>
    </w:p>
    <w:p>
      <w:pPr>
        <w:spacing w:after="0" w:line="184" w:lineRule="exact"/>
        <w:rPr>
          <w:sz w:val="20"/>
          <w:szCs w:val="20"/>
          <w:color w:val="auto"/>
        </w:rPr>
      </w:pPr>
    </w:p>
    <w:p>
      <w:pPr>
        <w:jc w:val="both"/>
        <w:ind w:left="660" w:firstLine="644"/>
        <w:spacing w:after="0" w:line="254" w:lineRule="auto"/>
        <w:tabs>
          <w:tab w:leader="none" w:pos="19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New Guarantor hereby makes, affirms and ratifies in favor of the Lenders and the Administrative Agent the Guaranty set forth in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of the Credit Agreement and the grant of the security interest in its Collateral set forth in the Security Agreement.</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acknowledges and agrees that the information on the schedules to the Credit Agreement and the annexes to the Security Agreement are hereby amended to provide the information shown on the attached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respectively.</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of the parties hereto acknowledges and confirms that the Equity Interests described in </w:t>
      </w:r>
      <w:r>
        <w:rPr>
          <w:rFonts w:ascii="Times New Roman" w:cs="Times New Roman" w:eastAsia="Times New Roman" w:hAnsi="Times New Roman"/>
          <w:sz w:val="20"/>
          <w:szCs w:val="20"/>
          <w:u w:val="single" w:color="auto"/>
          <w:color w:val="auto"/>
        </w:rPr>
        <w:t>Annex</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w:t>
      </w:r>
      <w:r>
        <w:rPr>
          <w:rFonts w:ascii="Times New Roman" w:cs="Times New Roman" w:eastAsia="Times New Roman" w:hAnsi="Times New Roman"/>
          <w:sz w:val="20"/>
          <w:szCs w:val="20"/>
          <w:color w:val="auto"/>
        </w:rPr>
        <w:t xml:space="preserve"> to the attached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are part of the Equity Interests within the meaning of the Security Agreement and are part of the Collateral and secure all of the Secured Obligations as provided in the Security Agreement.</w:t>
      </w:r>
    </w:p>
    <w:p>
      <w:pPr>
        <w:spacing w:after="0" w:line="174" w:lineRule="exact"/>
        <w:rPr>
          <w:rFonts w:ascii="Times New Roman" w:cs="Times New Roman" w:eastAsia="Times New Roman" w:hAnsi="Times New Roman"/>
          <w:sz w:val="20"/>
          <w:szCs w:val="20"/>
          <w:color w:val="auto"/>
        </w:rPr>
      </w:pPr>
    </w:p>
    <w:p>
      <w:pPr>
        <w:jc w:val="both"/>
        <w:ind w:left="660" w:firstLine="644"/>
        <w:spacing w:after="0" w:line="244" w:lineRule="auto"/>
        <w:tabs>
          <w:tab w:leader="none" w:pos="19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Borrower and the Existing Guarantors and Grantors confirms that all of its respective obligations under the Credit Agreement, the Security Agreement and the other Loan Documents are, and upon each New Guarantor becoming a Guarantor, a Grantor and a Loan Party, shall continue to be, in full force and effect. The parties hereto confirm and agree that immediately upon each New Guarantor becoming a Guarantor, a Grantor and a Loan Party, the terms “Obligations” and “Secured Obligations” as used in the Credit Agreement, the Security Agreement and the other Loan Documents, shall include all obligations of each New Guarantor under the Credit Agreement, the Security Agreement and under each other Loan Document.</w:t>
      </w:r>
    </w:p>
    <w:p>
      <w:pPr>
        <w:spacing w:after="0" w:line="185"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furtherance of the foregoing, each New Guarantor shall execute and deliver or cause to be executed and delivered at any time and from time to time such further instruments and documents and do or cause to be done such further acts as may be reasonably necessary in the reasonable opinion of the Administrative Agent to carry out more effectively the provisions and purposes of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3. </w:t>
      </w:r>
      <w:r>
        <w:rPr>
          <w:rFonts w:ascii="Times New Roman" w:cs="Times New Roman" w:eastAsia="Times New Roman" w:hAnsi="Times New Roman"/>
          <w:sz w:val="20"/>
          <w:szCs w:val="20"/>
          <w:b w:val="1"/>
          <w:bCs w:val="1"/>
          <w:u w:val="single" w:color="auto"/>
          <w:color w:val="auto"/>
        </w:rPr>
        <w:t>Consent</w:t>
      </w:r>
      <w:r>
        <w:rPr>
          <w:rFonts w:ascii="Times New Roman" w:cs="Times New Roman" w:eastAsia="Times New Roman" w:hAnsi="Times New Roman"/>
          <w:sz w:val="20"/>
          <w:szCs w:val="20"/>
          <w:color w:val="auto"/>
        </w:rPr>
        <w:t>. Notwithstanding the Effective Date of the joinder of the New Guarantors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 the Administrative Agent and the Lenders party hereto hereby consent to the New Guarantors being included in the Credit Agreement financial covenant calculations as of March 31, 2024.</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SECTION 4. </w:t>
      </w:r>
      <w:r>
        <w:rPr>
          <w:rFonts w:ascii="Times New Roman" w:cs="Times New Roman" w:eastAsia="Times New Roman" w:hAnsi="Times New Roman"/>
          <w:sz w:val="20"/>
          <w:szCs w:val="20"/>
          <w:b w:val="1"/>
          <w:bCs w:val="1"/>
          <w:u w:val="single" w:color="auto"/>
          <w:color w:val="auto"/>
        </w:rPr>
        <w:t>Representations and Warranties of the Loan Parties</w:t>
      </w:r>
      <w:r>
        <w:rPr>
          <w:rFonts w:ascii="Times New Roman" w:cs="Times New Roman" w:eastAsia="Times New Roman" w:hAnsi="Times New Roman"/>
          <w:sz w:val="20"/>
          <w:szCs w:val="20"/>
          <w:color w:val="auto"/>
        </w:rPr>
        <w:t>. Each of the Loan Parties represents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warrants to the Administrative Agent and the Lenders that, as of the Effective Date: (A) the representations and warranties of such Loan Party and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612775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8" w:name="page79"/>
    <w:bookmarkEnd w:id="78"/>
    <w:p>
      <w:pPr>
        <w:jc w:val="both"/>
        <w:spacing w:after="0" w:line="254" w:lineRule="auto"/>
        <w:rPr>
          <w:sz w:val="20"/>
          <w:szCs w:val="20"/>
          <w:color w:val="auto"/>
        </w:rPr>
      </w:pPr>
      <w:r>
        <w:rPr>
          <w:rFonts w:ascii="Times New Roman" w:cs="Times New Roman" w:eastAsia="Times New Roman" w:hAnsi="Times New Roman"/>
          <w:sz w:val="19"/>
          <w:szCs w:val="19"/>
          <w:color w:val="auto"/>
        </w:rPr>
        <w:t>contained in Article V of the Credit Agreement and the other Loan Documents are true and correct in all material respects (without duplication of any materiality or Material Adverse Change qualifier contained therein), in each case, after giving effect to this Agreement, as though made on and as of the date hereof (except for any such representation and warranty that by its terms is made only as of an earlier date, which representation and warranty remains true and correct in all material respects (without duplication of any materiality or Material Adverse Change qualifier contained therein) as of such earlier date); (B) each Loan Party has the full power to enter into, execute, deliver and carry out this Agreement and each of the other Loan Documents to which it is a party; (C) this Agreement is the legally valid and binding obligation of each Loan Party hereto, enforceable against such Person in accordance with its terms, subject only to limitations on enforceability imposed by (y) applicable bankruptcy, insolvency, reorganization, moratorium or similar laws affecting creditors’ rights generally, and (z) general equitable principles; (D) the execution, delivery and performance of this Agreement in accordance with its terms do not and will not (i) conflict with, constitute a default under or result in any breach of the terms and conditions of the Organizational Documents of any Loan Party, (ii) require the approval of any Governmental Authority or violate any applicable Law relating to such Loan Party, or (iii) result in the creation or enforcement of any Lien, charge or encumbrance whatsoever upon any property (now or hereafter acquired) of any Loan Party or any Restricted Subsidiary (other than Liens granted under the Loan Documents); and (E) no event has occurred and is continuing, or would result after giving effect to the amendments set forth herein, that constitutes a Default or an Event of Default.</w:t>
      </w:r>
    </w:p>
    <w:p>
      <w:pPr>
        <w:spacing w:after="0" w:line="18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5. </w:t>
      </w:r>
      <w:r>
        <w:rPr>
          <w:rFonts w:ascii="Times New Roman" w:cs="Times New Roman" w:eastAsia="Times New Roman" w:hAnsi="Times New Roman"/>
          <w:sz w:val="20"/>
          <w:szCs w:val="20"/>
          <w:b w:val="1"/>
          <w:bCs w:val="1"/>
          <w:u w:val="single" w:color="auto"/>
          <w:color w:val="auto"/>
        </w:rPr>
        <w:t>Effectiveness of Agreement</w:t>
      </w:r>
      <w:r>
        <w:rPr>
          <w:rFonts w:ascii="Times New Roman" w:cs="Times New Roman" w:eastAsia="Times New Roman" w:hAnsi="Times New Roman"/>
          <w:sz w:val="20"/>
          <w:szCs w:val="20"/>
          <w:color w:val="auto"/>
        </w:rPr>
        <w:t>. This Agreement shall become effective only upon the satisfaction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of the following conditions (the date such conditions are satisfied, the “</w:t>
      </w:r>
      <w:r>
        <w:rPr>
          <w:rFonts w:ascii="Times New Roman" w:cs="Times New Roman" w:eastAsia="Times New Roman" w:hAnsi="Times New Roman"/>
          <w:sz w:val="20"/>
          <w:szCs w:val="20"/>
          <w:b w:val="1"/>
          <w:bCs w:val="1"/>
          <w:u w:val="single" w:color="auto"/>
          <w:color w:val="auto"/>
        </w:rPr>
        <w:t>Effective Date)</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660" w:firstLine="644"/>
        <w:spacing w:after="0" w:line="269" w:lineRule="auto"/>
        <w:tabs>
          <w:tab w:leader="none" w:pos="195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an executed counterpart of this Agreement signed by each other party hereto;</w:t>
      </w:r>
    </w:p>
    <w:p>
      <w:pPr>
        <w:spacing w:after="0" w:line="159" w:lineRule="exact"/>
        <w:rPr>
          <w:rFonts w:ascii="Times New Roman" w:cs="Times New Roman" w:eastAsia="Times New Roman" w:hAnsi="Times New Roman"/>
          <w:sz w:val="20"/>
          <w:szCs w:val="20"/>
          <w:color w:val="auto"/>
        </w:rPr>
      </w:pPr>
    </w:p>
    <w:p>
      <w:pPr>
        <w:jc w:val="both"/>
        <w:ind w:left="660" w:firstLine="644"/>
        <w:spacing w:after="0" w:line="245" w:lineRule="auto"/>
        <w:tabs>
          <w:tab w:leader="none" w:pos="195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written opinions of counsel for the New Guarantors, in form and content reasonably acceptable to the Administrative Agent, dated as of the date hereof and covering such matters as may be reasonably requested by the Administrative Agent, including this Agreement, any security interest in collateral in favor of the Administrative Agent, regulatory, due authorization and other corporate matters and which are reasonably satisfactory in form and substance to the Administrative Agent; provided, however that no opinion of counsel shall be required for any New Guarantors that are incorporated outside of State of Delaware;</w:t>
      </w:r>
    </w:p>
    <w:p>
      <w:pPr>
        <w:spacing w:after="0" w:line="184"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copies of corporate and company documents and proceedings of the New Guarantors authorizing the execution, delivery, and performance of this Agreement, in each case, certified by appropriate officers of such entities;</w:t>
      </w:r>
    </w:p>
    <w:p>
      <w:pPr>
        <w:spacing w:after="0" w:line="174" w:lineRule="exact"/>
        <w:rPr>
          <w:rFonts w:ascii="Times New Roman" w:cs="Times New Roman" w:eastAsia="Times New Roman" w:hAnsi="Times New Roman"/>
          <w:sz w:val="20"/>
          <w:szCs w:val="20"/>
          <w:color w:val="auto"/>
        </w:rPr>
      </w:pPr>
    </w:p>
    <w:p>
      <w:pPr>
        <w:ind w:left="660" w:right="20" w:firstLine="644"/>
        <w:spacing w:after="0" w:line="269" w:lineRule="auto"/>
        <w:tabs>
          <w:tab w:leader="none" w:pos="195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appropriate stock powers and certificates evidencing the Equity Interests of each New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604520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9" w:name="page80"/>
    <w:bookmarkEnd w:id="79"/>
    <w:p>
      <w:pPr>
        <w:ind w:left="1960" w:hanging="656"/>
        <w:spacing w:after="0"/>
        <w:tabs>
          <w:tab w:leader="none" w:pos="1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the Loan Parties in Section 4 are true and correct as of the</w:t>
      </w:r>
    </w:p>
    <w:p>
      <w:pPr>
        <w:spacing w:after="0" w:line="20"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 hereof;</w:t>
      </w:r>
    </w:p>
    <w:p>
      <w:pPr>
        <w:spacing w:after="0" w:line="193"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prior to the Effective Date, all documentation and other information required and requested by regulatory authorities under applicable “Know Your Customer” and anti-money laundering rules and regulations, including, without limitation, the PATRIOT Act and other anti-corruption, anti-terrorism and sanctions laws (including beneficial ownership certification);</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and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Agent’s receipt of all other fees and charges due and payable under any Loan</w:t>
      </w:r>
    </w:p>
    <w:p>
      <w:pPr>
        <w:spacing w:after="0" w:line="2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b w:val="1"/>
          <w:bCs w:val="1"/>
          <w:color w:val="auto"/>
        </w:rPr>
        <w:t xml:space="preserve">SECTION 6. </w:t>
      </w:r>
      <w:r>
        <w:rPr>
          <w:rFonts w:ascii="Times New Roman" w:cs="Times New Roman" w:eastAsia="Times New Roman" w:hAnsi="Times New Roman"/>
          <w:sz w:val="20"/>
          <w:szCs w:val="20"/>
          <w:b w:val="1"/>
          <w:bCs w:val="1"/>
          <w:u w:val="single" w:color="auto"/>
          <w:color w:val="auto"/>
        </w:rPr>
        <w:t>Reaffirmation of Security Interests</w:t>
      </w:r>
      <w:r>
        <w:rPr>
          <w:rFonts w:ascii="Times New Roman" w:cs="Times New Roman" w:eastAsia="Times New Roman" w:hAnsi="Times New Roman"/>
          <w:sz w:val="20"/>
          <w:szCs w:val="20"/>
          <w:color w:val="auto"/>
        </w:rPr>
        <w:t>. Each Loan Party hereby acknowledges its receipt of a copy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its review of the terms and conditions hereof and consents to the terms and conditions of this Agreement and the transactions contemplated thereby. Each Loan Party, as applicable, (a) affirms and confirms its guarantees, pledges, grants and other undertakings under the Amended Credit Agreement, the Amended Security Agreement, and the other Loan Documents to which it is a party and (b) agrees that (i) each Loan Document to which it is a party shall continue to be in full force and effect, (ii) all guarantees, pledges, grants and other undertakings thereunder shall continue to be in full force and effect and shall accrue to the benefit of the Secured Parties, including the Administrative Agent, and (iii) the obligations secured by the Amended Security Agreement include any and all obligations of each Loan Party to the Secured Parties under the Amended Credit Agreement.</w:t>
      </w:r>
    </w:p>
    <w:p>
      <w:pPr>
        <w:spacing w:after="0" w:line="18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SECTION 7. </w:t>
      </w:r>
      <w:r>
        <w:rPr>
          <w:rFonts w:ascii="Times New Roman" w:cs="Times New Roman" w:eastAsia="Times New Roman" w:hAnsi="Times New Roman"/>
          <w:sz w:val="20"/>
          <w:szCs w:val="20"/>
          <w:b w:val="1"/>
          <w:bCs w:val="1"/>
          <w:u w:val="single" w:color="auto"/>
          <w:color w:val="auto"/>
        </w:rPr>
        <w:t>Expenses; Indemnity; Damage Waiver</w:t>
      </w:r>
      <w:r>
        <w:rPr>
          <w:rFonts w:ascii="Times New Roman" w:cs="Times New Roman" w:eastAsia="Times New Roman" w:hAnsi="Times New Roman"/>
          <w:sz w:val="20"/>
          <w:szCs w:val="20"/>
          <w:color w:val="auto"/>
        </w:rPr>
        <w:t>. Section 11.3 of the Credit Agreement is hereby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incorporated, mutatis mutandis, by reference as if such section was set forth in full herein.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SECTION 8. </w:t>
      </w:r>
      <w:r>
        <w:rPr>
          <w:rFonts w:ascii="Times New Roman" w:cs="Times New Roman" w:eastAsia="Times New Roman" w:hAnsi="Times New Roman"/>
          <w:sz w:val="20"/>
          <w:szCs w:val="20"/>
          <w:b w:val="1"/>
          <w:bCs w:val="1"/>
          <w:u w:val="single" w:color="auto"/>
          <w:color w:val="auto"/>
        </w:rPr>
        <w:t>Miscellaneous.</w:t>
      </w:r>
    </w:p>
    <w:p>
      <w:pPr>
        <w:spacing w:after="0" w:line="220" w:lineRule="exact"/>
        <w:rPr>
          <w:sz w:val="20"/>
          <w:szCs w:val="20"/>
          <w:color w:val="auto"/>
        </w:rPr>
      </w:pPr>
    </w:p>
    <w:p>
      <w:pPr>
        <w:jc w:val="both"/>
        <w:ind w:left="660" w:firstLine="644"/>
        <w:spacing w:after="0" w:line="242" w:lineRule="auto"/>
        <w:tabs>
          <w:tab w:leader="none" w:pos="195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Integrations; Electronic Execution</w:t>
      </w:r>
      <w:r>
        <w:rPr>
          <w:rFonts w:ascii="Times New Roman" w:cs="Times New Roman" w:eastAsia="Times New Roman" w:hAnsi="Times New Roman"/>
          <w:sz w:val="20"/>
          <w:szCs w:val="20"/>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facsimile or in electronic (i.e., “pdf” or “tif”) format shall be effective as delivery of a manually executed counterpart of this Agreement. The words “execution,” “signed,” “signature,” and words of like import in this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623570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0" w:name="page81"/>
    <w:bookmarkEnd w:id="80"/>
    <w:p>
      <w:pPr>
        <w:ind w:left="200"/>
        <w:spacing w:after="0"/>
        <w:rPr>
          <w:sz w:val="20"/>
          <w:szCs w:val="20"/>
          <w:color w:val="auto"/>
        </w:rPr>
      </w:pPr>
      <w:r>
        <w:rPr>
          <w:rFonts w:ascii="Times New Roman" w:cs="Times New Roman" w:eastAsia="Times New Roman" w:hAnsi="Times New Roman"/>
          <w:sz w:val="20"/>
          <w:szCs w:val="20"/>
          <w:color w:val="auto"/>
        </w:rPr>
        <w:t>and National Commerce Act, or any similar state laws based on the Uniform Electronic Transactions Act.</w:t>
      </w:r>
    </w:p>
    <w:p>
      <w:pPr>
        <w:spacing w:after="0" w:line="215" w:lineRule="exact"/>
        <w:rPr>
          <w:sz w:val="20"/>
          <w:szCs w:val="20"/>
          <w:color w:val="auto"/>
        </w:rPr>
      </w:pPr>
    </w:p>
    <w:p>
      <w:pPr>
        <w:ind w:left="200" w:firstLine="644"/>
        <w:spacing w:after="0" w:line="269" w:lineRule="auto"/>
        <w:tabs>
          <w:tab w:leader="none" w:pos="14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Capitalized terms used, but not defined, in this Agreement shall have the meaning set forth in the Amended Credit Agreement.</w:t>
      </w:r>
    </w:p>
    <w:p>
      <w:pPr>
        <w:spacing w:after="0" w:line="159"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This Agreement shall be binding upon and inure to the benefit of the Loan Parties, the Lender, the Administrative Agent, and their respective permitted successors and assigns.</w:t>
      </w:r>
    </w:p>
    <w:p>
      <w:pPr>
        <w:spacing w:after="0" w:line="159" w:lineRule="exact"/>
        <w:rPr>
          <w:rFonts w:ascii="Times New Roman" w:cs="Times New Roman" w:eastAsia="Times New Roman" w:hAnsi="Times New Roman"/>
          <w:sz w:val="20"/>
          <w:szCs w:val="20"/>
          <w:color w:val="auto"/>
        </w:rPr>
      </w:pPr>
    </w:p>
    <w:p>
      <w:pPr>
        <w:ind w:left="200" w:firstLine="644"/>
        <w:spacing w:after="0" w:line="269" w:lineRule="auto"/>
        <w:tabs>
          <w:tab w:leader="none" w:pos="14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shall be governed by and shall be construed and enforced in accordance with all provisions of the Credit Agreement, including the governing law provisions thereof.</w:t>
      </w:r>
    </w:p>
    <w:p>
      <w:pPr>
        <w:spacing w:after="0" w:line="159" w:lineRule="exact"/>
        <w:rPr>
          <w:rFonts w:ascii="Times New Roman" w:cs="Times New Roman" w:eastAsia="Times New Roman" w:hAnsi="Times New Roman"/>
          <w:sz w:val="20"/>
          <w:szCs w:val="20"/>
          <w:color w:val="auto"/>
        </w:rPr>
      </w:pPr>
    </w:p>
    <w:p>
      <w:pPr>
        <w:jc w:val="both"/>
        <w:ind w:left="200" w:firstLine="644"/>
        <w:spacing w:after="0" w:line="266" w:lineRule="auto"/>
        <w:tabs>
          <w:tab w:leader="none" w:pos="1496"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Severability</w:t>
      </w:r>
      <w:r>
        <w:rPr>
          <w:rFonts w:ascii="Times New Roman" w:cs="Times New Roman" w:eastAsia="Times New Roman" w:hAnsi="Times New Roman"/>
          <w:sz w:val="19"/>
          <w:szCs w:val="19"/>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161" w:lineRule="exact"/>
        <w:rPr>
          <w:rFonts w:ascii="Times New Roman" w:cs="Times New Roman" w:eastAsia="Times New Roman" w:hAnsi="Times New Roman"/>
          <w:sz w:val="19"/>
          <w:szCs w:val="19"/>
          <w:color w:val="auto"/>
        </w:rPr>
      </w:pPr>
    </w:p>
    <w:p>
      <w:pPr>
        <w:ind w:left="200" w:right="20" w:firstLine="644"/>
        <w:spacing w:after="0" w:line="273" w:lineRule="auto"/>
        <w:tabs>
          <w:tab w:leader="none" w:pos="14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headings of this Agreement are for purposes of reference only and shall not limit or otherwise affect the meaning hereof.</w:t>
      </w:r>
    </w:p>
    <w:p>
      <w:pPr>
        <w:spacing w:after="0" w:line="155" w:lineRule="exact"/>
        <w:rPr>
          <w:rFonts w:ascii="Times New Roman" w:cs="Times New Roman" w:eastAsia="Times New Roman" w:hAnsi="Times New Roman"/>
          <w:sz w:val="20"/>
          <w:szCs w:val="20"/>
          <w:color w:val="auto"/>
        </w:rPr>
      </w:pPr>
    </w:p>
    <w:p>
      <w:pPr>
        <w:jc w:val="both"/>
        <w:ind w:left="200" w:firstLine="644"/>
        <w:spacing w:after="0" w:line="241" w:lineRule="auto"/>
        <w:tabs>
          <w:tab w:leader="none" w:pos="149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Reference to and Effect on the Credit Agreement and the Other Loan Documents</w:t>
      </w:r>
      <w:r>
        <w:rPr>
          <w:rFonts w:ascii="Times New Roman" w:cs="Times New Roman" w:eastAsia="Times New Roman" w:hAnsi="Times New Roman"/>
          <w:sz w:val="20"/>
          <w:szCs w:val="20"/>
          <w:color w:val="auto"/>
        </w:rPr>
        <w:t>. On and after the Effective Date, (i) each reference in the Credit Agreement to “this Agreement”, “hereunder”, “herein” or words of like import referring to the Credit Agreement, and each reference in the other Loan Documents to the “Credit Agreement”, “thereunder”, “thereof” or words of like import referring to the Credit Agreement shall mean and be a reference to the Amended Credit Agreement; and (ii) each reference in the Security Agreement to “this Agreement”, “hereunder”, “herein” or words of like import referring to the Security Agreement, and each reference in the other Loan Documents to the “Security Agreement”, “thereunder”, “thereof” or words of like import referring to the Security Agreement shall mean and be a reference to the Amended Security Agreement. Except as specifically amended by this Agreement, the Credit Agreement and the other Loan Documents shall remain in full force and effect and are hereby ratified and confirmed and this Agreement shall not be considered a novation. The execution, delivery and performance of this Agreement shall not constitute a waiver of any provision of, or operate as a waiver of any right, power or remedy of the Administrative Agent or the Lender under the Credit Agreement or any of the other Loan Documents. This Agreement shall be deemed to be a Loan Document as defined in the Credit Agreement and is subject to the provisions thereof.</w:t>
      </w:r>
    </w:p>
    <w:p>
      <w:pPr>
        <w:spacing w:after="0" w:line="196"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0"/>
          <w:szCs w:val="20"/>
          <w:color w:val="auto"/>
        </w:rPr>
        <w:t>[Signatures commence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640080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81" w:name="page82"/>
    <w:bookmarkEnd w:id="81"/>
    <w:p>
      <w:pPr>
        <w:ind w:firstLine="648"/>
        <w:spacing w:after="0" w:line="268" w:lineRule="auto"/>
        <w:rPr>
          <w:sz w:val="20"/>
          <w:szCs w:val="20"/>
          <w:color w:val="auto"/>
        </w:rPr>
      </w:pPr>
      <w:r>
        <w:rPr>
          <w:rFonts w:ascii="Times New Roman" w:cs="Times New Roman" w:eastAsia="Times New Roman" w:hAnsi="Times New Roman"/>
          <w:sz w:val="20"/>
          <w:szCs w:val="20"/>
          <w:color w:val="413F41"/>
        </w:rPr>
        <w:t>IN WITNESS WHEREOF, each of the parties hereto has caused this Agreement to be executed by a duly authorized officer as of the date first above written.</w:t>
      </w:r>
    </w:p>
    <w:p>
      <w:pPr>
        <w:spacing w:after="0" w:line="19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i w:val="1"/>
          <w:iCs w:val="1"/>
          <w:color w:val="413F41"/>
        </w:rPr>
        <w:t>BORROWER:</w:t>
      </w:r>
    </w:p>
    <w:p>
      <w:pPr>
        <w:spacing w:after="0" w:line="2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413F41"/>
        </w:rPr>
        <w:t xml:space="preserve">ATN INTERNATIONAL, INC., </w:t>
      </w:r>
      <w:r>
        <w:rPr>
          <w:rFonts w:ascii="Times New Roman" w:cs="Times New Roman" w:eastAsia="Times New Roman" w:hAnsi="Times New Roman"/>
          <w:sz w:val="20"/>
          <w:szCs w:val="20"/>
          <w:color w:val="413F41"/>
        </w:rPr>
        <w:t>as the Borrower</w:t>
      </w:r>
    </w:p>
    <w:p>
      <w:pPr>
        <w:spacing w:after="0" w:line="200" w:lineRule="exact"/>
        <w:rPr>
          <w:sz w:val="20"/>
          <w:szCs w:val="20"/>
          <w:color w:val="auto"/>
        </w:rPr>
      </w:pPr>
    </w:p>
    <w:p>
      <w:pPr>
        <w:spacing w:after="0" w:line="263" w:lineRule="exact"/>
        <w:rPr>
          <w:sz w:val="20"/>
          <w:szCs w:val="20"/>
          <w:color w:val="auto"/>
        </w:rPr>
      </w:pPr>
    </w:p>
    <w:p>
      <w:pPr>
        <w:ind w:left="4680"/>
        <w:spacing w:after="0"/>
        <w:tabs>
          <w:tab w:leader="none" w:pos="5200" w:val="left"/>
        </w:tabs>
        <w:rPr>
          <w:sz w:val="20"/>
          <w:szCs w:val="20"/>
          <w:color w:val="auto"/>
        </w:rPr>
      </w:pPr>
      <w:r>
        <w:rPr>
          <w:rFonts w:ascii="Times New Roman" w:cs="Times New Roman" w:eastAsia="Times New Roman" w:hAnsi="Times New Roman"/>
          <w:sz w:val="20"/>
          <w:szCs w:val="20"/>
          <w:color w:val="413F41"/>
        </w:rPr>
        <w:t>By:</w:t>
        <w:tab/>
        <w:t>/s/ Carlos Doglioli</w:t>
      </w:r>
    </w:p>
    <w:p>
      <w:pPr>
        <w:spacing w:after="0" w:line="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413F41"/>
        </w:rPr>
        <w:t>Name:Carlos Doglioli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-144780</wp:posOffset>
            </wp:positionV>
            <wp:extent cx="29832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ind w:left="4680"/>
        <w:spacing w:after="0"/>
        <w:rPr>
          <w:sz w:val="20"/>
          <w:szCs w:val="20"/>
          <w:color w:val="auto"/>
        </w:rPr>
      </w:pPr>
      <w:r>
        <w:rPr>
          <w:rFonts w:ascii="Times New Roman" w:cs="Times New Roman" w:eastAsia="Times New Roman" w:hAnsi="Times New Roman"/>
          <w:sz w:val="20"/>
          <w:szCs w:val="20"/>
          <w:color w:val="413F41"/>
        </w:rPr>
        <w:t>Title: Chief Financial Officer</w:t>
      </w:r>
    </w:p>
    <w:p>
      <w:pPr>
        <w:spacing w:after="0" w:line="200" w:lineRule="exact"/>
        <w:rPr>
          <w:sz w:val="20"/>
          <w:szCs w:val="20"/>
          <w:color w:val="auto"/>
        </w:rPr>
      </w:pPr>
    </w:p>
    <w:p>
      <w:pPr>
        <w:spacing w:after="0" w:line="2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i w:val="1"/>
          <w:iCs w:val="1"/>
          <w:color w:val="413F41"/>
        </w:rPr>
        <w:t>NEW GUARANTORS:</w:t>
      </w:r>
    </w:p>
    <w:p>
      <w:pPr>
        <w:spacing w:after="0" w:line="22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413F41"/>
        </w:rPr>
        <w:t>ATN INTERNATIONAL TELECOM GROUP, LLC</w:t>
      </w:r>
    </w:p>
    <w:p>
      <w:pPr>
        <w:spacing w:after="0" w:line="200" w:lineRule="exact"/>
        <w:rPr>
          <w:sz w:val="20"/>
          <w:szCs w:val="20"/>
          <w:color w:val="auto"/>
        </w:rPr>
      </w:pPr>
    </w:p>
    <w:p>
      <w:pPr>
        <w:spacing w:after="0" w:line="263" w:lineRule="exact"/>
        <w:rPr>
          <w:sz w:val="20"/>
          <w:szCs w:val="20"/>
          <w:color w:val="auto"/>
        </w:rPr>
      </w:pPr>
    </w:p>
    <w:p>
      <w:pPr>
        <w:ind w:left="4680"/>
        <w:spacing w:after="0"/>
        <w:tabs>
          <w:tab w:leader="none" w:pos="5200" w:val="left"/>
        </w:tabs>
        <w:rPr>
          <w:sz w:val="20"/>
          <w:szCs w:val="20"/>
          <w:color w:val="auto"/>
        </w:rPr>
      </w:pPr>
      <w:r>
        <w:rPr>
          <w:rFonts w:ascii="Times New Roman" w:cs="Times New Roman" w:eastAsia="Times New Roman" w:hAnsi="Times New Roman"/>
          <w:sz w:val="20"/>
          <w:szCs w:val="20"/>
          <w:color w:val="413F41"/>
        </w:rPr>
        <w:t>By:</w:t>
        <w:tab/>
        <w:t>/s/ Carlos Doglioli</w:t>
      </w:r>
    </w:p>
    <w:p>
      <w:pPr>
        <w:spacing w:after="0" w:line="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413F41"/>
        </w:rPr>
        <w:t>Name:Carlos Doglioli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-144780</wp:posOffset>
            </wp:positionV>
            <wp:extent cx="29832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ind w:left="4680"/>
        <w:spacing w:after="0"/>
        <w:tabs>
          <w:tab w:leader="none" w:pos="5200" w:val="left"/>
        </w:tabs>
        <w:rPr>
          <w:sz w:val="20"/>
          <w:szCs w:val="20"/>
          <w:color w:val="auto"/>
        </w:rPr>
      </w:pPr>
      <w:r>
        <w:rPr>
          <w:rFonts w:ascii="Times New Roman" w:cs="Times New Roman" w:eastAsia="Times New Roman" w:hAnsi="Times New Roman"/>
          <w:sz w:val="20"/>
          <w:szCs w:val="20"/>
          <w:color w:val="413F41"/>
        </w:rPr>
        <w:t>Title</w:t>
      </w:r>
      <w:r>
        <w:rPr>
          <w:sz w:val="20"/>
          <w:szCs w:val="20"/>
          <w:color w:val="auto"/>
        </w:rPr>
        <w:tab/>
      </w:r>
      <w:r>
        <w:rPr>
          <w:rFonts w:ascii="Times New Roman" w:cs="Times New Roman" w:eastAsia="Times New Roman" w:hAnsi="Times New Roman"/>
          <w:sz w:val="19"/>
          <w:szCs w:val="19"/>
          <w:color w:val="413F41"/>
        </w:rPr>
        <w:t>Treasurer</w:t>
      </w:r>
    </w:p>
    <w:p>
      <w:pPr>
        <w:spacing w:after="0" w:line="200" w:lineRule="exact"/>
        <w:rPr>
          <w:sz w:val="20"/>
          <w:szCs w:val="20"/>
          <w:color w:val="auto"/>
        </w:rPr>
      </w:pPr>
    </w:p>
    <w:p>
      <w:pPr>
        <w:spacing w:after="0" w:line="2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b w:val="1"/>
          <w:bCs w:val="1"/>
          <w:color w:val="413F41"/>
        </w:rPr>
        <w:t>SWC TELESOLUTIONS, INC.</w:t>
      </w:r>
    </w:p>
    <w:p>
      <w:pPr>
        <w:spacing w:after="0" w:line="200" w:lineRule="exact"/>
        <w:rPr>
          <w:sz w:val="20"/>
          <w:szCs w:val="20"/>
          <w:color w:val="auto"/>
        </w:rPr>
      </w:pPr>
    </w:p>
    <w:p>
      <w:pPr>
        <w:spacing w:after="0" w:line="263" w:lineRule="exact"/>
        <w:rPr>
          <w:sz w:val="20"/>
          <w:szCs w:val="20"/>
          <w:color w:val="auto"/>
        </w:rPr>
      </w:pPr>
    </w:p>
    <w:p>
      <w:pPr>
        <w:ind w:left="4680"/>
        <w:spacing w:after="0"/>
        <w:tabs>
          <w:tab w:leader="none" w:pos="5200" w:val="left"/>
        </w:tabs>
        <w:rPr>
          <w:sz w:val="20"/>
          <w:szCs w:val="20"/>
          <w:color w:val="auto"/>
        </w:rPr>
      </w:pPr>
      <w:r>
        <w:rPr>
          <w:rFonts w:ascii="Times New Roman" w:cs="Times New Roman" w:eastAsia="Times New Roman" w:hAnsi="Times New Roman"/>
          <w:sz w:val="20"/>
          <w:szCs w:val="20"/>
          <w:color w:val="413F41"/>
        </w:rPr>
        <w:t>By:</w:t>
        <w:tab/>
        <w:t>/s/ Carlos Doglioli</w:t>
      </w:r>
    </w:p>
    <w:p>
      <w:pPr>
        <w:spacing w:after="0" w:line="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413F41"/>
        </w:rPr>
        <w:t>Name:Carlos Doglioli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-144780</wp:posOffset>
            </wp:positionV>
            <wp:extent cx="29832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ind w:left="4680"/>
        <w:spacing w:after="0"/>
        <w:tabs>
          <w:tab w:leader="none" w:pos="5200" w:val="left"/>
        </w:tabs>
        <w:rPr>
          <w:sz w:val="20"/>
          <w:szCs w:val="20"/>
          <w:color w:val="auto"/>
        </w:rPr>
      </w:pPr>
      <w:r>
        <w:rPr>
          <w:rFonts w:ascii="Times New Roman" w:cs="Times New Roman" w:eastAsia="Times New Roman" w:hAnsi="Times New Roman"/>
          <w:sz w:val="20"/>
          <w:szCs w:val="20"/>
          <w:color w:val="413F41"/>
        </w:rPr>
        <w:t>Title</w:t>
      </w:r>
      <w:r>
        <w:rPr>
          <w:sz w:val="20"/>
          <w:szCs w:val="20"/>
          <w:color w:val="auto"/>
        </w:rPr>
        <w:tab/>
      </w:r>
      <w:r>
        <w:rPr>
          <w:rFonts w:ascii="Times New Roman" w:cs="Times New Roman" w:eastAsia="Times New Roman" w:hAnsi="Times New Roman"/>
          <w:sz w:val="19"/>
          <w:szCs w:val="19"/>
          <w:color w:val="413F41"/>
        </w:rPr>
        <w:t>Treasurer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413F41"/>
        </w:rPr>
        <w:t>[Signatures continued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2" w:name="page83"/>
    <w:bookmarkEnd w:id="82"/>
    <w:p>
      <w:pPr>
        <w:jc w:val="center"/>
        <w:ind w:right="19"/>
        <w:spacing w:after="0"/>
        <w:rPr>
          <w:sz w:val="20"/>
          <w:szCs w:val="20"/>
          <w:color w:val="auto"/>
        </w:rPr>
      </w:pPr>
      <w:r>
        <w:rPr>
          <w:rFonts w:ascii="Times New Roman" w:cs="Times New Roman" w:eastAsia="Times New Roman" w:hAnsi="Times New Roman"/>
          <w:sz w:val="20"/>
          <w:szCs w:val="20"/>
          <w:color w:val="3B3B3D"/>
        </w:rPr>
        <w:t>[Signatures continued from previous page.]</w:t>
      </w:r>
    </w:p>
    <w:p>
      <w:pPr>
        <w:spacing w:after="0" w:line="200" w:lineRule="exact"/>
        <w:rPr>
          <w:sz w:val="20"/>
          <w:szCs w:val="20"/>
          <w:color w:val="auto"/>
        </w:rPr>
      </w:pPr>
    </w:p>
    <w:p>
      <w:pPr>
        <w:spacing w:after="0" w:line="25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i w:val="1"/>
          <w:iCs w:val="1"/>
          <w:color w:val="3B3B3D"/>
        </w:rPr>
        <w:t>EXISTING GUARANTORS:</w:t>
      </w:r>
    </w:p>
    <w:p>
      <w:pPr>
        <w:spacing w:after="0" w:line="200" w:lineRule="exact"/>
        <w:rPr>
          <w:sz w:val="20"/>
          <w:szCs w:val="20"/>
          <w:color w:val="auto"/>
        </w:rPr>
      </w:pPr>
    </w:p>
    <w:p>
      <w:pPr>
        <w:spacing w:after="0" w:line="25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WIRELESS, LLC</w:t>
      </w:r>
    </w:p>
    <w:p>
      <w:pPr>
        <w:spacing w:after="0" w:line="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FOUR CORNERS,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AZ,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NM,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NEVADA SUBCO,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OF ARIZONA,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RURAL AMERICA,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TOWERS,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EXCOMM,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OF NEVADA,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NEWCO,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ESSEXTEL, INC.</w:t>
      </w:r>
    </w:p>
    <w:p>
      <w:pPr>
        <w:ind w:left="4220"/>
        <w:spacing w:after="0"/>
        <w:rPr>
          <w:sz w:val="20"/>
          <w:szCs w:val="20"/>
          <w:color w:val="auto"/>
        </w:rPr>
      </w:pPr>
      <w:r>
        <w:rPr>
          <w:rFonts w:ascii="Times New Roman" w:cs="Times New Roman" w:eastAsia="Times New Roman" w:hAnsi="Times New Roman"/>
          <w:sz w:val="20"/>
          <w:szCs w:val="20"/>
          <w:b w:val="1"/>
          <w:bCs w:val="1"/>
          <w:color w:val="3B3B3D"/>
        </w:rPr>
        <w:t>SAL SPECTRUM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ATN VI, INC.</w:t>
      </w:r>
    </w:p>
    <w:p>
      <w:pPr>
        <w:ind w:left="4220"/>
        <w:spacing w:after="0"/>
        <w:rPr>
          <w:sz w:val="20"/>
          <w:szCs w:val="20"/>
          <w:color w:val="auto"/>
        </w:rPr>
      </w:pPr>
      <w:r>
        <w:rPr>
          <w:rFonts w:ascii="Times New Roman" w:cs="Times New Roman" w:eastAsia="Times New Roman" w:hAnsi="Times New Roman"/>
          <w:sz w:val="20"/>
          <w:szCs w:val="20"/>
          <w:b w:val="1"/>
          <w:bCs w:val="1"/>
          <w:color w:val="3B3B3D"/>
        </w:rPr>
        <w:t>WESTNET NEVADA, LLC</w:t>
      </w:r>
    </w:p>
    <w:p>
      <w:pPr>
        <w:ind w:left="4220"/>
        <w:spacing w:after="0"/>
        <w:rPr>
          <w:sz w:val="20"/>
          <w:szCs w:val="20"/>
          <w:color w:val="auto"/>
        </w:rPr>
      </w:pPr>
      <w:r>
        <w:rPr>
          <w:rFonts w:ascii="Times New Roman" w:cs="Times New Roman" w:eastAsia="Times New Roman" w:hAnsi="Times New Roman"/>
          <w:sz w:val="19"/>
          <w:szCs w:val="19"/>
          <w:b w:val="1"/>
          <w:bCs w:val="1"/>
          <w:color w:val="3B3B3D"/>
        </w:rPr>
        <w:t>ATN INTERNATIONAL SERVICES, LLC</w:t>
      </w:r>
    </w:p>
    <w:p>
      <w:pPr>
        <w:spacing w:after="0" w:line="1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b w:val="1"/>
          <w:bCs w:val="1"/>
          <w:color w:val="3B3B3D"/>
        </w:rPr>
        <w:t>ATLANTIC TELE-NETWORK,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ALLOY, INC.</w:t>
      </w:r>
    </w:p>
    <w:p>
      <w:pPr>
        <w:ind w:left="4220"/>
        <w:spacing w:after="0"/>
        <w:rPr>
          <w:sz w:val="20"/>
          <w:szCs w:val="20"/>
          <w:color w:val="auto"/>
        </w:rPr>
      </w:pPr>
      <w:r>
        <w:rPr>
          <w:rFonts w:ascii="Times New Roman" w:cs="Times New Roman" w:eastAsia="Times New Roman" w:hAnsi="Times New Roman"/>
          <w:sz w:val="20"/>
          <w:szCs w:val="20"/>
          <w:b w:val="1"/>
          <w:bCs w:val="1"/>
          <w:color w:val="3B3B3D"/>
        </w:rPr>
        <w:t>COMMNET BROADBAND, LLC</w:t>
      </w:r>
    </w:p>
    <w:p>
      <w:pPr>
        <w:ind w:left="4220"/>
        <w:spacing w:after="0"/>
        <w:rPr>
          <w:sz w:val="20"/>
          <w:szCs w:val="20"/>
          <w:color w:val="auto"/>
        </w:rPr>
      </w:pPr>
      <w:r>
        <w:rPr>
          <w:rFonts w:ascii="Times New Roman" w:cs="Times New Roman" w:eastAsia="Times New Roman" w:hAnsi="Times New Roman"/>
          <w:sz w:val="20"/>
          <w:szCs w:val="20"/>
          <w:b w:val="1"/>
          <w:bCs w:val="1"/>
          <w:color w:val="3B3B3D"/>
        </w:rPr>
        <w:t>SACRED WIND ENTERPRISES, INC.</w:t>
      </w:r>
    </w:p>
    <w:p>
      <w:pPr>
        <w:spacing w:after="0" w:line="200" w:lineRule="exact"/>
        <w:rPr>
          <w:sz w:val="20"/>
          <w:szCs w:val="20"/>
          <w:color w:val="auto"/>
        </w:rPr>
      </w:pPr>
    </w:p>
    <w:p>
      <w:pPr>
        <w:spacing w:after="0" w:line="237" w:lineRule="exact"/>
        <w:rPr>
          <w:sz w:val="20"/>
          <w:szCs w:val="20"/>
          <w:color w:val="auto"/>
        </w:rPr>
      </w:pPr>
    </w:p>
    <w:p>
      <w:pPr>
        <w:ind w:left="422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Carlos Doglioli</w:t>
      </w:r>
    </w:p>
    <w:p>
      <w:pPr>
        <w:spacing w:after="0" w:line="22"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0"/>
          <w:szCs w:val="20"/>
          <w:color w:val="413F41"/>
        </w:rPr>
        <w:t>Name:</w:t>
      </w:r>
      <w:r>
        <w:rPr>
          <w:rFonts w:ascii="Times New Roman" w:cs="Times New Roman" w:eastAsia="Times New Roman" w:hAnsi="Times New Roman"/>
          <w:sz w:val="20"/>
          <w:szCs w:val="20"/>
          <w:color w:val="3B3B3D"/>
        </w:rPr>
        <w:t>Carlos Doglioli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-144780</wp:posOffset>
            </wp:positionV>
            <wp:extent cx="29832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83230" cy="8890"/>
                    </a:xfrm>
                    <a:prstGeom prst="rect">
                      <a:avLst/>
                    </a:prstGeom>
                    <a:noFill/>
                  </pic:spPr>
                </pic:pic>
              </a:graphicData>
            </a:graphic>
          </wp:anchor>
        </w:drawing>
      </w:r>
    </w:p>
    <w:p>
      <w:pPr>
        <w:ind w:left="4220"/>
        <w:spacing w:after="0"/>
        <w:tabs>
          <w:tab w:leader="none" w:pos="4740" w:val="left"/>
        </w:tabs>
        <w:rPr>
          <w:sz w:val="20"/>
          <w:szCs w:val="20"/>
          <w:color w:val="auto"/>
        </w:rPr>
      </w:pPr>
      <w:r>
        <w:rPr>
          <w:rFonts w:ascii="Times New Roman" w:cs="Times New Roman" w:eastAsia="Times New Roman" w:hAnsi="Times New Roman"/>
          <w:sz w:val="20"/>
          <w:szCs w:val="20"/>
          <w:color w:val="413F41"/>
        </w:rPr>
        <w:t>Title</w:t>
      </w:r>
      <w:r>
        <w:rPr>
          <w:sz w:val="20"/>
          <w:szCs w:val="20"/>
          <w:color w:val="auto"/>
        </w:rPr>
        <w:tab/>
      </w:r>
      <w:r>
        <w:rPr>
          <w:rFonts w:ascii="Times New Roman" w:cs="Times New Roman" w:eastAsia="Times New Roman" w:hAnsi="Times New Roman"/>
          <w:sz w:val="19"/>
          <w:szCs w:val="19"/>
          <w:color w:val="545456"/>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0"/>
          <w:szCs w:val="20"/>
          <w:color w:val="231F20"/>
        </w:rPr>
        <w:t>[Signatures continued from previous page.]</w:t>
      </w:r>
    </w:p>
    <w:p>
      <w:pPr>
        <w:spacing w:after="0" w:line="224"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20"/>
          <w:szCs w:val="20"/>
          <w:b w:val="1"/>
          <w:bCs w:val="1"/>
          <w:color w:val="413F41"/>
        </w:rPr>
        <w:t>COBANK, ACB</w:t>
      </w:r>
      <w:r>
        <w:rPr>
          <w:rFonts w:ascii="Times New Roman" w:cs="Times New Roman" w:eastAsia="Times New Roman" w:hAnsi="Times New Roman"/>
          <w:sz w:val="20"/>
          <w:szCs w:val="20"/>
          <w:color w:val="413F41"/>
        </w:rPr>
        <w:t>, as Administrative Agent and as a Lender</w:t>
      </w:r>
    </w:p>
    <w:p>
      <w:pPr>
        <w:spacing w:after="0" w:line="200" w:lineRule="exact"/>
        <w:rPr>
          <w:sz w:val="20"/>
          <w:szCs w:val="20"/>
          <w:color w:val="auto"/>
        </w:rPr>
      </w:pPr>
    </w:p>
    <w:p>
      <w:pPr>
        <w:spacing w:after="0" w:line="263"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Rachel Candler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Rachel Candler</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4" w:name="page85"/>
    <w:bookmarkEnd w:id="84"/>
    <w:p>
      <w:pPr>
        <w:jc w:val="right"/>
        <w:ind w:right="1459"/>
        <w:spacing w:after="0"/>
        <w:rPr>
          <w:sz w:val="20"/>
          <w:szCs w:val="20"/>
          <w:color w:val="auto"/>
        </w:rPr>
      </w:pPr>
      <w:r>
        <w:rPr>
          <w:rFonts w:ascii="Times New Roman" w:cs="Times New Roman" w:eastAsia="Times New Roman" w:hAnsi="Times New Roman"/>
          <w:sz w:val="20"/>
          <w:szCs w:val="20"/>
          <w:b w:val="1"/>
          <w:bCs w:val="1"/>
          <w:color w:val="413F41"/>
        </w:rPr>
        <w:t>BANK OF NOVA SCOTIA</w:t>
      </w:r>
      <w:r>
        <w:rPr>
          <w:rFonts w:ascii="Times New Roman" w:cs="Times New Roman" w:eastAsia="Times New Roman" w:hAnsi="Times New Roman"/>
          <w:sz w:val="20"/>
          <w:szCs w:val="20"/>
          <w:color w:val="413F41"/>
        </w:rPr>
        <w:t>, as a Lender</w:t>
      </w:r>
    </w:p>
    <w:p>
      <w:pPr>
        <w:spacing w:after="0" w:line="200" w:lineRule="exact"/>
        <w:rPr>
          <w:sz w:val="20"/>
          <w:szCs w:val="20"/>
          <w:color w:val="auto"/>
        </w:rPr>
      </w:pPr>
    </w:p>
    <w:p>
      <w:pPr>
        <w:spacing w:after="0" w:line="262"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Carmen Contreras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Name: Carmen Contreras</w:t>
      </w:r>
    </w:p>
    <w:p>
      <w:pPr>
        <w:spacing w:after="0" w:line="6" w:lineRule="exact"/>
        <w:rPr>
          <w:sz w:val="20"/>
          <w:szCs w:val="20"/>
          <w:color w:val="auto"/>
        </w:rPr>
      </w:pPr>
    </w:p>
    <w:p>
      <w:pPr>
        <w:ind w:left="4760"/>
        <w:spacing w:after="0"/>
        <w:tabs>
          <w:tab w:leader="none" w:pos="5380" w:val="left"/>
        </w:tabs>
        <w:rPr>
          <w:sz w:val="20"/>
          <w:szCs w:val="20"/>
          <w:color w:val="auto"/>
        </w:rPr>
      </w:pPr>
      <w:r>
        <w:rPr>
          <w:rFonts w:ascii="Times New Roman" w:cs="Times New Roman" w:eastAsia="Times New Roman" w:hAnsi="Times New Roman"/>
          <w:sz w:val="20"/>
          <w:szCs w:val="20"/>
          <w:color w:val="3B3B3D"/>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5" w:name="page86"/>
    <w:bookmarkEnd w:id="85"/>
    <w:p>
      <w:pPr>
        <w:jc w:val="right"/>
        <w:ind w:right="479"/>
        <w:spacing w:after="0"/>
        <w:rPr>
          <w:sz w:val="20"/>
          <w:szCs w:val="20"/>
          <w:color w:val="auto"/>
        </w:rPr>
      </w:pPr>
      <w:r>
        <w:rPr>
          <w:rFonts w:ascii="Times New Roman" w:cs="Times New Roman" w:eastAsia="Times New Roman" w:hAnsi="Times New Roman"/>
          <w:sz w:val="20"/>
          <w:szCs w:val="20"/>
          <w:b w:val="1"/>
          <w:bCs w:val="1"/>
          <w:color w:val="auto"/>
        </w:rPr>
        <w:t xml:space="preserve">Fifth Third Bank, National Association, </w:t>
      </w:r>
      <w:r>
        <w:rPr>
          <w:rFonts w:ascii="Times New Roman" w:cs="Times New Roman" w:eastAsia="Times New Roman" w:hAnsi="Times New Roman"/>
          <w:sz w:val="20"/>
          <w:szCs w:val="20"/>
          <w:color w:val="auto"/>
        </w:rPr>
        <w:t>as a Lender</w:t>
      </w:r>
    </w:p>
    <w:p>
      <w:pPr>
        <w:spacing w:after="0" w:line="200" w:lineRule="exact"/>
        <w:rPr>
          <w:sz w:val="20"/>
          <w:szCs w:val="20"/>
          <w:color w:val="auto"/>
        </w:rPr>
      </w:pPr>
    </w:p>
    <w:p>
      <w:pPr>
        <w:spacing w:after="0" w:line="262"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Nick Meece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Name: Nick Meece</w:t>
      </w:r>
    </w:p>
    <w:p>
      <w:pPr>
        <w:spacing w:after="0" w:line="6" w:lineRule="exact"/>
        <w:rPr>
          <w:sz w:val="20"/>
          <w:szCs w:val="20"/>
          <w:color w:val="auto"/>
        </w:rPr>
      </w:pPr>
    </w:p>
    <w:p>
      <w:pPr>
        <w:ind w:left="4760"/>
        <w:spacing w:after="0"/>
        <w:tabs>
          <w:tab w:leader="none" w:pos="5380" w:val="left"/>
        </w:tabs>
        <w:rPr>
          <w:sz w:val="20"/>
          <w:szCs w:val="20"/>
          <w:color w:val="auto"/>
        </w:rPr>
      </w:pPr>
      <w:r>
        <w:rPr>
          <w:rFonts w:ascii="Times New Roman" w:cs="Times New Roman" w:eastAsia="Times New Roman" w:hAnsi="Times New Roman"/>
          <w:sz w:val="20"/>
          <w:szCs w:val="20"/>
          <w:color w:val="3B3B3D"/>
        </w:rPr>
        <w:t>Title:</w:t>
        <w:tab/>
        <w:t>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6" w:name="page87"/>
    <w:bookmarkEnd w:id="86"/>
    <w:p>
      <w:pPr>
        <w:ind w:left="4240"/>
        <w:spacing w:after="0"/>
        <w:rPr>
          <w:sz w:val="20"/>
          <w:szCs w:val="20"/>
          <w:color w:val="auto"/>
        </w:rPr>
      </w:pPr>
      <w:r>
        <w:rPr>
          <w:rFonts w:ascii="Times New Roman" w:cs="Times New Roman" w:eastAsia="Times New Roman" w:hAnsi="Times New Roman"/>
          <w:sz w:val="20"/>
          <w:szCs w:val="20"/>
          <w:b w:val="1"/>
          <w:bCs w:val="1"/>
          <w:color w:val="282828"/>
        </w:rPr>
        <w:t xml:space="preserve">MUFG BANK, LTD., </w:t>
      </w:r>
      <w:r>
        <w:rPr>
          <w:rFonts w:ascii="Times New Roman" w:cs="Times New Roman" w:eastAsia="Times New Roman" w:hAnsi="Times New Roman"/>
          <w:sz w:val="20"/>
          <w:szCs w:val="20"/>
          <w:color w:val="282828"/>
        </w:rPr>
        <w:t>as a Lender</w:t>
      </w:r>
    </w:p>
    <w:p>
      <w:pPr>
        <w:spacing w:after="0" w:line="200" w:lineRule="exact"/>
        <w:rPr>
          <w:sz w:val="20"/>
          <w:szCs w:val="20"/>
          <w:color w:val="auto"/>
        </w:rPr>
      </w:pPr>
    </w:p>
    <w:p>
      <w:pPr>
        <w:spacing w:after="0" w:line="262"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Colin Donnarumma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Name: Colin Donnarumma</w:t>
      </w:r>
    </w:p>
    <w:p>
      <w:pPr>
        <w:spacing w:after="0" w:line="6" w:lineRule="exact"/>
        <w:rPr>
          <w:sz w:val="20"/>
          <w:szCs w:val="20"/>
          <w:color w:val="auto"/>
        </w:rPr>
      </w:pPr>
    </w:p>
    <w:p>
      <w:pPr>
        <w:ind w:left="4760"/>
        <w:spacing w:after="0"/>
        <w:tabs>
          <w:tab w:leader="none" w:pos="5380" w:val="left"/>
        </w:tabs>
        <w:rPr>
          <w:sz w:val="20"/>
          <w:szCs w:val="20"/>
          <w:color w:val="auto"/>
        </w:rPr>
      </w:pPr>
      <w:r>
        <w:rPr>
          <w:rFonts w:ascii="Times New Roman" w:cs="Times New Roman" w:eastAsia="Times New Roman" w:hAnsi="Times New Roman"/>
          <w:sz w:val="20"/>
          <w:szCs w:val="20"/>
          <w:color w:val="3B3B3D"/>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364490</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7" w:name="page88"/>
    <w:bookmarkEnd w:id="87"/>
    <w:p>
      <w:pPr>
        <w:ind w:left="4240"/>
        <w:spacing w:after="0" w:line="272" w:lineRule="auto"/>
        <w:rPr>
          <w:sz w:val="20"/>
          <w:szCs w:val="20"/>
          <w:color w:val="auto"/>
        </w:rPr>
      </w:pPr>
      <w:r>
        <w:rPr>
          <w:rFonts w:ascii="Times New Roman" w:cs="Times New Roman" w:eastAsia="Times New Roman" w:hAnsi="Times New Roman"/>
          <w:sz w:val="20"/>
          <w:szCs w:val="20"/>
          <w:b w:val="1"/>
          <w:bCs w:val="1"/>
          <w:color w:val="231F20"/>
        </w:rPr>
        <w:t>AGFIRST FARM CREDIT BANK</w:t>
      </w:r>
      <w:r>
        <w:rPr>
          <w:rFonts w:ascii="Times New Roman" w:cs="Times New Roman" w:eastAsia="Times New Roman" w:hAnsi="Times New Roman"/>
          <w:sz w:val="20"/>
          <w:szCs w:val="20"/>
          <w:color w:val="231F20"/>
        </w:rPr>
        <w:t>, as a Voting Participant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pursuant to Section 11.7 of the Credit Agreement</w:t>
      </w:r>
    </w:p>
    <w:p>
      <w:pPr>
        <w:spacing w:after="0" w:line="400"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Hampton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Name: Hampton Jones</w:t>
      </w:r>
    </w:p>
    <w:p>
      <w:pPr>
        <w:spacing w:after="0" w:line="6" w:lineRule="exact"/>
        <w:rPr>
          <w:sz w:val="20"/>
          <w:szCs w:val="20"/>
          <w:color w:val="auto"/>
        </w:rPr>
      </w:pPr>
    </w:p>
    <w:p>
      <w:pPr>
        <w:ind w:left="4760"/>
        <w:spacing w:after="0"/>
        <w:tabs>
          <w:tab w:leader="none" w:pos="5380" w:val="left"/>
        </w:tabs>
        <w:rPr>
          <w:sz w:val="20"/>
          <w:szCs w:val="20"/>
          <w:color w:val="auto"/>
        </w:rPr>
      </w:pPr>
      <w:r>
        <w:rPr>
          <w:rFonts w:ascii="Times New Roman" w:cs="Times New Roman" w:eastAsia="Times New Roman" w:hAnsi="Times New Roman"/>
          <w:sz w:val="20"/>
          <w:szCs w:val="20"/>
          <w:color w:val="3B3B3D"/>
        </w:rPr>
        <w:t>Title:</w:t>
        <w:tab/>
        <w:t>AVP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88" w:name="page89"/>
    <w:bookmarkEnd w:id="88"/>
    <w:p>
      <w:pPr>
        <w:ind w:left="4240"/>
        <w:spacing w:after="0" w:line="272" w:lineRule="auto"/>
        <w:rPr>
          <w:sz w:val="20"/>
          <w:szCs w:val="20"/>
          <w:color w:val="auto"/>
        </w:rPr>
      </w:pPr>
      <w:r>
        <w:rPr>
          <w:rFonts w:ascii="Times New Roman" w:cs="Times New Roman" w:eastAsia="Times New Roman" w:hAnsi="Times New Roman"/>
          <w:sz w:val="20"/>
          <w:szCs w:val="20"/>
          <w:b w:val="1"/>
          <w:bCs w:val="1"/>
          <w:color w:val="0A0A0A"/>
        </w:rPr>
        <w:t xml:space="preserve">AGWEST FARM CREDIT, FLCA, </w:t>
      </w:r>
      <w:r>
        <w:rPr>
          <w:rFonts w:ascii="Times New Roman" w:cs="Times New Roman" w:eastAsia="Times New Roman" w:hAnsi="Times New Roman"/>
          <w:sz w:val="20"/>
          <w:szCs w:val="20"/>
          <w:color w:val="0A0A0A"/>
        </w:rPr>
        <w:t>as a Voting Participant</w:t>
      </w:r>
      <w:r>
        <w:rPr>
          <w:rFonts w:ascii="Times New Roman" w:cs="Times New Roman" w:eastAsia="Times New Roman" w:hAnsi="Times New Roman"/>
          <w:sz w:val="20"/>
          <w:szCs w:val="20"/>
          <w:b w:val="1"/>
          <w:bCs w:val="1"/>
          <w:color w:val="0A0A0A"/>
        </w:rPr>
        <w:t xml:space="preserve"> </w:t>
      </w:r>
      <w:r>
        <w:rPr>
          <w:rFonts w:ascii="Times New Roman" w:cs="Times New Roman" w:eastAsia="Times New Roman" w:hAnsi="Times New Roman"/>
          <w:sz w:val="20"/>
          <w:szCs w:val="20"/>
          <w:color w:val="0A0A0A"/>
        </w:rPr>
        <w:t>pursuant to Section 11.7 of the Credit Agreement</w:t>
      </w:r>
    </w:p>
    <w:p>
      <w:pPr>
        <w:spacing w:after="0" w:line="400"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Greg 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Name: Greg Reilly</w:t>
      </w:r>
    </w:p>
    <w:p>
      <w:pPr>
        <w:spacing w:after="0" w:line="6" w:lineRule="exact"/>
        <w:rPr>
          <w:sz w:val="20"/>
          <w:szCs w:val="20"/>
          <w:color w:val="auto"/>
        </w:rPr>
      </w:pPr>
    </w:p>
    <w:p>
      <w:pPr>
        <w:ind w:left="4760"/>
        <w:spacing w:after="0"/>
        <w:tabs>
          <w:tab w:leader="none" w:pos="5380" w:val="left"/>
        </w:tabs>
        <w:rPr>
          <w:sz w:val="20"/>
          <w:szCs w:val="20"/>
          <w:color w:val="auto"/>
        </w:rPr>
      </w:pPr>
      <w:r>
        <w:rPr>
          <w:rFonts w:ascii="Times New Roman" w:cs="Times New Roman" w:eastAsia="Times New Roman" w:hAnsi="Times New Roman"/>
          <w:sz w:val="20"/>
          <w:szCs w:val="20"/>
          <w:color w:val="3B3B3D"/>
        </w:rPr>
        <w:t>Title:</w:t>
        <w:tab/>
        <w:t>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114" w:right="1019" w:bottom="1440" w:gutter="0" w:footer="0" w:header="0"/>
        </w:sectPr>
      </w:pPr>
    </w:p>
    <w:bookmarkStart w:id="89" w:name="page90"/>
    <w:bookmarkEnd w:id="89"/>
    <w:p>
      <w:pPr>
        <w:ind w:left="4240"/>
        <w:spacing w:after="0" w:line="272" w:lineRule="auto"/>
        <w:rPr>
          <w:sz w:val="20"/>
          <w:szCs w:val="20"/>
          <w:color w:val="auto"/>
        </w:rPr>
      </w:pPr>
      <w:r>
        <w:rPr>
          <w:rFonts w:ascii="Times New Roman" w:cs="Times New Roman" w:eastAsia="Times New Roman" w:hAnsi="Times New Roman"/>
          <w:sz w:val="20"/>
          <w:szCs w:val="20"/>
          <w:b w:val="1"/>
          <w:bCs w:val="1"/>
          <w:color w:val="231F20"/>
        </w:rPr>
        <w:t>AMERICAN AG CREDIT, FLCA</w:t>
      </w:r>
      <w:r>
        <w:rPr>
          <w:rFonts w:ascii="Times New Roman" w:cs="Times New Roman" w:eastAsia="Times New Roman" w:hAnsi="Times New Roman"/>
          <w:sz w:val="20"/>
          <w:szCs w:val="20"/>
          <w:color w:val="231F20"/>
        </w:rPr>
        <w:t>, as a Voting Participant</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pursuant to Section 11.7 of the Credit Agreement</w:t>
      </w:r>
    </w:p>
    <w:p>
      <w:pPr>
        <w:spacing w:after="0" w:line="400"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Raina Porecha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Name: Raina Porecha</w:t>
      </w:r>
    </w:p>
    <w:p>
      <w:pPr>
        <w:spacing w:after="0" w:line="6" w:lineRule="exact"/>
        <w:rPr>
          <w:sz w:val="20"/>
          <w:szCs w:val="20"/>
          <w:color w:val="auto"/>
        </w:rPr>
      </w:pPr>
    </w:p>
    <w:p>
      <w:pPr>
        <w:ind w:left="4760"/>
        <w:spacing w:after="0"/>
        <w:tabs>
          <w:tab w:leader="none" w:pos="5380" w:val="left"/>
        </w:tabs>
        <w:rPr>
          <w:sz w:val="20"/>
          <w:szCs w:val="20"/>
          <w:color w:val="auto"/>
        </w:rPr>
      </w:pPr>
      <w:r>
        <w:rPr>
          <w:rFonts w:ascii="Times New Roman" w:cs="Times New Roman" w:eastAsia="Times New Roman" w:hAnsi="Times New Roman"/>
          <w:sz w:val="20"/>
          <w:szCs w:val="20"/>
          <w:color w:val="3B3B3D"/>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40"/>
          </w:cols>
          <w:pgMar w:left="1440" w:top="114" w:right="1019" w:bottom="1440" w:gutter="0" w:footer="0" w:header="0"/>
        </w:sectPr>
      </w:pPr>
    </w:p>
    <w:bookmarkStart w:id="90" w:name="page91"/>
    <w:bookmarkEnd w:id="90"/>
    <w:p>
      <w:pPr>
        <w:ind w:left="4240"/>
        <w:spacing w:after="0" w:line="272" w:lineRule="auto"/>
        <w:rPr>
          <w:sz w:val="20"/>
          <w:szCs w:val="20"/>
          <w:color w:val="auto"/>
        </w:rPr>
      </w:pPr>
      <w:r>
        <w:rPr>
          <w:rFonts w:ascii="Times New Roman" w:cs="Times New Roman" w:eastAsia="Times New Roman" w:hAnsi="Times New Roman"/>
          <w:sz w:val="20"/>
          <w:szCs w:val="20"/>
          <w:b w:val="1"/>
          <w:bCs w:val="1"/>
          <w:color w:val="auto"/>
        </w:rPr>
        <w:t>CAPITAL FARM CREDIT, FLCA</w:t>
      </w:r>
      <w:r>
        <w:rPr>
          <w:rFonts w:ascii="Times New Roman" w:cs="Times New Roman" w:eastAsia="Times New Roman" w:hAnsi="Times New Roman"/>
          <w:sz w:val="20"/>
          <w:szCs w:val="20"/>
          <w:color w:val="auto"/>
        </w:rPr>
        <w:t>, as a Voting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Section 11.7 of the Credit Agreement</w:t>
      </w:r>
    </w:p>
    <w:p>
      <w:pPr>
        <w:spacing w:after="0" w:line="400"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 xml:space="preserve">/s/ </w:t>
      </w:r>
      <w:r>
        <w:rPr>
          <w:rFonts w:ascii="Times New Roman" w:cs="Times New Roman" w:eastAsia="Times New Roman" w:hAnsi="Times New Roman"/>
          <w:sz w:val="20"/>
          <w:szCs w:val="20"/>
          <w:color w:val="000000"/>
        </w:rPr>
        <w:t>Agustin Arzeno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 xml:space="preserve">Name: </w:t>
      </w:r>
      <w:r>
        <w:rPr>
          <w:rFonts w:ascii="Times New Roman" w:cs="Times New Roman" w:eastAsia="Times New Roman" w:hAnsi="Times New Roman"/>
          <w:sz w:val="20"/>
          <w:szCs w:val="20"/>
          <w:color w:val="000000"/>
        </w:rPr>
        <w:t>Agustin Arzeno</w:t>
      </w:r>
    </w:p>
    <w:p>
      <w:pPr>
        <w:spacing w:after="0" w:line="6" w:lineRule="exact"/>
        <w:rPr>
          <w:sz w:val="20"/>
          <w:szCs w:val="20"/>
          <w:color w:val="auto"/>
        </w:rPr>
      </w:pPr>
    </w:p>
    <w:p>
      <w:pPr>
        <w:ind w:left="4760"/>
        <w:spacing w:after="0"/>
        <w:tabs>
          <w:tab w:leader="none" w:pos="5380" w:val="left"/>
        </w:tabs>
        <w:rPr>
          <w:sz w:val="20"/>
          <w:szCs w:val="20"/>
          <w:color w:val="auto"/>
        </w:rPr>
      </w:pPr>
      <w:r>
        <w:rPr>
          <w:rFonts w:ascii="Times New Roman" w:cs="Times New Roman" w:eastAsia="Times New Roman" w:hAnsi="Times New Roman"/>
          <w:sz w:val="20"/>
          <w:szCs w:val="20"/>
          <w:color w:val="3B3B3D"/>
        </w:rPr>
        <w:t>Title:</w:t>
      </w:r>
      <w:r>
        <w:rPr>
          <w:rFonts w:ascii="Times New Roman" w:cs="Times New Roman" w:eastAsia="Times New Roman" w:hAnsi="Times New Roman"/>
          <w:sz w:val="20"/>
          <w:szCs w:val="20"/>
          <w:color w:val="auto"/>
        </w:rPr>
        <w:tab/>
        <w:t>Director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4" w:right="999" w:bottom="1440" w:gutter="0" w:footer="0" w:header="0"/>
        </w:sectPr>
      </w:pPr>
    </w:p>
    <w:bookmarkStart w:id="91" w:name="page92"/>
    <w:bookmarkEnd w:id="91"/>
    <w:p>
      <w:pPr>
        <w:ind w:left="4240"/>
        <w:spacing w:after="0" w:line="273" w:lineRule="auto"/>
        <w:rPr>
          <w:sz w:val="20"/>
          <w:szCs w:val="20"/>
          <w:color w:val="auto"/>
        </w:rPr>
      </w:pPr>
      <w:r>
        <w:rPr>
          <w:rFonts w:ascii="Times New Roman" w:cs="Times New Roman" w:eastAsia="Times New Roman" w:hAnsi="Times New Roman"/>
          <w:sz w:val="20"/>
          <w:szCs w:val="20"/>
          <w:b w:val="1"/>
          <w:bCs w:val="1"/>
          <w:color w:val="57595B"/>
        </w:rPr>
        <w:t xml:space="preserve">FARM CREDIT BANK OF TEXAS, </w:t>
      </w:r>
      <w:r>
        <w:rPr>
          <w:rFonts w:ascii="Times New Roman" w:cs="Times New Roman" w:eastAsia="Times New Roman" w:hAnsi="Times New Roman"/>
          <w:sz w:val="20"/>
          <w:szCs w:val="20"/>
          <w:color w:val="57595B"/>
        </w:rPr>
        <w:t>as a Voting Participant</w:t>
      </w:r>
      <w:r>
        <w:rPr>
          <w:rFonts w:ascii="Times New Roman" w:cs="Times New Roman" w:eastAsia="Times New Roman" w:hAnsi="Times New Roman"/>
          <w:sz w:val="20"/>
          <w:szCs w:val="20"/>
          <w:b w:val="1"/>
          <w:bCs w:val="1"/>
          <w:color w:val="57595B"/>
        </w:rPr>
        <w:t xml:space="preserve"> </w:t>
      </w:r>
      <w:r>
        <w:rPr>
          <w:rFonts w:ascii="Times New Roman" w:cs="Times New Roman" w:eastAsia="Times New Roman" w:hAnsi="Times New Roman"/>
          <w:sz w:val="20"/>
          <w:szCs w:val="20"/>
          <w:color w:val="57595B"/>
        </w:rPr>
        <w:t>pursuant to Section 11.7 of the Credit Agreement</w:t>
      </w:r>
    </w:p>
    <w:p>
      <w:pPr>
        <w:spacing w:after="0" w:line="399"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Aaron Wiechman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Name: Aaron Wiechman</w:t>
      </w:r>
    </w:p>
    <w:p>
      <w:pPr>
        <w:spacing w:after="0" w:line="6" w:lineRule="exact"/>
        <w:rPr>
          <w:sz w:val="20"/>
          <w:szCs w:val="20"/>
          <w:color w:val="auto"/>
        </w:rPr>
      </w:pPr>
    </w:p>
    <w:p>
      <w:pPr>
        <w:ind w:left="4760"/>
        <w:spacing w:after="0"/>
        <w:tabs>
          <w:tab w:leader="none" w:pos="5380" w:val="left"/>
        </w:tabs>
        <w:rPr>
          <w:sz w:val="20"/>
          <w:szCs w:val="20"/>
          <w:color w:val="auto"/>
        </w:rPr>
      </w:pPr>
      <w:r>
        <w:rPr>
          <w:rFonts w:ascii="Times New Roman" w:cs="Times New Roman" w:eastAsia="Times New Roman" w:hAnsi="Times New Roman"/>
          <w:sz w:val="20"/>
          <w:szCs w:val="20"/>
          <w:color w:val="3B3B3D"/>
        </w:rPr>
        <w:t>Title:</w:t>
        <w:tab/>
        <w:t>Chief Lending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6" w:right="999" w:bottom="1440" w:gutter="0" w:footer="0" w:header="0"/>
        </w:sectPr>
      </w:pPr>
    </w:p>
    <w:bookmarkStart w:id="92" w:name="page93"/>
    <w:bookmarkEnd w:id="92"/>
    <w:p>
      <w:pPr>
        <w:ind w:left="4240"/>
        <w:spacing w:after="0" w:line="273" w:lineRule="auto"/>
        <w:rPr>
          <w:sz w:val="20"/>
          <w:szCs w:val="20"/>
          <w:color w:val="auto"/>
        </w:rPr>
      </w:pPr>
      <w:r>
        <w:rPr>
          <w:rFonts w:ascii="Times New Roman" w:cs="Times New Roman" w:eastAsia="Times New Roman" w:hAnsi="Times New Roman"/>
          <w:sz w:val="20"/>
          <w:szCs w:val="20"/>
          <w:b w:val="1"/>
          <w:bCs w:val="1"/>
          <w:color w:val="5B5D5E"/>
        </w:rPr>
        <w:t xml:space="preserve">FARM CREDIT EAST, ACA, </w:t>
      </w:r>
      <w:r>
        <w:rPr>
          <w:rFonts w:ascii="Times New Roman" w:cs="Times New Roman" w:eastAsia="Times New Roman" w:hAnsi="Times New Roman"/>
          <w:sz w:val="20"/>
          <w:szCs w:val="20"/>
          <w:color w:val="5B5D5E"/>
        </w:rPr>
        <w:t>as a Voting Participant pursuant</w:t>
      </w:r>
      <w:r>
        <w:rPr>
          <w:rFonts w:ascii="Times New Roman" w:cs="Times New Roman" w:eastAsia="Times New Roman" w:hAnsi="Times New Roman"/>
          <w:sz w:val="20"/>
          <w:szCs w:val="20"/>
          <w:b w:val="1"/>
          <w:bCs w:val="1"/>
          <w:color w:val="5B5D5E"/>
        </w:rPr>
        <w:t xml:space="preserve"> </w:t>
      </w:r>
      <w:r>
        <w:rPr>
          <w:rFonts w:ascii="Times New Roman" w:cs="Times New Roman" w:eastAsia="Times New Roman" w:hAnsi="Times New Roman"/>
          <w:sz w:val="20"/>
          <w:szCs w:val="20"/>
          <w:color w:val="5B5D5E"/>
        </w:rPr>
        <w:t>to Section 11.7 of the Credit Agreement</w:t>
      </w:r>
    </w:p>
    <w:p>
      <w:pPr>
        <w:spacing w:after="0" w:line="399" w:lineRule="exact"/>
        <w:rPr>
          <w:sz w:val="20"/>
          <w:szCs w:val="20"/>
          <w:color w:val="auto"/>
        </w:rPr>
      </w:pPr>
    </w:p>
    <w:p>
      <w:pPr>
        <w:ind w:left="4240"/>
        <w:spacing w:after="0"/>
        <w:tabs>
          <w:tab w:leader="none" w:pos="4740" w:val="left"/>
        </w:tabs>
        <w:rPr>
          <w:sz w:val="20"/>
          <w:szCs w:val="20"/>
          <w:color w:val="auto"/>
        </w:rPr>
      </w:pPr>
      <w:r>
        <w:rPr>
          <w:rFonts w:ascii="Times New Roman" w:cs="Times New Roman" w:eastAsia="Times New Roman" w:hAnsi="Times New Roman"/>
          <w:sz w:val="20"/>
          <w:szCs w:val="20"/>
          <w:color w:val="413F41"/>
        </w:rPr>
        <w:t>By:</w:t>
      </w:r>
      <w:r>
        <w:rPr>
          <w:rFonts w:ascii="Times New Roman" w:cs="Times New Roman" w:eastAsia="Times New Roman" w:hAnsi="Times New Roman"/>
          <w:sz w:val="20"/>
          <w:szCs w:val="20"/>
          <w:color w:val="3B3B3D"/>
        </w:rPr>
        <w:tab/>
        <w:t>/s/ Kerri B. Sears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13970</wp:posOffset>
            </wp:positionV>
            <wp:extent cx="298323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413F41"/>
        </w:rPr>
        <w:t xml:space="preserve">Name: </w:t>
      </w:r>
      <w:r>
        <w:rPr>
          <w:rFonts w:ascii="Times New Roman" w:cs="Times New Roman" w:eastAsia="Times New Roman" w:hAnsi="Times New Roman"/>
          <w:sz w:val="20"/>
          <w:szCs w:val="20"/>
          <w:color w:val="3B3B3D"/>
        </w:rPr>
        <w:t>Kerri B. Sears</w:t>
      </w:r>
    </w:p>
    <w:p>
      <w:pPr>
        <w:spacing w:after="0" w:line="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3B3B3D"/>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color w:val="auto"/>
        </w:rPr>
        <w:t>Joinder, Consent, First Amendment and Reaffirmation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6" w:right="99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Conformed Credit Agreement (redline)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794385</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20"/>
          <w:szCs w:val="20"/>
          <w:b w:val="1"/>
          <w:bCs w:val="1"/>
          <w:i w:val="1"/>
          <w:iCs w:val="1"/>
          <w:u w:val="single" w:color="auto"/>
          <w:color w:val="0000FF"/>
        </w:rPr>
        <w:t>Conformed through First Amendment to Credit Agreement</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i w:val="1"/>
          <w:iCs w:val="1"/>
          <w:color w:val="FF0000"/>
          <w:strike w:val="1"/>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2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ATN INTERNATIONAL, INC., as Borrower,</w:t>
      </w:r>
    </w:p>
    <w:p>
      <w:pPr>
        <w:spacing w:after="0" w:line="2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THE GUARANTORS PARTY HERETO,</w:t>
      </w:r>
    </w:p>
    <w:p>
      <w:pPr>
        <w:spacing w:after="0" w:line="2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216" w:lineRule="exact"/>
        <w:rPr>
          <w:sz w:val="20"/>
          <w:szCs w:val="20"/>
          <w:color w:val="auto"/>
        </w:rPr>
      </w:pPr>
    </w:p>
    <w:p>
      <w:pPr>
        <w:jc w:val="center"/>
        <w:ind w:left="340" w:right="800"/>
        <w:spacing w:after="0" w:line="273" w:lineRule="auto"/>
        <w:rPr>
          <w:sz w:val="20"/>
          <w:szCs w:val="20"/>
          <w:color w:val="auto"/>
        </w:rPr>
      </w:pPr>
      <w:r>
        <w:rPr>
          <w:rFonts w:ascii="Times New Roman" w:cs="Times New Roman" w:eastAsia="Times New Roman" w:hAnsi="Times New Roman"/>
          <w:sz w:val="20"/>
          <w:szCs w:val="20"/>
          <w:b w:val="1"/>
          <w:bCs w:val="1"/>
          <w:color w:val="auto"/>
        </w:rPr>
        <w:t>COBANK, ACB, as Administrative Agent, Lead Arranger, Bookrunner, Issuing Lender and Swing Line Lender,</w:t>
      </w:r>
    </w:p>
    <w:p>
      <w:pPr>
        <w:spacing w:after="0" w:line="15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FIFTH THIRD BANK, NATIONAL ASSOCIATION, as a Joint Lead Arranger, and</w:t>
      </w:r>
    </w:p>
    <w:p>
      <w:pPr>
        <w:spacing w:after="0" w:line="2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MUFG BANK, LTD., as a Joint Lead Arranger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Dated as of July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796925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1" w:right="99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OF CONTENTS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9"/>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980" w:type="dxa"/>
            <w:vAlign w:val="bottom"/>
          </w:tcPr>
          <w:p>
            <w:pPr>
              <w:spacing w:after="0"/>
              <w:rPr>
                <w:sz w:val="24"/>
                <w:szCs w:val="24"/>
                <w:color w:val="auto"/>
              </w:rPr>
            </w:pPr>
          </w:p>
        </w:tc>
        <w:tc>
          <w:tcPr>
            <w:tcW w:w="98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85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CERTAIN DEFINITIONS</w:t>
            </w: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1.1</w:t>
            </w:r>
          </w:p>
        </w:tc>
        <w:tc>
          <w:tcPr>
            <w:tcW w:w="800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Certain Definitions</w:t>
            </w: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560" w:type="dxa"/>
            <w:vAlign w:val="bottom"/>
          </w:tcPr>
          <w:p>
            <w:pPr>
              <w:ind w:left="120"/>
              <w:spacing w:after="0" w:line="212" w:lineRule="exact"/>
              <w:rPr>
                <w:sz w:val="20"/>
                <w:szCs w:val="20"/>
                <w:color w:val="auto"/>
              </w:rPr>
            </w:pPr>
            <w:r>
              <w:rPr>
                <w:rFonts w:ascii="Times New Roman" w:cs="Times New Roman" w:eastAsia="Times New Roman" w:hAnsi="Times New Roman"/>
                <w:sz w:val="20"/>
                <w:szCs w:val="20"/>
                <w:color w:val="auto"/>
              </w:rPr>
              <w:t>1.2</w:t>
            </w:r>
          </w:p>
        </w:tc>
        <w:tc>
          <w:tcPr>
            <w:tcW w:w="8000" w:type="dxa"/>
            <w:vAlign w:val="bottom"/>
            <w:gridSpan w:val="3"/>
          </w:tcPr>
          <w:p>
            <w:pPr>
              <w:ind w:left="60"/>
              <w:spacing w:after="0" w:line="212" w:lineRule="exact"/>
              <w:rPr>
                <w:sz w:val="20"/>
                <w:szCs w:val="20"/>
                <w:color w:val="auto"/>
              </w:rPr>
            </w:pPr>
            <w:r>
              <w:rPr>
                <w:rFonts w:ascii="Times New Roman" w:cs="Times New Roman" w:eastAsia="Times New Roman" w:hAnsi="Times New Roman"/>
                <w:sz w:val="20"/>
                <w:szCs w:val="20"/>
                <w:color w:val="auto"/>
              </w:rPr>
              <w:t>Construction</w:t>
            </w:r>
          </w:p>
        </w:tc>
        <w:tc>
          <w:tcPr>
            <w:tcW w:w="540" w:type="dxa"/>
            <w:vAlign w:val="bottom"/>
          </w:tcPr>
          <w:p>
            <w:pPr>
              <w:spacing w:after="0"/>
              <w:rPr>
                <w:sz w:val="18"/>
                <w:szCs w:val="18"/>
                <w:color w:val="auto"/>
              </w:rPr>
            </w:pPr>
          </w:p>
        </w:tc>
        <w:tc>
          <w:tcPr>
            <w:tcW w:w="200" w:type="dxa"/>
            <w:vAlign w:val="bottom"/>
            <w:gridSpan w:val="2"/>
          </w:tcPr>
          <w:p>
            <w:pPr>
              <w:jc w:val="right"/>
              <w:ind w:right="20"/>
              <w:spacing w:after="0" w:line="212" w:lineRule="exact"/>
              <w:rPr>
                <w:sz w:val="20"/>
                <w:szCs w:val="20"/>
                <w:color w:val="auto"/>
              </w:rPr>
            </w:pPr>
            <w:r>
              <w:rPr>
                <w:rFonts w:ascii="Times New Roman" w:cs="Times New Roman" w:eastAsia="Times New Roman" w:hAnsi="Times New Roman"/>
                <w:sz w:val="20"/>
                <w:szCs w:val="20"/>
                <w:color w:val="FF0000"/>
                <w:strike w:val="1"/>
                <w:w w:val="79"/>
              </w:rPr>
              <w:t>42</w:t>
            </w:r>
          </w:p>
        </w:tc>
        <w:tc>
          <w:tcPr>
            <w:tcW w:w="24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20"/>
                <w:szCs w:val="20"/>
                <w:color w:val="0000FF"/>
                <w:w w:val="79"/>
              </w:rPr>
              <w:t>44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1.3</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Accounting Principles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43</w:t>
            </w: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1.4</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Rounding</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1.5</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Letter of Credit Amounts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1.6</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Covenant Compliance Generally</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1.7</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Holidays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45</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1.8</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Divisions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45</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5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II.</w:t>
            </w:r>
          </w:p>
        </w:tc>
        <w:tc>
          <w:tcPr>
            <w:tcW w:w="85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CREDIT FACILITIES</w:t>
            </w:r>
          </w:p>
        </w:tc>
        <w:tc>
          <w:tcPr>
            <w:tcW w:w="5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FF0000"/>
                <w:strike w:val="1"/>
                <w:w w:val="79"/>
              </w:rPr>
              <w:t>45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79"/>
              </w:rPr>
              <w:t>47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Term Loans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45</w:t>
            </w: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2.2</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Revolving Loans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2.3</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Swing Line Loans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47</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2.4</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49</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2.5</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Incremental Facilities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49</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51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2.6</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Interest Rate Provisions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52</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54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2.7</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Interest Periods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53</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2.8</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Making of Loans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55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2.9</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Fees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55</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2.10</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Notes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55</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2.11</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Letter of Credit Subfacility</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56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2.12</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Payments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62</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63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2.13</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Interest Payment Dates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62</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2.14</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Voluntary Prepayments and Reduction of Commitments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62</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64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2.15</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Mandatory Prepayments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2.16</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Sharing of Payments by Lenders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65</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2.17</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Defaulting Lenders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68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2.18</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Cash Collateral</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68</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70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2.19</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Extension of Applicable Maturity Date</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69</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71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5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III.</w:t>
            </w:r>
          </w:p>
        </w:tc>
        <w:tc>
          <w:tcPr>
            <w:tcW w:w="85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INCREASED COSTS; TAXES; ILLEGALITY; INDEMNITY</w:t>
            </w:r>
          </w:p>
        </w:tc>
        <w:tc>
          <w:tcPr>
            <w:tcW w:w="5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FF0000"/>
                <w:strike w:val="1"/>
                <w:w w:val="79"/>
              </w:rPr>
              <w:t>71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79"/>
              </w:rPr>
              <w:t>73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3.1</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Increased Costs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71</w:t>
            </w: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73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3.2</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Taxes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72</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74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3.3</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Illegality</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3.4</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Inability to Determine Rate; Cost; Interest After Default</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76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3.5</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Indemnity</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77</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3.6</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78</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3.7</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Benchmark Replacement Setting</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79</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3.8</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Survival</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80</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5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IV.</w:t>
            </w:r>
          </w:p>
        </w:tc>
        <w:tc>
          <w:tcPr>
            <w:tcW w:w="85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CONDITIONS OF LENDING AND ISSUANCE OF LETTERS OF CREDIT</w:t>
            </w:r>
          </w:p>
        </w:tc>
        <w:tc>
          <w:tcPr>
            <w:tcW w:w="5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FF0000"/>
                <w:strike w:val="1"/>
                <w:w w:val="79"/>
              </w:rPr>
              <w:t>80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79"/>
              </w:rPr>
              <w:t>82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4.1</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First Loans and Letters of Credit</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80</w:t>
            </w: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4.2</w:t>
            </w:r>
          </w:p>
        </w:tc>
        <w:tc>
          <w:tcPr>
            <w:tcW w:w="8000" w:type="dxa"/>
            <w:vAlign w:val="bottom"/>
            <w:gridSpan w:val="3"/>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Each Loan or Letter of Credit</w:t>
            </w:r>
          </w:p>
        </w:tc>
        <w:tc>
          <w:tcPr>
            <w:tcW w:w="5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82</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00" w:type="dxa"/>
            <w:vAlign w:val="bottom"/>
            <w:gridSpan w:val="3"/>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9" w:right="99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7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V.</w:t>
            </w:r>
          </w:p>
        </w:tc>
        <w:tc>
          <w:tcPr>
            <w:tcW w:w="87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3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FF0000"/>
                <w:strike w:val="1"/>
                <w:w w:val="79"/>
              </w:rPr>
              <w:t>83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79"/>
              </w:rPr>
              <w:t>85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Organization and Qualification</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83</w:t>
            </w: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5.2</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Compliance With Laws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83</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5.3</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Title to Properties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5.4</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Investment Company Act</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5.5</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Event of Default</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5.6</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Subsidiaries and Owners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5.7</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Power and Authority; Validity and Binding Effect</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5.8</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No Conflict; Consents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5.9</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Litigation</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85</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5.10</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Financial Statements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85</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5.11</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Margin Stock</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5.12</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Full Disclosure</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5.13</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Taxes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5.14</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Intellectual Property; Other Rights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5.15</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Liens in the Collateral</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87</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5.16</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Insurance</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87</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5.17</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Employee Benefits Compliance</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87</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5.18</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Environmental Matters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87</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89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5.19</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Communications Regulatory Matters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88</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5.20</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Solvency</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89</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5.21</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Qualified ECP Guarantor</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89</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5.22</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Transactions with Affiliates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89</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5.23</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Labor Matters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89</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5.24</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Anti-Corruption; Anti-Terrorism and Sanctions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89</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5.25</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90</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5.26</w:t>
            </w:r>
          </w:p>
        </w:tc>
        <w:tc>
          <w:tcPr>
            <w:tcW w:w="82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Acquisition Not Subject to Exon Florio Provision of the Defense Production Act</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FF0000"/>
                <w:strike w:val="1"/>
                <w:w w:val="79"/>
              </w:rPr>
              <w:t>90</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0000FF"/>
                <w:w w:val="79"/>
              </w:rPr>
              <w:t>92</w:t>
            </w:r>
          </w:p>
        </w:tc>
        <w:tc>
          <w:tcPr>
            <w:tcW w:w="0" w:type="dxa"/>
            <w:vAlign w:val="bottom"/>
          </w:tcPr>
          <w:p>
            <w:pPr>
              <w:spacing w:after="0"/>
              <w:rPr>
                <w:sz w:val="1"/>
                <w:szCs w:val="1"/>
                <w:color w:val="auto"/>
              </w:rPr>
            </w:pPr>
          </w:p>
        </w:tc>
      </w:tr>
      <w:tr>
        <w:trPr>
          <w:trHeight w:val="183"/>
        </w:trPr>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VI.</w:t>
            </w:r>
          </w:p>
        </w:tc>
        <w:tc>
          <w:tcPr>
            <w:tcW w:w="8760" w:type="dxa"/>
            <w:vAlign w:val="bottom"/>
            <w:gridSpan w:val="2"/>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AFFIRMATIVE COVENANTS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90</w:t>
            </w: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vMerge w:val="continue"/>
          </w:tcPr>
          <w:p>
            <w:pPr>
              <w:spacing w:after="0"/>
              <w:rPr>
                <w:sz w:val="14"/>
                <w:szCs w:val="14"/>
                <w:color w:val="auto"/>
              </w:rPr>
            </w:pPr>
          </w:p>
        </w:tc>
        <w:tc>
          <w:tcPr>
            <w:tcW w:w="876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6.1</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Reporting Requirements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90</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6.2</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Preservation of Existence, Etc</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93</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6.3</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93</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6.4</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Payment of Taxes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93</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6.5</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Maintenance of Insurance</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93</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6.6</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Maintenance of Properties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6.7</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Visitation Rights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6.8</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Keeping of Records and Books of Account</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6.9</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Compliance with Laws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94</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6.10</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Further Assurances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95</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6.11</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CoBank Equity and Securities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96</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6.12</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Use of Proceeds</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97</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6.13</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97</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6.14</w:t>
            </w:r>
          </w:p>
        </w:tc>
        <w:tc>
          <w:tcPr>
            <w:tcW w:w="8220" w:type="dxa"/>
            <w:vAlign w:val="bottom"/>
            <w:vMerge w:val="restart"/>
          </w:tcPr>
          <w:p>
            <w:pPr>
              <w:ind w:left="6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34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w w:val="79"/>
              </w:rPr>
              <w:t>97</w:t>
            </w:r>
          </w:p>
        </w:tc>
        <w:tc>
          <w:tcPr>
            <w:tcW w:w="2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22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3"/>
              </w:rPr>
              <w:t>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980" w:type="dxa"/>
            <w:vAlign w:val="bottom"/>
            <w:gridSpan w:val="2"/>
          </w:tcPr>
          <w:p>
            <w:pPr>
              <w:jc w:val="center"/>
              <w:ind w:right="298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(cont’d)</w:t>
            </w:r>
          </w:p>
        </w:tc>
        <w:tc>
          <w:tcPr>
            <w:tcW w:w="2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80" w:type="dxa"/>
            <w:vAlign w:val="bottom"/>
            <w:tcBorders>
              <w:bottom w:val="single" w:sz="8" w:color="auto"/>
            </w:tcBorders>
            <w:gridSpan w:val="8"/>
          </w:tcPr>
          <w:p>
            <w:pPr>
              <w:ind w:left="300"/>
              <w:spacing w:after="0"/>
              <w:rPr>
                <w:sz w:val="20"/>
                <w:szCs w:val="20"/>
                <w:color w:val="auto"/>
              </w:rPr>
            </w:pPr>
            <w:r>
              <w:rPr>
                <w:rFonts w:ascii="Times New Roman" w:cs="Times New Roman" w:eastAsia="Times New Roman" w:hAnsi="Times New Roman"/>
                <w:sz w:val="20"/>
                <w:szCs w:val="20"/>
                <w:color w:val="auto"/>
              </w:rPr>
              <w:t>Page</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6.15</w:t>
            </w:r>
          </w:p>
        </w:tc>
        <w:tc>
          <w:tcPr>
            <w:tcW w:w="8060" w:type="dxa"/>
            <w:vAlign w:val="bottom"/>
            <w:gridSpan w:val="5"/>
          </w:tcPr>
          <w:p>
            <w:pPr>
              <w:ind w:left="120"/>
              <w:spacing w:after="0"/>
              <w:rPr>
                <w:sz w:val="20"/>
                <w:szCs w:val="20"/>
                <w:color w:val="auto"/>
              </w:rPr>
            </w:pPr>
            <w:r>
              <w:rPr>
                <w:rFonts w:ascii="Times New Roman" w:cs="Times New Roman" w:eastAsia="Times New Roman" w:hAnsi="Times New Roman"/>
                <w:sz w:val="20"/>
                <w:szCs w:val="20"/>
                <w:color w:val="auto"/>
              </w:rPr>
              <w:t>Compliance with ERISA and IRC</w:t>
            </w:r>
          </w:p>
        </w:tc>
        <w:tc>
          <w:tcPr>
            <w:tcW w:w="720" w:type="dxa"/>
            <w:vAlign w:val="bottom"/>
            <w:gridSpan w:val="6"/>
          </w:tcPr>
          <w:p>
            <w:pPr>
              <w:ind w:left="540"/>
              <w:spacing w:after="0"/>
              <w:rPr>
                <w:sz w:val="20"/>
                <w:szCs w:val="20"/>
                <w:color w:val="auto"/>
              </w:rPr>
            </w:pPr>
            <w:r>
              <w:rPr>
                <w:rFonts w:ascii="Times New Roman" w:cs="Times New Roman" w:eastAsia="Times New Roman" w:hAnsi="Times New Roman"/>
                <w:sz w:val="20"/>
                <w:szCs w:val="20"/>
                <w:color w:val="FF0000"/>
                <w:strike w:val="1"/>
                <w:w w:val="79"/>
              </w:rPr>
              <w:t>97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89"/>
              </w:rPr>
              <w:t>99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6.16</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tcPr>
          <w:p>
            <w:pPr>
              <w:jc w:val="right"/>
              <w:spacing w:after="0" w:line="170" w:lineRule="exact"/>
              <w:rPr>
                <w:sz w:val="20"/>
                <w:szCs w:val="20"/>
                <w:color w:val="auto"/>
              </w:rPr>
            </w:pPr>
            <w:r>
              <w:rPr>
                <w:rFonts w:ascii="Times New Roman" w:cs="Times New Roman" w:eastAsia="Times New Roman" w:hAnsi="Times New Roman"/>
                <w:sz w:val="19"/>
                <w:szCs w:val="19"/>
                <w:color w:val="FF0000"/>
                <w:strike w:val="1"/>
              </w:rPr>
              <w:t>97</w:t>
            </w: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6.17</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Designation of Subsidiaries</w:t>
            </w:r>
          </w:p>
        </w:tc>
        <w:tc>
          <w:tcPr>
            <w:tcW w:w="62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97</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6.18</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Post-Closing Obligations</w:t>
            </w:r>
          </w:p>
        </w:tc>
        <w:tc>
          <w:tcPr>
            <w:tcW w:w="62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98</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VII.  NEGATIVE COVENANTS</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FF0000"/>
                <w:strike w:val="1"/>
              </w:rPr>
              <w:t>98</w:t>
            </w:r>
          </w:p>
        </w:tc>
        <w:tc>
          <w:tcPr>
            <w:tcW w:w="20" w:type="dxa"/>
            <w:vAlign w:val="bottom"/>
          </w:tcPr>
          <w:p>
            <w:pPr>
              <w:spacing w:after="0"/>
              <w:rPr>
                <w:sz w:val="24"/>
                <w:szCs w:val="24"/>
                <w:color w:val="auto"/>
              </w:rPr>
            </w:pPr>
          </w:p>
        </w:tc>
        <w:tc>
          <w:tcPr>
            <w:tcW w:w="340" w:type="dxa"/>
            <w:vAlign w:val="bottom"/>
            <w:gridSpan w:val="6"/>
          </w:tcPr>
          <w:p>
            <w:pPr>
              <w:jc w:val="right"/>
              <w:ind w:right="60"/>
              <w:spacing w:after="0"/>
              <w:rPr>
                <w:sz w:val="20"/>
                <w:szCs w:val="20"/>
                <w:color w:val="auto"/>
              </w:rPr>
            </w:pPr>
            <w:r>
              <w:rPr>
                <w:rFonts w:ascii="Times New Roman" w:cs="Times New Roman" w:eastAsia="Times New Roman" w:hAnsi="Times New Roman"/>
                <w:sz w:val="20"/>
                <w:szCs w:val="20"/>
                <w:color w:val="0000FF"/>
                <w:w w:val="86"/>
              </w:rPr>
              <w:t>100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Indebtedness</w:t>
            </w:r>
          </w:p>
        </w:tc>
        <w:tc>
          <w:tcPr>
            <w:tcW w:w="62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98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7.2</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Liens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100</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7.3</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Affiliate Transactions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100</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7.4</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Contingent Obligations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101</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7.5</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Loans and Investments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102</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7.6</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Dividends and Related Distributions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103</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7.7</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Liquidations, Mergers, Consolidations, Acquisitions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104</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7.8</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Dispositions of Assets or Subsidiaries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105</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7.9</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Use of Proceeds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106</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7.10</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106</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w w:val="97"/>
              </w:rPr>
              <w:t>7.11</w:t>
            </w:r>
          </w:p>
        </w:tc>
        <w:tc>
          <w:tcPr>
            <w:tcW w:w="20" w:type="dxa"/>
            <w:vAlign w:val="bottom"/>
            <w:vMerge w:val="restart"/>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Continuation of or Change in Business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106</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7.12</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Fiscal Year</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106</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7.13</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107</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7.14</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Changes in Organizational Documents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107</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7.15</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Negative Pledges; Other Inconsistent Agreements</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107</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5"/>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7.16</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620" w:type="dxa"/>
            <w:vAlign w:val="bottom"/>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86"/>
              </w:rPr>
              <w:t>107</w:t>
            </w: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gridSpan w:val="2"/>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7.17</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660" w:type="dxa"/>
            <w:vAlign w:val="bottom"/>
            <w:gridSpan w:val="3"/>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99"/>
              </w:rPr>
              <w:t>107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7.18</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Management Fees</w:t>
            </w:r>
          </w:p>
        </w:tc>
        <w:tc>
          <w:tcPr>
            <w:tcW w:w="660" w:type="dxa"/>
            <w:vAlign w:val="bottom"/>
            <w:gridSpan w:val="3"/>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99"/>
              </w:rPr>
              <w:t>107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7.19</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660" w:type="dxa"/>
            <w:vAlign w:val="bottom"/>
            <w:gridSpan w:val="3"/>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99"/>
              </w:rPr>
              <w:t>107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7.20</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Reserved</w:t>
            </w:r>
          </w:p>
        </w:tc>
        <w:tc>
          <w:tcPr>
            <w:tcW w:w="660" w:type="dxa"/>
            <w:vAlign w:val="bottom"/>
            <w:gridSpan w:val="3"/>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99"/>
              </w:rPr>
              <w:t>107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7.21</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Anti-Corruption; Anti-Terrorism; Sanctions</w:t>
            </w:r>
          </w:p>
        </w:tc>
        <w:tc>
          <w:tcPr>
            <w:tcW w:w="660" w:type="dxa"/>
            <w:vAlign w:val="bottom"/>
            <w:gridSpan w:val="3"/>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99"/>
              </w:rPr>
              <w:t>107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0000FF"/>
                <w:w w:val="96"/>
              </w:rPr>
              <w:t>7.</w:t>
            </w:r>
            <w:r>
              <w:rPr>
                <w:rFonts w:ascii="Times New Roman" w:cs="Times New Roman" w:eastAsia="Times New Roman" w:hAnsi="Times New Roman"/>
                <w:sz w:val="20"/>
                <w:szCs w:val="20"/>
                <w:u w:val="single" w:color="auto"/>
                <w:color w:val="0000FF"/>
                <w:w w:val="96"/>
              </w:rPr>
              <w:t>22</w:t>
            </w: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940" w:type="dxa"/>
            <w:vAlign w:val="bottom"/>
            <w:gridSpan w:val="4"/>
            <w:vMerge w:val="restart"/>
          </w:tcPr>
          <w:p>
            <w:pPr>
              <w:spacing w:after="0" w:line="209" w:lineRule="exact"/>
              <w:rPr>
                <w:sz w:val="20"/>
                <w:szCs w:val="20"/>
                <w:color w:val="auto"/>
              </w:rPr>
            </w:pPr>
            <w:r>
              <w:rPr>
                <w:rFonts w:ascii="Times New Roman" w:cs="Times New Roman" w:eastAsia="Times New Roman" w:hAnsi="Times New Roman"/>
                <w:sz w:val="20"/>
                <w:szCs w:val="20"/>
                <w:color w:val="0000FF"/>
              </w:rPr>
              <w:t>Funding Program Deposit Accounts</w:t>
            </w:r>
          </w:p>
        </w:tc>
        <w:tc>
          <w:tcPr>
            <w:tcW w:w="660" w:type="dxa"/>
            <w:vAlign w:val="bottom"/>
            <w:gridSpan w:val="3"/>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110</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Borders>
              <w:top w:val="single" w:sz="8" w:color="0000FF"/>
              <w:bottom w:val="single" w:sz="8" w:color="0000FF"/>
            </w:tcBorders>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40" w:type="dxa"/>
            <w:vAlign w:val="bottom"/>
            <w:gridSpan w:val="8"/>
          </w:tcPr>
          <w:p>
            <w:pPr>
              <w:spacing w:after="0"/>
              <w:rPr>
                <w:sz w:val="20"/>
                <w:szCs w:val="20"/>
                <w:color w:val="auto"/>
              </w:rPr>
            </w:pPr>
            <w:r>
              <w:rPr>
                <w:rFonts w:ascii="Times New Roman" w:cs="Times New Roman" w:eastAsia="Times New Roman" w:hAnsi="Times New Roman"/>
                <w:sz w:val="20"/>
                <w:szCs w:val="20"/>
                <w:color w:val="auto"/>
              </w:rPr>
              <w:t>VIII. FINANCIAL COVENANTS</w:t>
            </w: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20"/>
                <w:szCs w:val="20"/>
                <w:color w:val="FF0000"/>
                <w:strike w:val="1"/>
                <w:w w:val="99"/>
              </w:rPr>
              <w:t>108</w:t>
            </w:r>
          </w:p>
        </w:tc>
        <w:tc>
          <w:tcPr>
            <w:tcW w:w="32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0000FF"/>
                <w:w w:val="79"/>
              </w:rPr>
              <w:t>110</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Maximum Total Net Leverage Ratio</w:t>
            </w:r>
          </w:p>
        </w:tc>
        <w:tc>
          <w:tcPr>
            <w:tcW w:w="660" w:type="dxa"/>
            <w:vAlign w:val="bottom"/>
            <w:gridSpan w:val="3"/>
            <w:vMerge w:val="restart"/>
          </w:tcPr>
          <w:p>
            <w:pPr>
              <w:ind w:left="340"/>
              <w:spacing w:after="0" w:line="209" w:lineRule="exact"/>
              <w:rPr>
                <w:sz w:val="20"/>
                <w:szCs w:val="20"/>
                <w:color w:val="auto"/>
              </w:rPr>
            </w:pPr>
            <w:r>
              <w:rPr>
                <w:rFonts w:ascii="Times New Roman" w:cs="Times New Roman" w:eastAsia="Times New Roman" w:hAnsi="Times New Roman"/>
                <w:sz w:val="20"/>
                <w:szCs w:val="20"/>
                <w:color w:val="FF0000"/>
                <w:strike w:val="1"/>
                <w:w w:val="99"/>
              </w:rPr>
              <w:t>108</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IX.</w:t>
            </w:r>
          </w:p>
        </w:tc>
        <w:tc>
          <w:tcPr>
            <w:tcW w:w="84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EVENTS OF DEFAULT</w:t>
            </w:r>
          </w:p>
        </w:tc>
        <w:tc>
          <w:tcPr>
            <w:tcW w:w="7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FF0000"/>
                <w:strike w:val="1"/>
              </w:rPr>
              <w:t>108</w:t>
            </w:r>
          </w:p>
        </w:tc>
        <w:tc>
          <w:tcPr>
            <w:tcW w:w="28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0000FF"/>
                <w:w w:val="70"/>
              </w:rPr>
              <w:t>111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9.1</w:t>
            </w:r>
          </w:p>
        </w:tc>
        <w:tc>
          <w:tcPr>
            <w:tcW w:w="20" w:type="dxa"/>
            <w:vAlign w:val="bottom"/>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Events of Default</w:t>
            </w:r>
          </w:p>
        </w:tc>
        <w:tc>
          <w:tcPr>
            <w:tcW w:w="680" w:type="dxa"/>
            <w:vAlign w:val="bottom"/>
            <w:gridSpan w:val="4"/>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108</w:t>
            </w:r>
          </w:p>
        </w:tc>
        <w:tc>
          <w:tcPr>
            <w:tcW w:w="20" w:type="dxa"/>
            <w:vAlign w:val="bottom"/>
            <w:tcBorders>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70"/>
              </w:rPr>
              <w:t>111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9.2</w:t>
            </w:r>
          </w:p>
        </w:tc>
        <w:tc>
          <w:tcPr>
            <w:tcW w:w="20" w:type="dxa"/>
            <w:vAlign w:val="bottom"/>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Consequences of Event of Default</w:t>
            </w:r>
          </w:p>
        </w:tc>
        <w:tc>
          <w:tcPr>
            <w:tcW w:w="66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110</w:t>
            </w: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0" w:type="dxa"/>
            <w:vAlign w:val="bottom"/>
            <w:tcBorders>
              <w:bottom w:val="single" w:sz="8" w:color="0000FF"/>
            </w:tcBorders>
            <w:vMerge w:val="continue"/>
          </w:tcPr>
          <w:p>
            <w:pPr>
              <w:spacing w:after="0"/>
              <w:rPr>
                <w:sz w:val="14"/>
                <w:szCs w:val="14"/>
                <w:color w:val="auto"/>
              </w:rPr>
            </w:pPr>
          </w:p>
        </w:tc>
        <w:tc>
          <w:tcPr>
            <w:tcW w:w="240" w:type="dxa"/>
            <w:vAlign w:val="bottom"/>
            <w:tcBorders>
              <w:bottom w:val="single" w:sz="8" w:color="0000FF"/>
            </w:tcBorders>
            <w:gridSpan w:val="3"/>
          </w:tcPr>
          <w:p>
            <w:pPr>
              <w:jc w:val="right"/>
              <w:spacing w:after="0" w:line="170" w:lineRule="exact"/>
              <w:rPr>
                <w:sz w:val="20"/>
                <w:szCs w:val="20"/>
                <w:color w:val="auto"/>
              </w:rPr>
            </w:pPr>
            <w:r>
              <w:rPr>
                <w:rFonts w:ascii="Times New Roman" w:cs="Times New Roman" w:eastAsia="Times New Roman" w:hAnsi="Times New Roman"/>
                <w:sz w:val="19"/>
                <w:szCs w:val="19"/>
                <w:color w:val="0000FF"/>
                <w:w w:val="77"/>
              </w:rPr>
              <w:t>113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9.3</w:t>
            </w:r>
          </w:p>
        </w:tc>
        <w:tc>
          <w:tcPr>
            <w:tcW w:w="20" w:type="dxa"/>
            <w:vAlign w:val="bottom"/>
          </w:tcPr>
          <w:p>
            <w:pPr>
              <w:spacing w:after="0" w:line="20" w:lineRule="exact"/>
              <w:rPr>
                <w:sz w:val="1"/>
                <w:szCs w:val="1"/>
                <w:color w:val="auto"/>
              </w:rPr>
            </w:pP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Right to Cure</w:t>
            </w:r>
          </w:p>
        </w:tc>
        <w:tc>
          <w:tcPr>
            <w:tcW w:w="66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113</w:t>
            </w:r>
          </w:p>
        </w:tc>
        <w:tc>
          <w:tcPr>
            <w:tcW w:w="260" w:type="dxa"/>
            <w:vAlign w:val="bottom"/>
            <w:tcBorders>
              <w:bottom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440" w:type="dxa"/>
            <w:vAlign w:val="bottom"/>
            <w:gridSpan w:val="7"/>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60" w:type="dxa"/>
            <w:vAlign w:val="bottom"/>
            <w:tcBorders>
              <w:bottom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X.</w:t>
            </w:r>
          </w:p>
        </w:tc>
        <w:tc>
          <w:tcPr>
            <w:tcW w:w="844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THE ADMINISTRATIVE AGENT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FF0000"/>
                <w:strike w:val="1"/>
              </w:rPr>
              <w:t>113</w:t>
            </w:r>
          </w:p>
        </w:tc>
        <w:tc>
          <w:tcPr>
            <w:tcW w:w="32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color w:val="0000FF"/>
                <w:w w:val="79"/>
              </w:rPr>
              <w:t>116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10.1</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Appointment and Authority</w:t>
            </w:r>
          </w:p>
        </w:tc>
        <w:tc>
          <w:tcPr>
            <w:tcW w:w="66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113</w:t>
            </w:r>
          </w:p>
        </w:tc>
        <w:tc>
          <w:tcPr>
            <w:tcW w:w="260" w:type="dxa"/>
            <w:vAlign w:val="bottom"/>
            <w:tcBorders>
              <w:top w:val="single" w:sz="8" w:color="0000FF"/>
              <w:bottom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10.2</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Rights as a Lender</w:t>
            </w:r>
          </w:p>
        </w:tc>
        <w:tc>
          <w:tcPr>
            <w:tcW w:w="66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114</w:t>
            </w:r>
          </w:p>
        </w:tc>
        <w:tc>
          <w:tcPr>
            <w:tcW w:w="260" w:type="dxa"/>
            <w:vAlign w:val="bottom"/>
            <w:tcBorders>
              <w:bottom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10.3</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No Fiduciary Duty</w:t>
            </w:r>
          </w:p>
        </w:tc>
        <w:tc>
          <w:tcPr>
            <w:tcW w:w="66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114</w:t>
            </w:r>
          </w:p>
        </w:tc>
        <w:tc>
          <w:tcPr>
            <w:tcW w:w="260" w:type="dxa"/>
            <w:vAlign w:val="bottom"/>
            <w:tcBorders>
              <w:bottom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10.4</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Exculpation</w:t>
            </w:r>
          </w:p>
        </w:tc>
        <w:tc>
          <w:tcPr>
            <w:tcW w:w="66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114</w:t>
            </w:r>
          </w:p>
        </w:tc>
        <w:tc>
          <w:tcPr>
            <w:tcW w:w="260" w:type="dxa"/>
            <w:vAlign w:val="bottom"/>
            <w:tcBorders>
              <w:bottom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10.5</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Reliance by the Administrative Agent</w:t>
            </w:r>
          </w:p>
        </w:tc>
        <w:tc>
          <w:tcPr>
            <w:tcW w:w="66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115</w:t>
            </w:r>
          </w:p>
        </w:tc>
        <w:tc>
          <w:tcPr>
            <w:tcW w:w="260" w:type="dxa"/>
            <w:vAlign w:val="bottom"/>
            <w:tcBorders>
              <w:bottom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10.6</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Delegation of Duties</w:t>
            </w:r>
          </w:p>
        </w:tc>
        <w:tc>
          <w:tcPr>
            <w:tcW w:w="66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115</w:t>
            </w:r>
          </w:p>
        </w:tc>
        <w:tc>
          <w:tcPr>
            <w:tcW w:w="260" w:type="dxa"/>
            <w:vAlign w:val="bottom"/>
            <w:tcBorders>
              <w:bottom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0" w:type="dxa"/>
            <w:vAlign w:val="bottom"/>
            <w:gridSpan w:val="2"/>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10.7</w:t>
            </w:r>
          </w:p>
        </w:tc>
        <w:tc>
          <w:tcPr>
            <w:tcW w:w="8060" w:type="dxa"/>
            <w:vAlign w:val="bottom"/>
            <w:gridSpan w:val="5"/>
            <w:vMerge w:val="restart"/>
          </w:tcPr>
          <w:p>
            <w:pPr>
              <w:ind w:left="120"/>
              <w:spacing w:after="0" w:line="209" w:lineRule="exact"/>
              <w:rPr>
                <w:sz w:val="20"/>
                <w:szCs w:val="20"/>
                <w:color w:val="auto"/>
              </w:rPr>
            </w:pPr>
            <w:r>
              <w:rPr>
                <w:rFonts w:ascii="Times New Roman" w:cs="Times New Roman" w:eastAsia="Times New Roman" w:hAnsi="Times New Roman"/>
                <w:sz w:val="20"/>
                <w:szCs w:val="20"/>
                <w:color w:val="auto"/>
              </w:rPr>
              <w:t>Filing Proofs of Claim</w:t>
            </w:r>
          </w:p>
        </w:tc>
        <w:tc>
          <w:tcPr>
            <w:tcW w:w="660" w:type="dxa"/>
            <w:vAlign w:val="bottom"/>
            <w:gridSpan w:val="3"/>
            <w:vMerge w:val="restart"/>
          </w:tcPr>
          <w:p>
            <w:pPr>
              <w:jc w:val="right"/>
              <w:spacing w:after="0" w:line="209" w:lineRule="exact"/>
              <w:rPr>
                <w:sz w:val="20"/>
                <w:szCs w:val="20"/>
                <w:color w:val="auto"/>
              </w:rPr>
            </w:pPr>
            <w:r>
              <w:rPr>
                <w:rFonts w:ascii="Times New Roman" w:cs="Times New Roman" w:eastAsia="Times New Roman" w:hAnsi="Times New Roman"/>
                <w:sz w:val="20"/>
                <w:szCs w:val="20"/>
                <w:color w:val="FF0000"/>
                <w:strike w:val="1"/>
              </w:rPr>
              <w:t>115</w:t>
            </w:r>
          </w:p>
        </w:tc>
        <w:tc>
          <w:tcPr>
            <w:tcW w:w="260" w:type="dxa"/>
            <w:vAlign w:val="bottom"/>
            <w:tcBorders>
              <w:bottom w:val="single" w:sz="8" w:color="0000FF"/>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8060" w:type="dxa"/>
            <w:vAlign w:val="bottom"/>
            <w:gridSpan w:val="5"/>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260" w:type="dxa"/>
            <w:vAlign w:val="bottom"/>
            <w:tcBorders>
              <w:bottom w:val="single" w:sz="8" w:color="0000FF"/>
            </w:tcBorders>
            <w:gridSpan w:val="4"/>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9" w:right="9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80" w:type="dxa"/>
            <w:vAlign w:val="bottom"/>
          </w:tcPr>
          <w:p>
            <w:pPr>
              <w:spacing w:after="0"/>
              <w:rPr>
                <w:sz w:val="21"/>
                <w:szCs w:val="21"/>
                <w:color w:val="auto"/>
              </w:rPr>
            </w:pPr>
          </w:p>
        </w:tc>
        <w:tc>
          <w:tcPr>
            <w:tcW w:w="7960" w:type="dxa"/>
            <w:vAlign w:val="bottom"/>
          </w:tcPr>
          <w:p>
            <w:pPr>
              <w:spacing w:after="0"/>
              <w:rPr>
                <w:sz w:val="21"/>
                <w:szCs w:val="21"/>
                <w:color w:val="auto"/>
              </w:rPr>
            </w:pPr>
          </w:p>
        </w:tc>
        <w:tc>
          <w:tcPr>
            <w:tcW w:w="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412"/>
        </w:trPr>
        <w:tc>
          <w:tcPr>
            <w:tcW w:w="9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10.8</w:t>
            </w:r>
          </w:p>
        </w:tc>
        <w:tc>
          <w:tcPr>
            <w:tcW w:w="79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Resignation of the Administrative Agent</w:t>
            </w:r>
          </w:p>
        </w:tc>
        <w:tc>
          <w:tcPr>
            <w:tcW w:w="340" w:type="dxa"/>
            <w:vAlign w:val="bottom"/>
          </w:tcPr>
          <w:p>
            <w:pPr>
              <w:spacing w:after="0"/>
              <w:rPr>
                <w:sz w:val="24"/>
                <w:szCs w:val="24"/>
                <w:color w:val="auto"/>
              </w:rPr>
            </w:pP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FF0000"/>
                <w:strike w:val="1"/>
                <w:w w:val="99"/>
              </w:rPr>
              <w:t>116</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79"/>
              </w:rPr>
              <w:t>119</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10.9</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Resignation of Swing Line Lender or Issuing Lender</w:t>
            </w:r>
          </w:p>
        </w:tc>
        <w:tc>
          <w:tcPr>
            <w:tcW w:w="340" w:type="dxa"/>
            <w:vAlign w:val="bottom"/>
            <w:vMerge w:val="restart"/>
          </w:tcPr>
          <w:p>
            <w:pPr>
              <w:spacing w:after="0" w:line="20" w:lineRule="exact"/>
              <w:rPr>
                <w:sz w:val="1"/>
                <w:szCs w:val="1"/>
                <w:color w:val="auto"/>
              </w:rPr>
            </w:pPr>
          </w:p>
        </w:tc>
        <w:tc>
          <w:tcPr>
            <w:tcW w:w="320" w:type="dxa"/>
            <w:vAlign w:val="bottom"/>
            <w:gridSpan w:val="3"/>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9"/>
              </w:rPr>
              <w:t>117</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26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10.10</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Non-Reliance on the Administrative Agent and Other Lenders</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117</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6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84"/>
              </w:rPr>
              <w:t>120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10.11</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Enforcement</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118</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10.12</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No Other Duties, Etc</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118</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10.13</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Authorization to Release Collateral and Loan Parties</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118</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10.14</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Compliance with Flood Laws</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119</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10.15</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No Reliance on the Administrative Agent’s Customer Identification Program</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119</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10.16</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Affiliates as Secured Parties</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119</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10.17</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Certain ERISA Matters</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119</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10.18</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Rate Disclaimer</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120</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9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XI.   MISCELLANEOUS</w:t>
            </w:r>
          </w:p>
        </w:tc>
        <w:tc>
          <w:tcPr>
            <w:tcW w:w="620" w:type="dxa"/>
            <w:vAlign w:val="bottom"/>
            <w:gridSpan w:val="2"/>
          </w:tcPr>
          <w:p>
            <w:pPr>
              <w:jc w:val="center"/>
              <w:ind w:left="241"/>
              <w:spacing w:after="0"/>
              <w:rPr>
                <w:sz w:val="20"/>
                <w:szCs w:val="20"/>
                <w:color w:val="auto"/>
              </w:rPr>
            </w:pPr>
            <w:r>
              <w:rPr>
                <w:rFonts w:ascii="Times New Roman" w:cs="Times New Roman" w:eastAsia="Times New Roman" w:hAnsi="Times New Roman"/>
                <w:sz w:val="20"/>
                <w:szCs w:val="20"/>
                <w:color w:val="FF0000"/>
                <w:strike w:val="1"/>
                <w:w w:val="93"/>
              </w:rPr>
              <w:t>121</w:t>
            </w:r>
          </w:p>
        </w:tc>
        <w:tc>
          <w:tcPr>
            <w:tcW w:w="2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86"/>
              </w:rPr>
              <w:t>124</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Modifications, Amendments or Waivers</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121</w:t>
            </w: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11.2</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No Implied Waivers; Cumulative Remedies</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122</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11.3</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Expenses; Indemnity; Damage Waiver</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123</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11.4</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Notices; Effectiveness; Electronic Communication</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125</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11.5</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Severability</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126</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11.6</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Duration; Survival</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126</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11.7</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Successors and Assigns</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127</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11.8</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Confidentiality</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131</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11.9</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Counterparts; Integration; Effectiveness</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132</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28" w:lineRule="exact"/>
              <w:rPr>
                <w:sz w:val="20"/>
                <w:szCs w:val="20"/>
                <w:color w:val="auto"/>
              </w:rPr>
            </w:pPr>
            <w:r>
              <w:rPr>
                <w:rFonts w:ascii="Times New Roman" w:cs="Times New Roman" w:eastAsia="Times New Roman" w:hAnsi="Times New Roman"/>
                <w:sz w:val="20"/>
                <w:szCs w:val="20"/>
                <w:color w:val="auto"/>
              </w:rPr>
              <w:t>11.10</w:t>
            </w:r>
          </w:p>
        </w:tc>
        <w:tc>
          <w:tcPr>
            <w:tcW w:w="7960" w:type="dxa"/>
            <w:vAlign w:val="bottom"/>
            <w:vMerge w:val="restart"/>
          </w:tcPr>
          <w:p>
            <w:pPr>
              <w:ind w:left="20"/>
              <w:spacing w:after="0" w:line="228" w:lineRule="exact"/>
              <w:rPr>
                <w:sz w:val="20"/>
                <w:szCs w:val="20"/>
                <w:color w:val="auto"/>
              </w:rPr>
            </w:pPr>
            <w:r>
              <w:rPr>
                <w:rFonts w:ascii="Times New Roman" w:cs="Times New Roman" w:eastAsia="Times New Roman" w:hAnsi="Times New Roman"/>
                <w:sz w:val="20"/>
                <w:szCs w:val="20"/>
                <w:color w:val="auto"/>
              </w:rPr>
              <w:t>Choice of Law; Submission to Jurisdiction; Waiver of Venue; Service of Process; Waiver of Jury</w:t>
            </w: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980" w:type="dxa"/>
            <w:vAlign w:val="bottom"/>
            <w:vMerge w:val="continue"/>
          </w:tcPr>
          <w:p>
            <w:pPr>
              <w:spacing w:after="0"/>
              <w:rPr>
                <w:sz w:val="16"/>
                <w:szCs w:val="16"/>
                <w:color w:val="auto"/>
              </w:rPr>
            </w:pPr>
          </w:p>
        </w:tc>
        <w:tc>
          <w:tcPr>
            <w:tcW w:w="79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980" w:type="dxa"/>
            <w:vAlign w:val="bottom"/>
          </w:tcPr>
          <w:p>
            <w:pPr>
              <w:spacing w:after="0"/>
              <w:rPr>
                <w:sz w:val="18"/>
                <w:szCs w:val="18"/>
                <w:color w:val="auto"/>
              </w:rPr>
            </w:pPr>
          </w:p>
        </w:tc>
        <w:tc>
          <w:tcPr>
            <w:tcW w:w="7960" w:type="dxa"/>
            <w:vAlign w:val="bottom"/>
          </w:tcPr>
          <w:p>
            <w:pPr>
              <w:ind w:left="20"/>
              <w:spacing w:after="0" w:line="212" w:lineRule="exact"/>
              <w:rPr>
                <w:sz w:val="20"/>
                <w:szCs w:val="20"/>
                <w:color w:val="auto"/>
              </w:rPr>
            </w:pPr>
            <w:r>
              <w:rPr>
                <w:rFonts w:ascii="Times New Roman" w:cs="Times New Roman" w:eastAsia="Times New Roman" w:hAnsi="Times New Roman"/>
                <w:sz w:val="20"/>
                <w:szCs w:val="20"/>
                <w:color w:val="auto"/>
              </w:rPr>
              <w:t>Trial</w:t>
            </w:r>
          </w:p>
        </w:tc>
        <w:tc>
          <w:tcPr>
            <w:tcW w:w="620" w:type="dxa"/>
            <w:vAlign w:val="bottom"/>
            <w:gridSpan w:val="2"/>
          </w:tcPr>
          <w:p>
            <w:pPr>
              <w:jc w:val="center"/>
              <w:ind w:left="241"/>
              <w:spacing w:after="0" w:line="212" w:lineRule="exact"/>
              <w:rPr>
                <w:sz w:val="20"/>
                <w:szCs w:val="20"/>
                <w:color w:val="auto"/>
              </w:rPr>
            </w:pPr>
            <w:r>
              <w:rPr>
                <w:rFonts w:ascii="Times New Roman" w:cs="Times New Roman" w:eastAsia="Times New Roman" w:hAnsi="Times New Roman"/>
                <w:sz w:val="20"/>
                <w:szCs w:val="20"/>
                <w:color w:val="FF0000"/>
                <w:strike w:val="1"/>
                <w:w w:val="93"/>
              </w:rPr>
              <w:t>132</w:t>
            </w:r>
          </w:p>
        </w:tc>
        <w:tc>
          <w:tcPr>
            <w:tcW w:w="20" w:type="dxa"/>
            <w:vAlign w:val="bottom"/>
          </w:tcPr>
          <w:p>
            <w:pPr>
              <w:spacing w:after="0"/>
              <w:rPr>
                <w:sz w:val="18"/>
                <w:szCs w:val="18"/>
                <w:color w:val="auto"/>
              </w:rPr>
            </w:pPr>
          </w:p>
        </w:tc>
        <w:tc>
          <w:tcPr>
            <w:tcW w:w="340" w:type="dxa"/>
            <w:vAlign w:val="bottom"/>
            <w:gridSpan w:val="3"/>
          </w:tcPr>
          <w:p>
            <w:pPr>
              <w:jc w:val="right"/>
              <w:ind w:right="60"/>
              <w:spacing w:after="0" w:line="212" w:lineRule="exact"/>
              <w:rPr>
                <w:sz w:val="20"/>
                <w:szCs w:val="20"/>
                <w:color w:val="auto"/>
              </w:rPr>
            </w:pPr>
            <w:r>
              <w:rPr>
                <w:rFonts w:ascii="Times New Roman" w:cs="Times New Roman" w:eastAsia="Times New Roman" w:hAnsi="Times New Roman"/>
                <w:sz w:val="20"/>
                <w:szCs w:val="20"/>
                <w:color w:val="0000FF"/>
                <w:w w:val="86"/>
              </w:rPr>
              <w:t>135</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11.11</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USA Patriot Act Notice</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134</w:t>
            </w: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11.12</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Payments Set Aside</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134</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11.13</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Secured Bank Products and Secured Hedge Agreements</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134</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11.14</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Interest Rate Limitation</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135</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11.15</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FCC and PUC Compliance</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135</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11.16</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Keepwell</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135</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11.17</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No Advisory or Fiduciary Responsibility</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136</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11.18</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Recovery of Erroneous Payments</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136</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11.19</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Acknowledgment and Consent to Bail-In of Affected Financial Institutions</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137</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9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XII.  GUARANTY</w:t>
            </w:r>
          </w:p>
        </w:tc>
        <w:tc>
          <w:tcPr>
            <w:tcW w:w="620" w:type="dxa"/>
            <w:vAlign w:val="bottom"/>
            <w:gridSpan w:val="2"/>
          </w:tcPr>
          <w:p>
            <w:pPr>
              <w:jc w:val="center"/>
              <w:ind w:left="241"/>
              <w:spacing w:after="0"/>
              <w:rPr>
                <w:sz w:val="20"/>
                <w:szCs w:val="20"/>
                <w:color w:val="auto"/>
              </w:rPr>
            </w:pPr>
            <w:r>
              <w:rPr>
                <w:rFonts w:ascii="Times New Roman" w:cs="Times New Roman" w:eastAsia="Times New Roman" w:hAnsi="Times New Roman"/>
                <w:sz w:val="20"/>
                <w:szCs w:val="20"/>
                <w:color w:val="FF0000"/>
                <w:strike w:val="1"/>
                <w:w w:val="93"/>
              </w:rPr>
              <w:t>137</w:t>
            </w:r>
          </w:p>
        </w:tc>
        <w:tc>
          <w:tcPr>
            <w:tcW w:w="20" w:type="dxa"/>
            <w:vAlign w:val="bottom"/>
          </w:tcPr>
          <w:p>
            <w:pPr>
              <w:spacing w:after="0"/>
              <w:rPr>
                <w:sz w:val="24"/>
                <w:szCs w:val="24"/>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0000FF"/>
                <w:w w:val="86"/>
              </w:rPr>
              <w:t>140</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12.1</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Guaranty</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137</w:t>
            </w: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12.2</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Payment</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137</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12.3</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Absolute Rights and Obligations</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138</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12.4</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Maximum Liability</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140</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12.5</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Contribution Agreement</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141</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12.6</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Currency and Funds of Payment</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141</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12.7</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Subordination</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141</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12.8</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Enforcement</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142</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500"/>
              <w:spacing w:after="0" w:line="209" w:lineRule="exact"/>
              <w:rPr>
                <w:sz w:val="20"/>
                <w:szCs w:val="20"/>
                <w:color w:val="auto"/>
              </w:rPr>
            </w:pPr>
            <w:r>
              <w:rPr>
                <w:rFonts w:ascii="Times New Roman" w:cs="Times New Roman" w:eastAsia="Times New Roman" w:hAnsi="Times New Roman"/>
                <w:sz w:val="20"/>
                <w:szCs w:val="20"/>
                <w:color w:val="auto"/>
              </w:rPr>
              <w:t>12.9</w:t>
            </w:r>
          </w:p>
        </w:tc>
        <w:tc>
          <w:tcPr>
            <w:tcW w:w="7960" w:type="dxa"/>
            <w:vAlign w:val="bottom"/>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Set-Off and Waiver</w:t>
            </w:r>
          </w:p>
        </w:tc>
        <w:tc>
          <w:tcPr>
            <w:tcW w:w="620" w:type="dxa"/>
            <w:vAlign w:val="bottom"/>
            <w:gridSpan w:val="2"/>
            <w:vMerge w:val="restart"/>
          </w:tcPr>
          <w:p>
            <w:pPr>
              <w:jc w:val="center"/>
              <w:ind w:left="241"/>
              <w:spacing w:after="0" w:line="209" w:lineRule="exact"/>
              <w:rPr>
                <w:sz w:val="20"/>
                <w:szCs w:val="20"/>
                <w:color w:val="auto"/>
              </w:rPr>
            </w:pPr>
            <w:r>
              <w:rPr>
                <w:rFonts w:ascii="Times New Roman" w:cs="Times New Roman" w:eastAsia="Times New Roman" w:hAnsi="Times New Roman"/>
                <w:sz w:val="20"/>
                <w:szCs w:val="20"/>
                <w:color w:val="FF0000"/>
                <w:strike w:val="1"/>
                <w:w w:val="93"/>
              </w:rPr>
              <w:t>142</w:t>
            </w:r>
          </w:p>
        </w:tc>
        <w:tc>
          <w:tcPr>
            <w:tcW w:w="300" w:type="dxa"/>
            <w:vAlign w:val="bottom"/>
            <w:tcBorders>
              <w:bottom w:val="single" w:sz="8" w:color="0000FF"/>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980" w:type="dxa"/>
            <w:vAlign w:val="bottom"/>
            <w:vMerge w:val="continue"/>
          </w:tcPr>
          <w:p>
            <w:pPr>
              <w:spacing w:after="0"/>
              <w:rPr>
                <w:sz w:val="14"/>
                <w:szCs w:val="14"/>
                <w:color w:val="auto"/>
              </w:rPr>
            </w:pPr>
          </w:p>
        </w:tc>
        <w:tc>
          <w:tcPr>
            <w:tcW w:w="796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gridSpan w:val="2"/>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9" w:name="page100"/>
    <w:bookmarkEnd w:id="99"/>
    <w:tbl>
      <w:tblPr>
        <w:tblLayout w:type="fixed"/>
        <w:tblInd w:w="4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980" w:type="dxa"/>
            <w:vAlign w:val="bottom"/>
            <w:gridSpan w:val="2"/>
          </w:tcPr>
          <w:p>
            <w:pPr>
              <w:jc w:val="center"/>
              <w:ind w:right="298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(cont’d)</w:t>
            </w:r>
          </w:p>
        </w:tc>
        <w:tc>
          <w:tcPr>
            <w:tcW w:w="2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9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0"/>
                <w:szCs w:val="20"/>
                <w:color w:val="auto"/>
                <w:w w:val="97"/>
              </w:rPr>
              <w:t>Page</w:t>
            </w:r>
          </w:p>
        </w:tc>
        <w:tc>
          <w:tcPr>
            <w:tcW w:w="0" w:type="dxa"/>
            <w:vAlign w:val="bottom"/>
          </w:tcPr>
          <w:p>
            <w:pPr>
              <w:spacing w:after="0"/>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20"/>
                <w:szCs w:val="20"/>
                <w:color w:val="auto"/>
              </w:rPr>
              <w:t>12.10</w:t>
            </w:r>
          </w:p>
        </w:tc>
        <w:tc>
          <w:tcPr>
            <w:tcW w:w="79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Waiver of Notice; Subrogation</w:t>
            </w:r>
          </w:p>
        </w:tc>
        <w:tc>
          <w:tcPr>
            <w:tcW w:w="34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20"/>
                <w:szCs w:val="20"/>
                <w:color w:val="FF0000"/>
                <w:strike w:val="1"/>
                <w:w w:val="93"/>
              </w:rPr>
              <w:t>142</w:t>
            </w:r>
          </w:p>
        </w:tc>
        <w:tc>
          <w:tcPr>
            <w:tcW w:w="2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0000FF"/>
                <w:w w:val="86"/>
              </w:rPr>
              <w:t>145</w:t>
            </w:r>
          </w:p>
        </w:tc>
        <w:tc>
          <w:tcPr>
            <w:tcW w:w="0" w:type="dxa"/>
            <w:vAlign w:val="bottom"/>
          </w:tcPr>
          <w:p>
            <w:pPr>
              <w:spacing w:after="0"/>
              <w:rPr>
                <w:sz w:val="1"/>
                <w:szCs w:val="1"/>
                <w:color w:val="auto"/>
              </w:rPr>
            </w:pPr>
          </w:p>
        </w:tc>
      </w:tr>
      <w:tr>
        <w:trPr>
          <w:trHeight w:val="20"/>
        </w:trPr>
        <w:tc>
          <w:tcPr>
            <w:tcW w:w="8440" w:type="dxa"/>
            <w:vAlign w:val="bottom"/>
            <w:gridSpan w:val="4"/>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12.11 No Stay</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143</w:t>
            </w: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4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12.12</w:t>
            </w:r>
          </w:p>
        </w:tc>
        <w:tc>
          <w:tcPr>
            <w:tcW w:w="7960" w:type="dxa"/>
            <w:vAlign w:val="bottom"/>
            <w:gridSpan w:val="3"/>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Additional Guarantors</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143</w:t>
            </w:r>
          </w:p>
        </w:tc>
        <w:tc>
          <w:tcPr>
            <w:tcW w:w="3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 w:type="dxa"/>
            <w:vAlign w:val="bottom"/>
            <w:vMerge w:val="continue"/>
          </w:tcPr>
          <w:p>
            <w:pPr>
              <w:spacing w:after="0"/>
              <w:rPr>
                <w:sz w:val="14"/>
                <w:szCs w:val="14"/>
                <w:color w:val="auto"/>
              </w:rPr>
            </w:pPr>
          </w:p>
        </w:tc>
        <w:tc>
          <w:tcPr>
            <w:tcW w:w="7960" w:type="dxa"/>
            <w:vAlign w:val="bottom"/>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12.13</w:t>
            </w:r>
          </w:p>
        </w:tc>
        <w:tc>
          <w:tcPr>
            <w:tcW w:w="7960" w:type="dxa"/>
            <w:vAlign w:val="bottom"/>
            <w:gridSpan w:val="3"/>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Reliance</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144</w:t>
            </w:r>
          </w:p>
        </w:tc>
        <w:tc>
          <w:tcPr>
            <w:tcW w:w="3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 w:type="dxa"/>
            <w:vAlign w:val="bottom"/>
            <w:vMerge w:val="continue"/>
          </w:tcPr>
          <w:p>
            <w:pPr>
              <w:spacing w:after="0"/>
              <w:rPr>
                <w:sz w:val="14"/>
                <w:szCs w:val="14"/>
                <w:color w:val="auto"/>
              </w:rPr>
            </w:pPr>
          </w:p>
        </w:tc>
        <w:tc>
          <w:tcPr>
            <w:tcW w:w="7960" w:type="dxa"/>
            <w:vAlign w:val="bottom"/>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line="209" w:lineRule="exact"/>
              <w:rPr>
                <w:sz w:val="20"/>
                <w:szCs w:val="20"/>
                <w:color w:val="auto"/>
              </w:rPr>
            </w:pPr>
            <w:r>
              <w:rPr>
                <w:rFonts w:ascii="Times New Roman" w:cs="Times New Roman" w:eastAsia="Times New Roman" w:hAnsi="Times New Roman"/>
                <w:sz w:val="20"/>
                <w:szCs w:val="20"/>
                <w:color w:val="auto"/>
              </w:rPr>
              <w:t>12.14</w:t>
            </w:r>
          </w:p>
        </w:tc>
        <w:tc>
          <w:tcPr>
            <w:tcW w:w="7960" w:type="dxa"/>
            <w:vAlign w:val="bottom"/>
            <w:gridSpan w:val="3"/>
            <w:vMerge w:val="restart"/>
          </w:tcPr>
          <w:p>
            <w:pPr>
              <w:ind w:left="20"/>
              <w:spacing w:after="0" w:line="209" w:lineRule="exact"/>
              <w:rPr>
                <w:sz w:val="20"/>
                <w:szCs w:val="20"/>
                <w:color w:val="auto"/>
              </w:rPr>
            </w:pPr>
            <w:r>
              <w:rPr>
                <w:rFonts w:ascii="Times New Roman" w:cs="Times New Roman" w:eastAsia="Times New Roman" w:hAnsi="Times New Roman"/>
                <w:sz w:val="20"/>
                <w:szCs w:val="20"/>
                <w:color w:val="auto"/>
              </w:rPr>
              <w:t>Receipt of Credit Agreement, Other Loan Documents, Benefits</w:t>
            </w:r>
          </w:p>
        </w:tc>
        <w:tc>
          <w:tcPr>
            <w:tcW w:w="340" w:type="dxa"/>
            <w:vAlign w:val="bottom"/>
            <w:vMerge w:val="restart"/>
          </w:tcPr>
          <w:p>
            <w:pPr>
              <w:spacing w:after="0" w:line="20" w:lineRule="exact"/>
              <w:rPr>
                <w:sz w:val="1"/>
                <w:szCs w:val="1"/>
                <w:color w:val="auto"/>
              </w:rPr>
            </w:pPr>
          </w:p>
        </w:tc>
        <w:tc>
          <w:tcPr>
            <w:tcW w:w="280" w:type="dxa"/>
            <w:vAlign w:val="bottom"/>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FF0000"/>
                <w:strike w:val="1"/>
                <w:w w:val="93"/>
              </w:rPr>
              <w:t>144</w:t>
            </w:r>
          </w:p>
        </w:tc>
        <w:tc>
          <w:tcPr>
            <w:tcW w:w="300" w:type="dxa"/>
            <w:vAlign w:val="bottom"/>
            <w:tcBorders>
              <w:bottom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80" w:type="dxa"/>
            <w:vAlign w:val="bottom"/>
            <w:vMerge w:val="continue"/>
          </w:tcPr>
          <w:p>
            <w:pPr>
              <w:spacing w:after="0"/>
              <w:rPr>
                <w:sz w:val="14"/>
                <w:szCs w:val="14"/>
                <w:color w:val="auto"/>
              </w:rPr>
            </w:pPr>
          </w:p>
        </w:tc>
        <w:tc>
          <w:tcPr>
            <w:tcW w:w="7960" w:type="dxa"/>
            <w:vAlign w:val="bottom"/>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0000FF"/>
            </w:tcBorders>
          </w:tcPr>
          <w:p>
            <w:pPr>
              <w:jc w:val="right"/>
              <w:spacing w:after="0" w:line="170" w:lineRule="exact"/>
              <w:rPr>
                <w:sz w:val="20"/>
                <w:szCs w:val="20"/>
                <w:color w:val="auto"/>
              </w:rPr>
            </w:pPr>
            <w:r>
              <w:rPr>
                <w:rFonts w:ascii="Times New Roman" w:cs="Times New Roman" w:eastAsia="Times New Roman" w:hAnsi="Times New Roman"/>
                <w:sz w:val="19"/>
                <w:szCs w:val="19"/>
                <w:color w:val="0000FF"/>
                <w:w w:val="91"/>
              </w:rPr>
              <w:t>147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99" w:right="999"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SCHEDULES</w:t>
      </w:r>
    </w:p>
    <w:p>
      <w:pPr>
        <w:spacing w:after="0" w:line="23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1.1(B)</w:t>
        <w:tab/>
        <w:t>¾</w:t>
      </w:r>
    </w:p>
    <w:p>
      <w:pPr>
        <w:spacing w:after="0" w:line="2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1.1(P)</w:t>
        <w:tab/>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5.1</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5.6</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5.19</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6.18</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7.1(h)</w:t>
        <w:tab/>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7.1(i)</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7.5</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SCHEDULE 11.7</w:t>
      </w:r>
      <w:r>
        <w:rPr>
          <w:sz w:val="20"/>
          <w:szCs w:val="20"/>
          <w:color w:val="auto"/>
        </w:rPr>
        <w:tab/>
      </w:r>
      <w:r>
        <w:rPr>
          <w:rFonts w:ascii="Times New Roman" w:cs="Times New Roman" w:eastAsia="Times New Roman" w:hAnsi="Times New Roman"/>
          <w:sz w:val="20"/>
          <w:szCs w:val="20"/>
          <w:color w:val="auto"/>
        </w:rPr>
        <w:t>¾</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EXHIBITS</w:t>
      </w:r>
    </w:p>
    <w:p>
      <w:pPr>
        <w:spacing w:after="0" w:line="233"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20"/>
          <w:szCs w:val="20"/>
          <w:color w:val="auto"/>
        </w:rPr>
        <w:t>¾</w:t>
      </w:r>
    </w:p>
    <w:p>
      <w:pPr>
        <w:spacing w:after="0" w:line="2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B</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C</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D</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F-1</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F-2</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F-3</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G</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H</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I</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J</w:t>
      </w:r>
      <w:r>
        <w:rPr>
          <w:sz w:val="20"/>
          <w:szCs w:val="20"/>
          <w:color w:val="auto"/>
        </w:rPr>
        <w:tab/>
      </w:r>
      <w:r>
        <w:rPr>
          <w:rFonts w:ascii="Times New Roman" w:cs="Times New Roman" w:eastAsia="Times New Roman" w:hAnsi="Times New Roman"/>
          <w:sz w:val="20"/>
          <w:szCs w:val="20"/>
          <w:color w:val="auto"/>
        </w:rPr>
        <w:t>¾</w:t>
      </w:r>
    </w:p>
    <w:p>
      <w:pPr>
        <w:spacing w:after="0"/>
        <w:tabs>
          <w:tab w:leader="none" w:pos="1820" w:val="left"/>
        </w:tabs>
        <w:rPr>
          <w:sz w:val="20"/>
          <w:szCs w:val="20"/>
          <w:color w:val="auto"/>
        </w:rPr>
      </w:pPr>
      <w:r>
        <w:rPr>
          <w:rFonts w:ascii="Times New Roman" w:cs="Times New Roman" w:eastAsia="Times New Roman" w:hAnsi="Times New Roman"/>
          <w:sz w:val="20"/>
          <w:szCs w:val="20"/>
          <w:color w:val="auto"/>
        </w:rPr>
        <w:t>EXHIBIT K</w:t>
      </w:r>
      <w:r>
        <w:rPr>
          <w:sz w:val="20"/>
          <w:szCs w:val="20"/>
          <w:color w:val="auto"/>
        </w:rPr>
        <w:tab/>
      </w:r>
      <w:r>
        <w:rPr>
          <w:rFonts w:ascii="Times New Roman" w:cs="Times New Roman" w:eastAsia="Times New Roman" w:hAnsi="Times New Roman"/>
          <w:sz w:val="20"/>
          <w:szCs w:val="20"/>
          <w:color w:val="auto"/>
        </w:rPr>
        <w:t>¾</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Times New Roman" w:cs="Times New Roman" w:eastAsia="Times New Roman" w:hAnsi="Times New Roman"/>
          <w:sz w:val="20"/>
          <w:szCs w:val="20"/>
          <w:b w:val="1"/>
          <w:bCs w:val="1"/>
          <w:color w:val="auto"/>
        </w:rPr>
        <w:t>LIST OF SCHEDULES AND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339"/>
        <w:spacing w:after="0" w:line="250" w:lineRule="auto"/>
        <w:rPr>
          <w:sz w:val="20"/>
          <w:szCs w:val="20"/>
          <w:color w:val="auto"/>
        </w:rPr>
      </w:pPr>
      <w:r>
        <w:rPr>
          <w:rFonts w:ascii="Times New Roman" w:cs="Times New Roman" w:eastAsia="Times New Roman" w:hAnsi="Times New Roman"/>
          <w:sz w:val="20"/>
          <w:szCs w:val="20"/>
          <w:color w:val="auto"/>
        </w:rPr>
        <w:t>COMMITMENTS OF LENDERS AND ADDRESSES FOR NOTICES EXISTING LIENS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QUALIFICATIONS TO DO BUSINESS AND JURISDICTION OF ORGANIZATION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SUBSIDIARIES</w:t>
      </w:r>
    </w:p>
    <w:p>
      <w:pPr>
        <w:spacing w:after="0"/>
        <w:rPr>
          <w:sz w:val="20"/>
          <w:szCs w:val="20"/>
          <w:color w:val="auto"/>
        </w:rPr>
      </w:pPr>
      <w:r>
        <w:rPr>
          <w:rFonts w:ascii="Times New Roman" w:cs="Times New Roman" w:eastAsia="Times New Roman" w:hAnsi="Times New Roman"/>
          <w:sz w:val="20"/>
          <w:szCs w:val="20"/>
          <w:color w:val="auto"/>
        </w:rPr>
        <w:t>LICENSES</w:t>
      </w:r>
    </w:p>
    <w:p>
      <w:pPr>
        <w:spacing w:after="0"/>
        <w:rPr>
          <w:sz w:val="20"/>
          <w:szCs w:val="20"/>
          <w:color w:val="auto"/>
        </w:rPr>
      </w:pPr>
      <w:r>
        <w:rPr>
          <w:rFonts w:ascii="Times New Roman" w:cs="Times New Roman" w:eastAsia="Times New Roman" w:hAnsi="Times New Roman"/>
          <w:sz w:val="20"/>
          <w:szCs w:val="20"/>
          <w:color w:val="auto"/>
        </w:rPr>
        <w:t>POST-CLOSING OBLIGATIONS</w:t>
      </w:r>
    </w:p>
    <w:p>
      <w:pPr>
        <w:spacing w:after="0"/>
        <w:rPr>
          <w:sz w:val="20"/>
          <w:szCs w:val="20"/>
          <w:color w:val="auto"/>
        </w:rPr>
      </w:pPr>
      <w:r>
        <w:rPr>
          <w:rFonts w:ascii="Times New Roman" w:cs="Times New Roman" w:eastAsia="Times New Roman" w:hAnsi="Times New Roman"/>
          <w:sz w:val="20"/>
          <w:szCs w:val="20"/>
          <w:color w:val="auto"/>
        </w:rPr>
        <w:t>EXISTING INDEBTEDNESS</w:t>
      </w:r>
    </w:p>
    <w:p>
      <w:pPr>
        <w:spacing w:after="0"/>
        <w:rPr>
          <w:sz w:val="20"/>
          <w:szCs w:val="20"/>
          <w:color w:val="auto"/>
        </w:rPr>
      </w:pPr>
      <w:r>
        <w:rPr>
          <w:rFonts w:ascii="Times New Roman" w:cs="Times New Roman" w:eastAsia="Times New Roman" w:hAnsi="Times New Roman"/>
          <w:sz w:val="20"/>
          <w:szCs w:val="20"/>
          <w:color w:val="auto"/>
        </w:rPr>
        <w:t>EXISTING PURCHASE MONEY INDEBTEDNESS</w:t>
      </w:r>
    </w:p>
    <w:p>
      <w:pPr>
        <w:spacing w:after="0"/>
        <w:rPr>
          <w:sz w:val="20"/>
          <w:szCs w:val="20"/>
          <w:color w:val="auto"/>
        </w:rPr>
      </w:pPr>
      <w:r>
        <w:rPr>
          <w:rFonts w:ascii="Times New Roman" w:cs="Times New Roman" w:eastAsia="Times New Roman" w:hAnsi="Times New Roman"/>
          <w:sz w:val="20"/>
          <w:szCs w:val="20"/>
          <w:color w:val="auto"/>
        </w:rPr>
        <w:t>INVESTMENTS</w:t>
      </w:r>
    </w:p>
    <w:p>
      <w:pPr>
        <w:spacing w:after="0"/>
        <w:rPr>
          <w:sz w:val="20"/>
          <w:szCs w:val="20"/>
          <w:color w:val="auto"/>
        </w:rPr>
      </w:pPr>
      <w:r>
        <w:rPr>
          <w:rFonts w:ascii="Times New Roman" w:cs="Times New Roman" w:eastAsia="Times New Roman" w:hAnsi="Times New Roman"/>
          <w:sz w:val="20"/>
          <w:szCs w:val="20"/>
          <w:color w:val="auto"/>
        </w:rPr>
        <w:t>VOTING PARTICIPANTS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ASSIGNMENT AND ASSUMPTION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COMPLIANCE CERTIFICATE</w:t>
      </w:r>
    </w:p>
    <w:p>
      <w:pPr>
        <w:spacing w:after="0"/>
        <w:rPr>
          <w:sz w:val="20"/>
          <w:szCs w:val="20"/>
          <w:color w:val="auto"/>
        </w:rPr>
      </w:pPr>
      <w:r>
        <w:rPr>
          <w:rFonts w:ascii="Times New Roman" w:cs="Times New Roman" w:eastAsia="Times New Roman" w:hAnsi="Times New Roman"/>
          <w:sz w:val="20"/>
          <w:szCs w:val="20"/>
          <w:color w:val="auto"/>
        </w:rPr>
        <w:t>JOINDER AGREEMENT</w:t>
      </w:r>
    </w:p>
    <w:p>
      <w:pPr>
        <w:spacing w:after="0"/>
        <w:rPr>
          <w:sz w:val="20"/>
          <w:szCs w:val="20"/>
          <w:color w:val="auto"/>
        </w:rPr>
      </w:pPr>
      <w:r>
        <w:rPr>
          <w:rFonts w:ascii="Times New Roman" w:cs="Times New Roman" w:eastAsia="Times New Roman" w:hAnsi="Times New Roman"/>
          <w:sz w:val="20"/>
          <w:szCs w:val="20"/>
          <w:color w:val="auto"/>
        </w:rPr>
        <w:t>LOAN REQUEST</w:t>
      </w:r>
    </w:p>
    <w:p>
      <w:pPr>
        <w:spacing w:after="0"/>
        <w:rPr>
          <w:sz w:val="20"/>
          <w:szCs w:val="20"/>
          <w:color w:val="auto"/>
        </w:rPr>
      </w:pPr>
      <w:r>
        <w:rPr>
          <w:rFonts w:ascii="Times New Roman" w:cs="Times New Roman" w:eastAsia="Times New Roman" w:hAnsi="Times New Roman"/>
          <w:sz w:val="20"/>
          <w:szCs w:val="20"/>
          <w:color w:val="auto"/>
        </w:rPr>
        <w:t>[RESERVED]</w:t>
      </w:r>
    </w:p>
    <w:p>
      <w:pPr>
        <w:spacing w:after="0"/>
        <w:rPr>
          <w:sz w:val="20"/>
          <w:szCs w:val="20"/>
          <w:color w:val="auto"/>
        </w:rPr>
      </w:pPr>
      <w:r>
        <w:rPr>
          <w:rFonts w:ascii="Times New Roman" w:cs="Times New Roman" w:eastAsia="Times New Roman" w:hAnsi="Times New Roman"/>
          <w:sz w:val="20"/>
          <w:szCs w:val="20"/>
          <w:color w:val="auto"/>
        </w:rPr>
        <w:t>REVOLVING NOTE</w:t>
      </w:r>
    </w:p>
    <w:p>
      <w:pPr>
        <w:spacing w:after="0"/>
        <w:rPr>
          <w:sz w:val="20"/>
          <w:szCs w:val="20"/>
          <w:color w:val="auto"/>
        </w:rPr>
      </w:pPr>
      <w:r>
        <w:rPr>
          <w:rFonts w:ascii="Times New Roman" w:cs="Times New Roman" w:eastAsia="Times New Roman" w:hAnsi="Times New Roman"/>
          <w:sz w:val="20"/>
          <w:szCs w:val="20"/>
          <w:color w:val="auto"/>
        </w:rPr>
        <w:t>SWING LINE NOTE</w:t>
      </w:r>
    </w:p>
    <w:p>
      <w:pPr>
        <w:spacing w:after="0"/>
        <w:rPr>
          <w:sz w:val="20"/>
          <w:szCs w:val="20"/>
          <w:color w:val="auto"/>
        </w:rPr>
      </w:pPr>
      <w:r>
        <w:rPr>
          <w:rFonts w:ascii="Times New Roman" w:cs="Times New Roman" w:eastAsia="Times New Roman" w:hAnsi="Times New Roman"/>
          <w:sz w:val="20"/>
          <w:szCs w:val="20"/>
          <w:color w:val="auto"/>
        </w:rPr>
        <w:t>TERM LOAN NOTE</w:t>
      </w:r>
    </w:p>
    <w:p>
      <w:pPr>
        <w:spacing w:after="0"/>
        <w:rPr>
          <w:sz w:val="20"/>
          <w:szCs w:val="20"/>
          <w:color w:val="auto"/>
        </w:rPr>
      </w:pPr>
      <w:r>
        <w:rPr>
          <w:rFonts w:ascii="Times New Roman" w:cs="Times New Roman" w:eastAsia="Times New Roman" w:hAnsi="Times New Roman"/>
          <w:sz w:val="20"/>
          <w:szCs w:val="20"/>
          <w:color w:val="auto"/>
        </w:rPr>
        <w:t>SOLVENCY CERTIFICATE</w:t>
      </w:r>
    </w:p>
    <w:p>
      <w:pPr>
        <w:ind w:right="2979"/>
        <w:spacing w:after="0" w:line="258" w:lineRule="auto"/>
        <w:rPr>
          <w:sz w:val="20"/>
          <w:szCs w:val="20"/>
          <w:color w:val="auto"/>
        </w:rPr>
      </w:pPr>
      <w:r>
        <w:rPr>
          <w:rFonts w:ascii="Times New Roman" w:cs="Times New Roman" w:eastAsia="Times New Roman" w:hAnsi="Times New Roman"/>
          <w:sz w:val="19"/>
          <w:szCs w:val="19"/>
          <w:color w:val="auto"/>
        </w:rPr>
        <w:t>TAX COMPLIANCE CERTIFICATES CONVERSION OR CONTINUATION NOTICE PERMITTED ACQUISITION QUESTIONNAIRE PERMITTED ACQUISITION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-1530350</wp:posOffset>
            </wp:positionH>
            <wp:positionV relativeFrom="paragraph">
              <wp:posOffset>356870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2">
            <w:col w:w="2000" w:space="420"/>
            <w:col w:w="7059"/>
          </w:cols>
          <w:pgMar w:left="980" w:top="114"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THIS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dated as of July 13, 2023 and is made by and among ATN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INTERNATIONAL, INC., a Delaware corporation, as BORROWER (as hereinafter defined), each of the GUARANTORS (as hereinafter defined) from time to time party hereto, the LENDERS (as hereinafter defined) from time to time party hereto, and COBANK, ACB, in its capacity as Administrative Agent for the Secured Parties, Bookrunner, Lead Arranger, Swing Line Lender, an Issuing Lender and a Lender (each as hereinafter defined), FIFTH THIRD BANK, NATIONAL ASSOCIATION, as a Joint Lead Arranger and a Lender, MUFG BANK, LTD., as a Joint Lead Arranger and a Lender.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Lenders provide to the Borrower (a) commitments to fund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revolving credit facility in an aggregate principal amount at any time outstanding not to exceed $170,000,000 as such aggregate commitment amount may be increased or reduced from time to time in accordance herewith and (b) a term loan facility in an aggregate principal amount not to exceed $130,000,000 as such aggregate principal amount may be increased from time to time in accordance herewith, all as more particularly set forth in, and subject to the terms and conditions of, this Agreement. In consideration of their mutual covenants and agreements hereinafter set forth and intending to be legally bound hereby, the parties hereto covenant and agree as follows: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  CERTAIN DEFINITIONS</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addition to words and terms defined elsewhere in this Agreement, the following words and terms shall have the following meanings, respectively, unless the context hereof clearly requires otherwise:</w:t>
      </w:r>
    </w:p>
    <w:p>
      <w:pPr>
        <w:spacing w:after="0" w:line="4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Acquired Business</w:t>
      </w:r>
      <w:r>
        <w:rPr>
          <w:rFonts w:ascii="Times New Roman" w:cs="Times New Roman" w:eastAsia="Times New Roman" w:hAnsi="Times New Roman"/>
          <w:sz w:val="20"/>
          <w:szCs w:val="20"/>
          <w:color w:val="auto"/>
        </w:rPr>
        <w:t>” means any Person or all or substantially all of the assets of, or any line of business or division or business unit of, any other Person acquired in an Acquisition.</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means any acquisition, in a single transaction or in a series of related transactions, of all or any substantial portion of the assets of, or any line of business, division or business unit of, another Person, or at least a majority of the equity interests of another Person, in each case whether involving a merger or consolidation with such other Person and whether for cash, property, services, assumption of Indebtedness, securities or otherwise.</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 Agreement</w:t>
      </w:r>
      <w:r>
        <w:rPr>
          <w:rFonts w:ascii="Times New Roman" w:cs="Times New Roman" w:eastAsia="Times New Roman" w:hAnsi="Times New Roman"/>
          <w:sz w:val="20"/>
          <w:szCs w:val="20"/>
          <w:color w:val="auto"/>
        </w:rPr>
        <w:t>” means each stock purchase agreement, merger agreement, asset purchase agreement, or similar document executed and delivered in connection with an Acquisition.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Incremental Facility</w:t>
      </w:r>
      <w:r>
        <w:rPr>
          <w:rFonts w:ascii="Times New Roman" w:cs="Times New Roman" w:eastAsia="Times New Roman" w:hAnsi="Times New Roman"/>
          <w:sz w:val="20"/>
          <w:szCs w:val="20"/>
          <w:color w:val="auto"/>
        </w:rPr>
        <w:t>” means any Incremental Revolving Facility or any Incremental Term Loan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Incremental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Term SOFR Rate</w:t>
      </w:r>
      <w:r>
        <w:rPr>
          <w:rFonts w:ascii="Times New Roman" w:cs="Times New Roman" w:eastAsia="Times New Roman" w:hAnsi="Times New Roman"/>
          <w:sz w:val="20"/>
          <w:szCs w:val="20"/>
          <w:color w:val="auto"/>
        </w:rPr>
        <w:t xml:space="preserve">” means, for purposes of any calculation, the rate per annum equal to (a) the Term SOFR Rate for such calculation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Term SOFR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02" w:name="page103"/>
    <w:bookmarkEnd w:id="102"/>
    <w:p>
      <w:pPr>
        <w:jc w:val="both"/>
        <w:spacing w:after="0" w:line="268" w:lineRule="auto"/>
        <w:rPr>
          <w:sz w:val="20"/>
          <w:szCs w:val="20"/>
          <w:color w:val="auto"/>
        </w:rPr>
      </w:pPr>
      <w:r>
        <w:rPr>
          <w:rFonts w:ascii="Times New Roman" w:cs="Times New Roman" w:eastAsia="Times New Roman" w:hAnsi="Times New Roman"/>
          <w:sz w:val="20"/>
          <w:szCs w:val="20"/>
          <w:color w:val="auto"/>
        </w:rPr>
        <w:t>Adjusted Term SOFR Rate as so determined shall ever be less than the Floor, then the Adjusted Term SOFR Rate shall be deemed to be the Floor.</w:t>
      </w:r>
    </w:p>
    <w:p>
      <w:pPr>
        <w:spacing w:after="0" w:line="15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means CoBank, in its capacity as administrative agent and collateral agent under the Loan Documents.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specified Person, another Person that directly, or indirectly through one or more intermediaries, Controls, is Controlled by or is under common Control with the Person specified.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11.4(d)(ii)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Alternate Base Rate</w:t>
      </w:r>
      <w:r>
        <w:rPr>
          <w:rFonts w:ascii="Times New Roman" w:cs="Times New Roman" w:eastAsia="Times New Roman" w:hAnsi="Times New Roman"/>
          <w:sz w:val="20"/>
          <w:szCs w:val="20"/>
          <w:color w:val="auto"/>
        </w:rPr>
        <w:t xml:space="preserve">” means, for any day, a rate per annum equal to the highest of (a) the Prime Rate, (b) the Federal Funds Effective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one half of one percent (0.50%) per annum, and (c) the Adjusted Term SOFR Rate for an Interest Period of one month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one percent (1.00%)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Alternate Base Rate be less than one percent (1.00%) per annum. Any change in the Alternate Base Rate due to a change in the Prime Rate, Federal Funds Effective Rate or Adjusted Term SOFR Rate shall be effective from and including the effective date of such change in the Prime Rate, Federal Funds Effective Rate or Adjusted Term SOFR Rate, respectively, and without necessity of notice being provided to the Borrower or any other Person.</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any Laws of any Governmental Authority concerning or relating to bribery or corruption.</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Laws</w:t>
      </w:r>
      <w:r>
        <w:rPr>
          <w:rFonts w:ascii="Times New Roman" w:cs="Times New Roman" w:eastAsia="Times New Roman" w:hAnsi="Times New Roman"/>
          <w:sz w:val="20"/>
          <w:szCs w:val="20"/>
          <w:color w:val="auto"/>
        </w:rPr>
        <w:t>” means any Laws of any Governmental Authority concerning or relating to financing terrorism, “know your customer” or money laundering.</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Letter of Credit Fee Rate</w:t>
      </w:r>
      <w:r>
        <w:rPr>
          <w:rFonts w:ascii="Times New Roman" w:cs="Times New Roman" w:eastAsia="Times New Roman" w:hAnsi="Times New Roman"/>
          <w:sz w:val="20"/>
          <w:szCs w:val="20"/>
          <w:color w:val="auto"/>
        </w:rPr>
        <w:t>” means the percentage rate per annum based on the Total Net Leverage Ratio then in effect according to the Pricing Grid below the heading “Letter of Credit Fee Rate.”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Margin</w:t>
      </w:r>
      <w:r>
        <w:rPr>
          <w:rFonts w:ascii="Times New Roman" w:cs="Times New Roman" w:eastAsia="Times New Roman" w:hAnsi="Times New Roman"/>
          <w:sz w:val="20"/>
          <w:szCs w:val="20"/>
          <w:color w:val="auto"/>
        </w:rPr>
        <w:t>” means, as applicable:</w:t>
      </w:r>
    </w:p>
    <w:p>
      <w:pPr>
        <w:spacing w:after="0" w:line="220" w:lineRule="exact"/>
        <w:rPr>
          <w:sz w:val="20"/>
          <w:szCs w:val="20"/>
          <w:color w:val="auto"/>
        </w:rPr>
      </w:pPr>
    </w:p>
    <w:p>
      <w:pPr>
        <w:jc w:val="both"/>
        <w:ind w:firstLine="1304"/>
        <w:spacing w:after="0" w:line="254" w:lineRule="auto"/>
        <w:tabs>
          <w:tab w:leader="none" w:pos="19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spread to be added to the Alternate Base Rate applicable to Revolving A-1 Loans which are Base Rate Loans based on the Total Net Leverage Ratio then in effect according to the Pricing Grid below the heading “Applicable Margin for Base Rate Loans (Revolving Loans)”,</w:t>
      </w:r>
    </w:p>
    <w:p>
      <w:pPr>
        <w:spacing w:after="0" w:line="174" w:lineRule="exact"/>
        <w:rPr>
          <w:rFonts w:ascii="Times New Roman" w:cs="Times New Roman" w:eastAsia="Times New Roman" w:hAnsi="Times New Roman"/>
          <w:sz w:val="20"/>
          <w:szCs w:val="20"/>
          <w:color w:val="auto"/>
        </w:rPr>
      </w:pPr>
    </w:p>
    <w:p>
      <w:pPr>
        <w:jc w:val="both"/>
        <w:ind w:right="20" w:firstLine="1304"/>
        <w:spacing w:after="0" w:line="254" w:lineRule="auto"/>
        <w:tabs>
          <w:tab w:leader="none" w:pos="19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spread to be added to the Alternate Base Rate applicable to Term A-1 Loans which are Base Rate Loans based on the Total Net Leverage Ratio then in effect according to the Pricing Grid below the heading “Applicable Margin for Base Rate Loans (Term Loan)”,</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spread to be added to the Adjusted Term SOFR Rate applicable to Revolving A-1 Loans which are Term SOFR Rate Loans based on the Total Net Leverage Ratio then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color w:val="auto"/>
        </w:rPr>
        <w:t>effect according to the Pricing Grid below the heading “Applicable Margin for Term SOFR Loans (Revolving Loans)”, or</w:t>
      </w:r>
    </w:p>
    <w:p>
      <w:pPr>
        <w:spacing w:after="0" w:line="215" w:lineRule="exact"/>
        <w:rPr>
          <w:sz w:val="20"/>
          <w:szCs w:val="20"/>
          <w:color w:val="auto"/>
        </w:rPr>
      </w:pPr>
    </w:p>
    <w:p>
      <w:pPr>
        <w:jc w:val="both"/>
        <w:ind w:firstLine="1304"/>
        <w:spacing w:after="0" w:line="254" w:lineRule="auto"/>
        <w:tabs>
          <w:tab w:leader="none" w:pos="194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spread to be added to the Adjusted Term SOFR Rate applicable to Term A-1 Loans which are Term SOFR Rate Loans based on the Total Net Leverage Ratio then in effect according to the Pricing Grid below the heading “Applicable Margin for Term SOFR Loans (Term Loan)”.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foregoing, the Applicable Margin for any Incremental Loan shall be the interest rate margin per annum governing such Additional Incremental Facility as set forth in the related Incremental Amendment, subject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hereof.</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Unused Commitment Fee Rate</w:t>
      </w:r>
      <w:r>
        <w:rPr>
          <w:rFonts w:ascii="Times New Roman" w:cs="Times New Roman" w:eastAsia="Times New Roman" w:hAnsi="Times New Roman"/>
          <w:sz w:val="20"/>
          <w:szCs w:val="20"/>
          <w:color w:val="auto"/>
        </w:rPr>
        <w:t>” means (a) the Applicable Unused Revolving A-1 Commitment Fee Rate and (b) any applicable unused commitment fee rate of any Incremental Facility as set forth in such Incremental Facility’s Incremental Amendment as applied to the relevant Tranche and/or Class of Loans subject to such Incremental Amendment.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Unused Revolving A-1 Commitment Fee Rate</w:t>
      </w:r>
      <w:r>
        <w:rPr>
          <w:rFonts w:ascii="Times New Roman" w:cs="Times New Roman" w:eastAsia="Times New Roman" w:hAnsi="Times New Roman"/>
          <w:sz w:val="20"/>
          <w:szCs w:val="20"/>
          <w:color w:val="auto"/>
        </w:rPr>
        <w:t>” means the percentage rate per annum based on the Total Net Leverage Ratio then in effect according to the Pricing Grid below the heading “Applicable Unused Revolving Commitment Fee Rate.”</w:t>
      </w:r>
    </w:p>
    <w:p>
      <w:pPr>
        <w:spacing w:after="0" w:line="16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Arranger</w:t>
      </w:r>
      <w:r>
        <w:rPr>
          <w:rFonts w:ascii="Times New Roman" w:cs="Times New Roman" w:eastAsia="Times New Roman" w:hAnsi="Times New Roman"/>
          <w:sz w:val="20"/>
          <w:szCs w:val="20"/>
          <w:color w:val="auto"/>
        </w:rPr>
        <w:t>” means, collectively, CoBank, in its capacity as joint lead arranger and bookrunner, Fifth Third Bank, National Association, as joint lead arranger and MUFG Bank, Ltd., as joint lead arranger.</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permitted under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6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Authorized Officer</w:t>
      </w:r>
      <w:r>
        <w:rPr>
          <w:rFonts w:ascii="Times New Roman" w:cs="Times New Roman" w:eastAsia="Times New Roman" w:hAnsi="Times New Roman"/>
          <w:sz w:val="20"/>
          <w:szCs w:val="20"/>
          <w:color w:val="auto"/>
        </w:rPr>
        <w:t>” means, with respect to any Loan Party, the Chief Executive Officer, President, Chief Financial Officer, Treasurer, Assistant Treasurer, Corporate Treasurer, or Corporate Controller (or in the case of a Loan Party that is a limited liability company without officers, a manager or member authorized under such Loan Party’s Organizational Documents) of such Loan Party or such other individuals, designated by written notice to the Administrative Agent from the Borrower, authorized to execute notices, reports and other documents on behalf of the Loan Parties required hereunder. The Borrower may amend such list of individuals from time to time by giving written notice of such amendment to the Administrative Agent.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Revolving A-1 Commitment</w:t>
      </w:r>
      <w:r>
        <w:rPr>
          <w:rFonts w:ascii="Times New Roman" w:cs="Times New Roman" w:eastAsia="Times New Roman" w:hAnsi="Times New Roman"/>
          <w:sz w:val="20"/>
          <w:szCs w:val="20"/>
          <w:color w:val="auto"/>
        </w:rPr>
        <w:t xml:space="preserve">” means, with respect to any Revolving A-1 Loan Lender, an amount equal to such Lender’s Revolving A-1 Commitment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outstanding principal amount of its Revolving A-1 Loans,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such Lender’s Pro Rata Share of the aggregate outstanding amount of Swing Line Loans, if any,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such Lender’s Pro Rata Share of Letter of Credit Obligations, if any.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means, as of any date of determination and with respect to the applicable then-current Benchmark, as applicable, (a) if the applicable then-current Benchmark is a term rate, any tenor for such Benchmark that is or may be used for determining the length of an Interest Period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4" w:name="page105"/>
    <w:bookmarkEnd w:id="104"/>
    <w:p>
      <w:pPr>
        <w:jc w:val="both"/>
        <w:spacing w:after="0" w:line="268" w:lineRule="auto"/>
        <w:rPr>
          <w:sz w:val="20"/>
          <w:szCs w:val="20"/>
          <w:color w:val="auto"/>
        </w:rPr>
      </w:pPr>
      <w:r>
        <w:rPr>
          <w:rFonts w:ascii="Times New Roman" w:cs="Times New Roman" w:eastAsia="Times New Roman" w:hAnsi="Times New Roman"/>
          <w:sz w:val="20"/>
          <w:szCs w:val="20"/>
          <w:color w:val="auto"/>
        </w:rPr>
        <w:t>otherwise, any payment period for interest calculated with reference to such Benchmark, as applicable, pursuant to this Agreement as of such date.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Avoidance Provisions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12.4(a)(i)(C)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title 11 of the United States Code.</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Loan</w:t>
      </w:r>
      <w:r>
        <w:rPr>
          <w:rFonts w:ascii="Times New Roman" w:cs="Times New Roman" w:eastAsia="Times New Roman" w:hAnsi="Times New Roman"/>
          <w:sz w:val="20"/>
          <w:szCs w:val="20"/>
          <w:color w:val="auto"/>
        </w:rPr>
        <w:t>” means a Loan bearing interest calculated in accordance with the Base Rate Option. A Base Rate Loan is a Loan not subject to an Interest Period.</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Option</w:t>
      </w:r>
      <w:r>
        <w:rPr>
          <w:rFonts w:ascii="Times New Roman" w:cs="Times New Roman" w:eastAsia="Times New Roman" w:hAnsi="Times New Roman"/>
          <w:sz w:val="20"/>
          <w:szCs w:val="20"/>
          <w:color w:val="auto"/>
        </w:rPr>
        <w:t xml:space="preserve">” means the option of the Borrower to have Loans bear interest at the rate and under the terms set forth in </w:t>
      </w:r>
      <w:r>
        <w:rPr>
          <w:rFonts w:ascii="Times New Roman" w:cs="Times New Roman" w:eastAsia="Times New Roman" w:hAnsi="Times New Roman"/>
          <w:sz w:val="20"/>
          <w:szCs w:val="20"/>
          <w:u w:val="single" w:color="auto"/>
          <w:color w:val="auto"/>
        </w:rPr>
        <w:t>Section 2.6(a)(i)</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initially, the Term SOFR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Rate or any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3.7(a)</w:t>
      </w:r>
      <w:r>
        <w:rPr>
          <w:rFonts w:ascii="Times New Roman" w:cs="Times New Roman" w:eastAsia="Times New Roman" w:hAnsi="Times New Roman"/>
          <w:sz w:val="20"/>
          <w:szCs w:val="20"/>
          <w:color w:val="auto"/>
        </w:rPr>
        <w:t>. Any reference to a “Benchmark” shall include, as applicable, the published component used in the calculation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means, for any Available Tenor:</w:t>
      </w:r>
    </w:p>
    <w:p>
      <w:pPr>
        <w:spacing w:after="0" w:line="220" w:lineRule="exact"/>
        <w:rPr>
          <w:sz w:val="20"/>
          <w:szCs w:val="20"/>
          <w:color w:val="auto"/>
        </w:rPr>
      </w:pPr>
    </w:p>
    <w:p>
      <w:pPr>
        <w:ind w:left="1960" w:hanging="656"/>
        <w:spacing w:after="0"/>
        <w:tabs>
          <w:tab w:leader="none" w:pos="196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Adjusted Term SOFR Rate, the first alternative set forth below that can be determined by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Administrative Agent:</w:t>
      </w:r>
    </w:p>
    <w:p>
      <w:pPr>
        <w:spacing w:after="0" w:line="193" w:lineRule="exact"/>
        <w:rPr>
          <w:rFonts w:ascii="Times New Roman" w:cs="Times New Roman" w:eastAsia="Times New Roman" w:hAnsi="Times New Roman"/>
          <w:sz w:val="19"/>
          <w:szCs w:val="19"/>
          <w:color w:val="auto"/>
        </w:rPr>
      </w:pPr>
    </w:p>
    <w:p>
      <w:pPr>
        <w:ind w:left="2600" w:hanging="648"/>
        <w:spacing w:after="0"/>
        <w:tabs>
          <w:tab w:leader="none" w:pos="260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Daily Simple SOFR Rate and (B) the Term SOFR Adjustment, or</w:t>
      </w:r>
    </w:p>
    <w:p>
      <w:pPr>
        <w:spacing w:after="0" w:line="21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and (B)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 and</w:t>
      </w:r>
    </w:p>
    <w:p>
      <w:pPr>
        <w:spacing w:after="0" w:line="18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Benchmarks, the sum of (i) the alternate benchmark rate and (ii)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5" w:name="page106"/>
    <w:bookmarkEnd w:id="105"/>
    <w:p>
      <w:pPr>
        <w:jc w:val="both"/>
        <w:spacing w:after="0" w:line="268" w:lineRule="auto"/>
        <w:rPr>
          <w:sz w:val="20"/>
          <w:szCs w:val="20"/>
          <w:color w:val="auto"/>
        </w:rPr>
      </w:pPr>
      <w:r>
        <w:rPr>
          <w:rFonts w:ascii="Times New Roman" w:cs="Times New Roman" w:eastAsia="Times New Roman" w:hAnsi="Times New Roman"/>
          <w:sz w:val="20"/>
          <w:szCs w:val="20"/>
          <w:color w:val="auto"/>
        </w:rPr>
        <w:t>applicable recommendations made by the Relevant Governmental Body, for U.S. Dollar-denominated syndicated credit facilities at such time;</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Benchmark Replacement as determined pursuant to clause (a) or (b) above would be less than the Floor, the Benchmark Replacement will be deemed to be the Floor for the purposes of this Agreement and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if the Benchmark Replacement is calculated using the Daily Simple SOFR Rate, all interest payments will be payable on a quarterly basis.</w:t>
      </w:r>
    </w:p>
    <w:p>
      <w:pPr>
        <w:spacing w:after="0" w:line="1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Conforming Changes</w:t>
      </w:r>
      <w:r>
        <w:rPr>
          <w:rFonts w:ascii="Times New Roman" w:cs="Times New Roman" w:eastAsia="Times New Roman" w:hAnsi="Times New Roman"/>
          <w:sz w:val="20"/>
          <w:szCs w:val="20"/>
          <w:color w:val="auto"/>
        </w:rPr>
        <w:t xml:space="preserve">” means, with respect to either the use or administration of any initial Benchmark or adjusted initial Benchmark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xml:space="preserve">” means, with respect to any then-current Benchmark,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(b) all Available Tenors of such Benchmark are or will not be representative of the underlying market and economic reality that such Benchmark is intended to measure and that representativeness will not be restored. </w:t>
      </w:r>
      <w:r>
        <w:rPr>
          <w:rFonts w:ascii="Times New Roman" w:cs="Times New Roman" w:eastAsia="Times New Roman" w:hAnsi="Times New Roman"/>
          <w:sz w:val="20"/>
          <w:szCs w:val="20"/>
          <w:u w:val="single" w:color="auto"/>
          <w:color w:val="0000FF"/>
        </w:rPr>
        <w:t>Notwithstanding the above, in the case of an announcement of a prospective date of an event as designated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clauses (a) and (b), the date of the “Benchmark Transition Event” shall be postponed until the announced date of such prospective event.</w:t>
      </w:r>
    </w:p>
    <w:p>
      <w:pPr>
        <w:spacing w:after="0" w:line="18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means ATN International, Inc., a Delaware corporation.</w:t>
      </w:r>
    </w:p>
    <w:p>
      <w:pPr>
        <w:spacing w:after="0" w:line="21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w:t>
      </w:r>
      <w:r>
        <w:rPr>
          <w:rFonts w:ascii="Times New Roman" w:cs="Times New Roman" w:eastAsia="Times New Roman" w:hAnsi="Times New Roman"/>
          <w:sz w:val="20"/>
          <w:szCs w:val="20"/>
          <w:color w:val="auto"/>
        </w:rPr>
        <w:t>” means as of any date of determination (a) with respect to Term SOFR Rate Loans outstanding as of such date, a borrowing consisting of Loans of the same Class and having the same Interest Period and (b) with respect to Base Rate Loans, all Base Rate Loans outstanding as of such date regardless of Class.</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Date</w:t>
      </w:r>
      <w:r>
        <w:rPr>
          <w:rFonts w:ascii="Times New Roman" w:cs="Times New Roman" w:eastAsia="Times New Roman" w:hAnsi="Times New Roman"/>
          <w:sz w:val="20"/>
          <w:szCs w:val="20"/>
          <w:color w:val="auto"/>
        </w:rPr>
        <w:t>” means, with respect to any Loan, the date for the making thereof or the renewal or conversion thereof at or to the same or a different Interest Rate Option, which shall be a Business Day.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Budget</w:t>
      </w:r>
      <w:r>
        <w:rPr>
          <w:rFonts w:ascii="Times New Roman" w:cs="Times New Roman" w:eastAsia="Times New Roman" w:hAnsi="Times New Roman"/>
          <w:sz w:val="20"/>
          <w:szCs w:val="20"/>
          <w:color w:val="auto"/>
        </w:rPr>
        <w:t>” means, for the Borrower and the Restricted Subsidiaries, forecasted: (a) balance sheets, (b) profit and loss statements, (c) cash flow statements, (d) operating budget and (e) capital budget, all prepared on a consistent basis with the historical financial statements of the Borrower and the Restricted Subsidiaries.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that is not a Saturday, Sunday or other day that is a legal holiday under the laws of the State of New York or Colorado or is a day on which banking institutions in such state are authorized or required by Law to close.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CAH Holdco</w:t>
      </w:r>
      <w:r>
        <w:rPr>
          <w:rFonts w:ascii="Times New Roman" w:cs="Times New Roman" w:eastAsia="Times New Roman" w:hAnsi="Times New Roman"/>
          <w:sz w:val="20"/>
          <w:szCs w:val="20"/>
          <w:color w:val="auto"/>
        </w:rPr>
        <w:t>” means ATNI VI Holdings, LLC, a Delaware limited liability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CAH Holdco Subsidiaries</w:t>
      </w:r>
      <w:r>
        <w:rPr>
          <w:rFonts w:ascii="Times New Roman" w:cs="Times New Roman" w:eastAsia="Times New Roman" w:hAnsi="Times New Roman"/>
          <w:sz w:val="20"/>
          <w:szCs w:val="20"/>
          <w:color w:val="auto"/>
        </w:rPr>
        <w:t>” means the direct and indirect Subsidiaries of CAH Holdco.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Calculation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Lease</w:t>
      </w:r>
      <w:r>
        <w:rPr>
          <w:rFonts w:ascii="Times New Roman" w:cs="Times New Roman" w:eastAsia="Times New Roman" w:hAnsi="Times New Roman"/>
          <w:sz w:val="20"/>
          <w:szCs w:val="20"/>
          <w:color w:val="auto"/>
        </w:rPr>
        <w:t>” means any lease of real or personal property that is required to be capitalized under GAAP or that is treated as an operating lease under regulations applicable to the Borrower and its Subsidiaries but that otherwise would be required to be capitalized under GAAP.</w:t>
      </w:r>
    </w:p>
    <w:p>
      <w:pPr>
        <w:spacing w:after="0" w:line="16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Collateralize</w:t>
      </w:r>
      <w:r>
        <w:rPr>
          <w:rFonts w:ascii="Times New Roman" w:cs="Times New Roman" w:eastAsia="Times New Roman" w:hAnsi="Times New Roman"/>
          <w:sz w:val="20"/>
          <w:szCs w:val="20"/>
          <w:color w:val="auto"/>
        </w:rPr>
        <w:t>” means (a) with respect to the Obligations, to pledge and deposit with or deliver to the Administrative Agent, for the benefit of the Issuing Lender or Lenders, as collateral for Letter of Credit Obligations or obligations of Lenders to fund participations in respect of Letter of Credit Obligations, cash or deposit account balances or, if the Administrative Agent and the Issuing Lender shall agree in their sole discretion, other credit support, in each case pursuant to documentation in form and substance satisfactory to the Administrative Agent and the Issuing Lender, and (b) with respect to Other Liabilities, to pledge and deposit with or deliver to the Administrative Agent, for the benefit of each Lender (or its Affiliate) that is the provider of a Secured Bank Product or Secured Hedge, as the case may be, as collateral for the Other Liabilities, cash or deposit account balances, or, if the Administrative Agent and such Lender (or its Affiliate) shall agree in their respective sole discretion, other credit support, in each case pursuant to documentation in form and substance satisfactory to the Administrative Agent and each applicable Lender (or its Affiliate). “</w:t>
      </w:r>
      <w:r>
        <w:rPr>
          <w:rFonts w:ascii="Times New Roman" w:cs="Times New Roman" w:eastAsia="Times New Roman" w:hAnsi="Times New Roman"/>
          <w:sz w:val="20"/>
          <w:szCs w:val="20"/>
          <w:b w:val="1"/>
          <w:bCs w:val="1"/>
          <w:color w:val="auto"/>
        </w:rPr>
        <w:t>Cash Collateral</w:t>
      </w:r>
      <w:r>
        <w:rPr>
          <w:rFonts w:ascii="Times New Roman" w:cs="Times New Roman" w:eastAsia="Times New Roman" w:hAnsi="Times New Roman"/>
          <w:sz w:val="20"/>
          <w:szCs w:val="20"/>
          <w:color w:val="auto"/>
        </w:rPr>
        <w:t>” shall have meanings analogous to the foregoing and shall include the proceeds of such cash collateral and other credit support.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07" w:name="page108"/>
    <w:bookmarkEnd w:id="107"/>
    <w:p>
      <w:pPr>
        <w:jc w:val="both"/>
        <w:ind w:firstLine="1304"/>
        <w:spacing w:after="0" w:line="244" w:lineRule="auto"/>
        <w:tabs>
          <w:tab w:leader="none" w:pos="19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 obligations of the United States of America or any agency or instrumentality thereof or obligations backed by the full faith and credit of the United States of America maturing in twelve (12) months or less from the date of acquisition;</w:t>
      </w:r>
    </w:p>
    <w:p>
      <w:pPr>
        <w:spacing w:after="0" w:line="173" w:lineRule="exact"/>
        <w:rPr>
          <w:rFonts w:ascii="Times New Roman" w:cs="Times New Roman" w:eastAsia="Times New Roman" w:hAnsi="Times New Roman"/>
          <w:sz w:val="22"/>
          <w:szCs w:val="22"/>
          <w:color w:val="auto"/>
        </w:rPr>
      </w:pPr>
    </w:p>
    <w:p>
      <w:pPr>
        <w:ind w:firstLine="1304"/>
        <w:spacing w:after="0" w:line="258" w:lineRule="auto"/>
        <w:tabs>
          <w:tab w:leader="none" w:pos="19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paper maturing in 180 days or less rated not lower than A-1, by Standard &amp; Poor’s or P-1 by Moody’s on the date of acquisition;</w:t>
      </w:r>
    </w:p>
    <w:p>
      <w:pPr>
        <w:spacing w:after="0" w:line="158" w:lineRule="exact"/>
        <w:rPr>
          <w:rFonts w:ascii="Times New Roman" w:cs="Times New Roman" w:eastAsia="Times New Roman" w:hAnsi="Times New Roman"/>
          <w:sz w:val="22"/>
          <w:szCs w:val="22"/>
          <w:color w:val="auto"/>
        </w:rPr>
      </w:pPr>
    </w:p>
    <w:p>
      <w:pPr>
        <w:jc w:val="both"/>
        <w:ind w:firstLine="1304"/>
        <w:spacing w:after="0" w:line="239" w:lineRule="auto"/>
        <w:tabs>
          <w:tab w:leader="none" w:pos="19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demand deposits, time deposits or certificates of deposit maturing within one year in commercial banks that are organized under the laws of the United States or any state thereof or that is a foreign bank or branch or agency thereof acceptable to the Administrative Agent and, in any case, having combined capital, surplus and undivided profits in an amount equal to at least $1,000,000,000; and</w:t>
      </w:r>
    </w:p>
    <w:p>
      <w:pPr>
        <w:spacing w:after="0" w:line="180" w:lineRule="exact"/>
        <w:rPr>
          <w:rFonts w:ascii="Times New Roman" w:cs="Times New Roman" w:eastAsia="Times New Roman" w:hAnsi="Times New Roman"/>
          <w:sz w:val="22"/>
          <w:szCs w:val="22"/>
          <w:color w:val="auto"/>
        </w:rPr>
      </w:pPr>
    </w:p>
    <w:p>
      <w:pPr>
        <w:ind w:right="20" w:firstLine="1304"/>
        <w:spacing w:after="0" w:line="258" w:lineRule="auto"/>
        <w:tabs>
          <w:tab w:leader="none" w:pos="194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money market or mutual funds whose investments are limited to those types of investments described in </w:t>
      </w:r>
      <w:r>
        <w:rPr>
          <w:rFonts w:ascii="Times New Roman" w:cs="Times New Roman" w:eastAsia="Times New Roman" w:hAnsi="Times New Roman"/>
          <w:sz w:val="22"/>
          <w:szCs w:val="22"/>
          <w:u w:val="single" w:color="auto"/>
          <w:color w:val="auto"/>
        </w:rPr>
        <w:t>clauses (a)</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 xml:space="preserve"> above.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Casualty Event</w:t>
      </w:r>
      <w:r>
        <w:rPr>
          <w:rFonts w:ascii="Times New Roman" w:cs="Times New Roman" w:eastAsia="Times New Roman" w:hAnsi="Times New Roman"/>
          <w:sz w:val="20"/>
          <w:szCs w:val="20"/>
          <w:color w:val="auto"/>
        </w:rPr>
        <w:t>” means, with respect to any property of any Person, any loss of or damage to, or any condemnation or other taking of, such property for which such Person or any of its Restricted Subsidiaries receives insurance proceeds, or proceeds of a condemnation award or other compensation.</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Law</w:t>
      </w:r>
      <w:r>
        <w:rPr>
          <w:rFonts w:ascii="Times New Roman" w:cs="Times New Roman" w:eastAsia="Times New Roman" w:hAnsi="Times New Roman"/>
          <w:sz w:val="19"/>
          <w:szCs w:val="19"/>
          <w:color w:val="auto"/>
        </w:rPr>
        <w:t xml:space="preserve">” means the occurrence, after the date of this Agreement,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 (i) the Dodd-Frank Wall Street Reform and Consumer Protection Act and all requests, rules, regulations, guidelines, interpretations or directives thereunder or issued in connection therewith or the implementations thereof (whether or not having the force of Law) and</w:t>
      </w:r>
    </w:p>
    <w:p>
      <w:pPr>
        <w:spacing w:after="0" w:line="5" w:lineRule="exact"/>
        <w:rPr>
          <w:sz w:val="20"/>
          <w:szCs w:val="20"/>
          <w:color w:val="auto"/>
        </w:rPr>
      </w:pPr>
    </w:p>
    <w:p>
      <w:pPr>
        <w:jc w:val="both"/>
        <w:ind w:firstLine="8"/>
        <w:spacing w:after="0" w:line="241" w:lineRule="auto"/>
        <w:tabs>
          <w:tab w:leader="none" w:pos="339"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means: (a) any “person” or “group” (as such terms are used in Sections 13(d) and 14(d) of the Act, but excluding any employee benefit plan of such person or its Subsidiaries, and any person or entity acting in its capacity as trustee, agent or other fiduciary or administrator of any such plan) becomes the “beneficial owner” (as defined in Rules 13d-3 and 13d-5 under the Act,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9"/>
          <w:szCs w:val="19"/>
          <w:u w:val="single" w:color="auto"/>
          <w:color w:val="auto"/>
        </w:rPr>
        <w:t>option right</w:t>
      </w:r>
      <w:r>
        <w:rPr>
          <w:rFonts w:ascii="Times New Roman" w:cs="Times New Roman" w:eastAsia="Times New Roman" w:hAnsi="Times New Roman"/>
          <w:sz w:val="19"/>
          <w:szCs w:val="19"/>
          <w:color w:val="auto"/>
        </w:rPr>
        <w:t>”)), directly or indirectly, of 30% or more of the Equity Interests of the Borrower entitled to vote for members of the board of directors or equivalent governing body of the Borrower on a fully-diluted basis (and taking into account all such securities that such person or group has the right to acquire pursuant to any option right); or</w:t>
      </w:r>
    </w:p>
    <w:p>
      <w:pPr>
        <w:spacing w:after="0" w:line="5" w:lineRule="exact"/>
        <w:rPr>
          <w:sz w:val="20"/>
          <w:szCs w:val="20"/>
          <w:color w:val="auto"/>
        </w:rPr>
      </w:pPr>
    </w:p>
    <w:p>
      <w:pPr>
        <w:jc w:val="both"/>
        <w:ind w:firstLine="8"/>
        <w:spacing w:after="0"/>
        <w:tabs>
          <w:tab w:leader="none" w:pos="30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08" w:name="page109"/>
    <w:bookmarkEnd w:id="108"/>
    <w:p>
      <w:pPr>
        <w:jc w:val="both"/>
        <w:spacing w:after="0" w:line="245" w:lineRule="auto"/>
        <w:rPr>
          <w:sz w:val="20"/>
          <w:szCs w:val="20"/>
          <w:color w:val="auto"/>
        </w:rPr>
      </w:pPr>
      <w:r>
        <w:rPr>
          <w:rFonts w:ascii="Times New Roman" w:cs="Times New Roman" w:eastAsia="Times New Roman" w:hAnsi="Times New Roman"/>
          <w:sz w:val="20"/>
          <w:szCs w:val="20"/>
          <w:color w:val="auto"/>
        </w:rPr>
        <w:t>time of such election or nomination at least a majority of that board or equivalent governing body. Notwithstanding the foregoing, no “Change of Control” shall have occurred or be deemed to be continuing as a result of Cornelius B. Prior, Jr. or Michael Prior, or any spouse or lineal descendant, or any foundation established by, or trust or investment or similar vehicle formed for the benefit of, any of the foregoing, in each case, individually or collectively, directly or indirectly, having 30% or more of the Equity Interests of the Borrower entitled to vote for members of the board of directors or equivalent governing body of the Borrower on a fully-diluted basis.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Charges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w:t>
      </w:r>
      <w:r>
        <w:rPr>
          <w:rFonts w:ascii="Times New Roman" w:cs="Times New Roman" w:eastAsia="Times New Roman" w:hAnsi="Times New Roman"/>
          <w:sz w:val="20"/>
          <w:szCs w:val="20"/>
          <w:color w:val="auto"/>
        </w:rPr>
        <w:t>” means, when used in reference to any Loan, whether such Loan is a Revolving Loan, Swing Line Loan or Term Loan and, when used in reference to any Commitment, whether such Commitment is a Revolving Commitment or a Term Loan Commitment.</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xml:space="preserve">” means </w:t>
      </w:r>
      <w:r>
        <w:rPr>
          <w:rFonts w:ascii="Times New Roman" w:cs="Times New Roman" w:eastAsia="Times New Roman" w:hAnsi="Times New Roman"/>
          <w:sz w:val="20"/>
          <w:szCs w:val="20"/>
          <w:color w:val="FF0000"/>
          <w:strike w:val="1"/>
        </w:rPr>
        <w:t>the Business Day on which each of the conditions precedent in Section 4.1 has been satisfied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or waived by the Required Lenders</w:t>
      </w:r>
      <w:r>
        <w:rPr>
          <w:rFonts w:ascii="Times New Roman" w:cs="Times New Roman" w:eastAsia="Times New Roman" w:hAnsi="Times New Roman"/>
          <w:sz w:val="20"/>
          <w:szCs w:val="20"/>
          <w:u w:val="single" w:color="auto"/>
          <w:color w:val="0000FF"/>
        </w:rPr>
        <w:t>July 13, 2023</w:t>
      </w:r>
      <w:r>
        <w:rPr>
          <w:rFonts w:ascii="Times New Roman" w:cs="Times New Roman" w:eastAsia="Times New Roman" w:hAnsi="Times New Roman"/>
          <w:sz w:val="20"/>
          <w:szCs w:val="20"/>
          <w:color w:val="000000"/>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CoBank</w:t>
      </w:r>
      <w:r>
        <w:rPr>
          <w:rFonts w:ascii="Times New Roman" w:cs="Times New Roman" w:eastAsia="Times New Roman" w:hAnsi="Times New Roman"/>
          <w:sz w:val="20"/>
          <w:szCs w:val="20"/>
          <w:color w:val="auto"/>
        </w:rPr>
        <w:t>” means CoBank, ACB, a federally chartered instrumentality of the United States.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CoBank Cash Management Agreement</w:t>
      </w:r>
      <w:r>
        <w:rPr>
          <w:rFonts w:ascii="Times New Roman" w:cs="Times New Roman" w:eastAsia="Times New Roman" w:hAnsi="Times New Roman"/>
          <w:sz w:val="20"/>
          <w:szCs w:val="20"/>
          <w:color w:val="auto"/>
        </w:rPr>
        <w:t>” means any Master Agreement for Cash Management and Transaction Services between CoBank and the Borrower, including all exhibits, schedules and annexes thereto and including all related forms delivered by the Borrower to CoBank in connection therewith.</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CoBank Equities</w:t>
      </w:r>
      <w:r>
        <w:rPr>
          <w:rFonts w:ascii="Times New Roman" w:cs="Times New Roman" w:eastAsia="Times New Roman" w:hAnsi="Times New Roman"/>
          <w:sz w:val="20"/>
          <w:szCs w:val="20"/>
          <w:color w:val="auto"/>
        </w:rPr>
        <w:t>” means any of the Borrower’s stock, patronage refunds issued in the form of stock or otherwise constituting allocated units, patronage surplus (including any such surplus accrued by CoBank for the account of the Borrower) and other equities in CoBank acquired in connection with, or because of the existence of, the Borrower’s patronage loan from CoBank (or its affiliate), and the proceeds of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means the collateral subject to any of the Collateral Documents or any other real or personal property of the Loan Parties, in each case pledged to the Administrative Agent for the benefit of the Secured Parties as security for the Secured Obligations.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Assignment</w:t>
      </w:r>
      <w:r>
        <w:rPr>
          <w:rFonts w:ascii="Times New Roman" w:cs="Times New Roman" w:eastAsia="Times New Roman" w:hAnsi="Times New Roman"/>
          <w:sz w:val="20"/>
          <w:szCs w:val="20"/>
          <w:color w:val="auto"/>
        </w:rPr>
        <w:t>” means any collateral assignment of a Material Agreement, in form and substance reasonably approved by the Administrative Agent, executed by the applicable Loan Party or Loan Parties and the counterparty to such Material Agreement in favor of the Administrative Agent, for the benefit of itself and the other Secured Parties.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means, collectively, the Security Agreement, the Collateral Assignment (if any), the Intellectual Property Security Agreements (if any), the Mortgages (if any), the account control agreements (if any) and all instruments, documents or agreements pursuant to which the Borrower or any other Loan Party has granted a Lien to the Administrative Agent for the benefit of the Secured Parties to secure all or a portion of the Secured Obligations or that are necessary to perfect the Prior Security Interest of the Administrative Agent for the benefit of the Secured Parties in the collateral granted as security for the Secured Obligations.</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means, as to any Lender, the aggregate of its Revolving A-1 Commitment, any Swing Line Commitment (to the extent such Lender is a Swing Line Lender), Term A-1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9" w:name="page110"/>
    <w:bookmarkEnd w:id="109"/>
    <w:p>
      <w:pPr>
        <w:jc w:val="both"/>
        <w:spacing w:after="0" w:line="249" w:lineRule="auto"/>
        <w:rPr>
          <w:sz w:val="20"/>
          <w:szCs w:val="20"/>
          <w:color w:val="auto"/>
        </w:rPr>
      </w:pPr>
      <w:r>
        <w:rPr>
          <w:rFonts w:ascii="Times New Roman" w:cs="Times New Roman" w:eastAsia="Times New Roman" w:hAnsi="Times New Roman"/>
          <w:sz w:val="20"/>
          <w:szCs w:val="20"/>
          <w:color w:val="auto"/>
        </w:rPr>
        <w:t>Commitment and any other Incremental Commitment or Incremental Commitments of such Lender with respect to any Additional Incremental Facility, as applicable, and “</w:t>
      </w:r>
      <w:r>
        <w:rPr>
          <w:rFonts w:ascii="Times New Roman" w:cs="Times New Roman" w:eastAsia="Times New Roman" w:hAnsi="Times New Roman"/>
          <w:sz w:val="20"/>
          <w:szCs w:val="20"/>
          <w:b w:val="1"/>
          <w:bCs w:val="1"/>
          <w:color w:val="auto"/>
        </w:rPr>
        <w:t>Commitments</w:t>
      </w:r>
      <w:r>
        <w:rPr>
          <w:rFonts w:ascii="Times New Roman" w:cs="Times New Roman" w:eastAsia="Times New Roman" w:hAnsi="Times New Roman"/>
          <w:sz w:val="20"/>
          <w:szCs w:val="20"/>
          <w:color w:val="auto"/>
        </w:rPr>
        <w:t>” means the aggregate of the Revolving A-1 Commitments, any Swing Line Commitment, Term A-1 Loan Commitments and other Incremental Commitments with respect to any Additional Incremental Facility of all of the Lenders (including any Swing Line Lender).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Commodity Exchange Act</w:t>
      </w:r>
      <w:r>
        <w:rPr>
          <w:rFonts w:ascii="Times New Roman" w:cs="Times New Roman" w:eastAsia="Times New Roman" w:hAnsi="Times New Roman"/>
          <w:sz w:val="20"/>
          <w:szCs w:val="20"/>
          <w:color w:val="auto"/>
        </w:rPr>
        <w:t>” means the Commodity Exchange Act (7 U.S.C. § 1 et seq.).</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Communications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Communications Act</w:t>
      </w:r>
      <w:r>
        <w:rPr>
          <w:rFonts w:ascii="Times New Roman" w:cs="Times New Roman" w:eastAsia="Times New Roman" w:hAnsi="Times New Roman"/>
          <w:sz w:val="20"/>
          <w:szCs w:val="20"/>
          <w:color w:val="auto"/>
        </w:rPr>
        <w:t>” means the Communications Act of 1934, as amended, the rules and regulations of the FCC thereunder and codified in Title 47 of the Code of Federal Regulations, and the effective orders, decisions, rulings, published policies, and public notices of the FCC.</w:t>
      </w:r>
    </w:p>
    <w:p>
      <w:pPr>
        <w:spacing w:after="0" w:line="16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Communications Systems</w:t>
      </w:r>
      <w:r>
        <w:rPr>
          <w:rFonts w:ascii="Times New Roman" w:cs="Times New Roman" w:eastAsia="Times New Roman" w:hAnsi="Times New Roman"/>
          <w:sz w:val="20"/>
          <w:szCs w:val="20"/>
          <w:color w:val="auto"/>
        </w:rPr>
        <w:t>” means a system, network or business (a) providing (or capable of providing) voice, data, Internet access or video transport, connection, monitoring services, answering services or other communications and/or information or entertainment services (including cable television), through any means or medium, (b) providing (or capable of providing) facilities, marketing, management, technical and financial (including call rating) or other services to companies providing such transport, connection, monitoring service or other communications and/or information services, or (c) that is (or that is capable of) constructing, creating, developing or marketing communications-related networks, network equipment, software and other devices for use in any system or business described above.</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xml:space="preserve">” means a certificate of the Borrower, signed by a Compliance Officer of the Borrower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means the Chief Executive Officer, President, Chief Financial Officer, Corporate Treasurer or Corporate Controller (or in the case of a Loan Party that is a limited liability company without officers, a manager or member authorized under such Loan Party’s Organizational Documents) of the Borrower or any other Loan Party, as the case may be.</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Obligations</w:t>
      </w:r>
      <w:r>
        <w:rPr>
          <w:rFonts w:ascii="Times New Roman" w:cs="Times New Roman" w:eastAsia="Times New Roman" w:hAnsi="Times New Roman"/>
          <w:sz w:val="20"/>
          <w:szCs w:val="20"/>
          <w:color w:val="auto"/>
        </w:rPr>
        <w:t>” means, as applied to any Person, any direct or indirect liability of that Person: (a) with respect to any indebtedness, lease, dividend or other obligation of another Person if the primary effect thereof, is to provide assurance to the obligee of such liability that such liability will be paid, performed or discharged, or that any agreements relating thereto will be complied with, or that the holders of such liability will be protected (in whole or in part) against loss with respect thereto; (b) with respect to any letter of credit issued for the account of that Person or as to which that Person is otherwise liable for reimbursement of drawings; or (c) under any foreign exchange contract, currency swap agreement, interest rate swap agreement or other similar agreement or arrangement designed to alter the risks of that Person arising from fluctuations in currency values or interest rates. Contingent Obligations should also include (i) the direct or indirect guaranty, endorsement (other than for collection or deposit in the ordinary course of business), co-making, discounting with recourse or sale with recourse by such Person of the obligations of another, (ii) obligations to make take-or-pay or similar payments if required regardless of the nonperformance by any other party or parties to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and (iii) obligations under any revenue sharing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0" w:name="page111"/>
    <w:bookmarkEnd w:id="110"/>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agreement with vendors. The amount of any Contingent Obligation shall be equal at all times to the amount of the obligations so guaranteed or otherwise supported or, if not a fixed and determined amount, the maximum amount so guaranteed.</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Contributing Qualifying Subsidiary</w:t>
      </w:r>
      <w:r>
        <w:rPr>
          <w:rFonts w:ascii="Times New Roman" w:cs="Times New Roman" w:eastAsia="Times New Roman" w:hAnsi="Times New Roman"/>
          <w:sz w:val="20"/>
          <w:szCs w:val="20"/>
          <w:color w:val="auto"/>
        </w:rPr>
        <w:t>” means any (A) Domestic Subsidiary that is a Restricted Subsidiary, (B) any Restricted Subsidiary that is organized and existing under the laws of Bermuda and (C) any other Restricted Subsidiary that is organized and existing under the laws of other jurisdictions designated by Borrower as a “Contributing Qualifying Subsidiary” and otherwise consented to by the Administrative Agent in its sole discretion.</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Without limiting the generality of the foregoing, a Person shall be deemed to be “controlled by” another Person if such Person holds, directly or indirectly, power to vote 10% or more of the securities having ordinary voting power for the election of directors of such other Person.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have meanings analogous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 or Continuation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Extension</w:t>
      </w:r>
      <w:r>
        <w:rPr>
          <w:rFonts w:ascii="Times New Roman" w:cs="Times New Roman" w:eastAsia="Times New Roman" w:hAnsi="Times New Roman"/>
          <w:sz w:val="20"/>
          <w:szCs w:val="20"/>
          <w:color w:val="auto"/>
        </w:rPr>
        <w:t>” means the making, conversion or continuation of any Borrowing, Loan or Swing Line Loan or the issuing, extending, amending, renewing or increasing of any Letter of Credit.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Cure Deadline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Daily Simple SOFR Rate</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b w:val="1"/>
          <w:bCs w:val="1"/>
          <w:color w:val="auto"/>
        </w:rPr>
        <w:t>Daily Simple SOFR Rate Day</w:t>
      </w:r>
      <w:r>
        <w:rPr>
          <w:rFonts w:ascii="Times New Roman" w:cs="Times New Roman" w:eastAsia="Times New Roman" w:hAnsi="Times New Roman"/>
          <w:sz w:val="20"/>
          <w:szCs w:val="20"/>
          <w:color w:val="auto"/>
        </w:rPr>
        <w:t>”), a rate per annum equal to the greater of (a) SOFR for the day (such day, a “</w:t>
      </w:r>
      <w:r>
        <w:rPr>
          <w:rFonts w:ascii="Times New Roman" w:cs="Times New Roman" w:eastAsia="Times New Roman" w:hAnsi="Times New Roman"/>
          <w:sz w:val="20"/>
          <w:szCs w:val="20"/>
          <w:b w:val="1"/>
          <w:bCs w:val="1"/>
          <w:color w:val="auto"/>
        </w:rPr>
        <w:t>Daily Simple SOFR Determination Date</w:t>
      </w:r>
      <w:r>
        <w:rPr>
          <w:rFonts w:ascii="Times New Roman" w:cs="Times New Roman" w:eastAsia="Times New Roman" w:hAnsi="Times New Roman"/>
          <w:sz w:val="20"/>
          <w:szCs w:val="20"/>
          <w:color w:val="auto"/>
        </w:rPr>
        <w:t xml:space="preserve">”) that is five U.S. Government Securities Business Days prior to (i) if such Daily Simple SOFR Rate Day is a U.S. Government Securities Business Day, such Daily Simple SOFR Rate Day or (ii) if such Daily Simple SOFR Rate Day is not a U.S. Government Securities Business Day, the U.S. Government Securities Business Day immediately preceding such Daily Simple SOFR Rate Day, in each case, as such SOFR is published by the SOFR Administrator on the SOFR Administrator’s Website, and (b) the Floor. If by 3:00 p.m. on the second U.S. Government Securities Business Day immediately following any Daily Simple SOFR Determination Date, SOFR in respect of such Daily Simple SOFR Determination Date has not been published on the SOFR Administrator’s Website and a Benchmark Transition Event with respect to the Daily Simple SOFR Rate has not occurred, then SOFR for such Daily Simple SOFR Determination Date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SOFR determined pursuant to this sentence shall be utilized for purposes of the calculation of the Daily Simple SOFR Rate for no more than three consecutive Daily Simple SOFR Rate Days. Any change in the Daily Simple SOFR Rate due to a change in SOFR shall be effective from and including the effective date of such change in SOFR without notice to the Borrower or any other Person.</w:t>
      </w:r>
    </w:p>
    <w:p>
      <w:pPr>
        <w:spacing w:after="0" w:line="194"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Incurrence</w:t>
      </w:r>
      <w:r>
        <w:rPr>
          <w:rFonts w:ascii="Times New Roman" w:cs="Times New Roman" w:eastAsia="Times New Roman" w:hAnsi="Times New Roman"/>
          <w:sz w:val="20"/>
          <w:szCs w:val="20"/>
          <w:color w:val="auto"/>
        </w:rPr>
        <w:t>” means the incurrence by the Borrower or any of its Restricted Subsidiaries on or after the Closing Date of any Indebtedness other than the Obligations.</w:t>
      </w:r>
    </w:p>
    <w:p>
      <w:pPr>
        <w:spacing w:after="0" w:line="1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Laws</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event or condition that with notice or passage of time, or both, would constitute an Event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w:t>
      </w:r>
    </w:p>
    <w:p>
      <w:pPr>
        <w:spacing w:after="0" w:line="19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 xml:space="preserve">” means, as of any date of determination, the following: (a) for Base Rate Loans, the rate determined in accordance with the Base Rate Option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margin of 2.00% per annum, (b) for Term SOFR Rate Loans, the rate determined in accordance with the Term SOFR Rate Option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margin of 2.00% per annum, (c) for Letter of Credit Fees, the Applicable Letter of Credit Fee Rate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margin of 2.00% per annum and (d) for all other Obligations, the rate determined in accordance with the Base Rate Option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margin of 2.00% per annum.</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Defaulting Lender</w:t>
      </w:r>
      <w:r>
        <w:rPr>
          <w:rFonts w:ascii="Times New Roman" w:cs="Times New Roman" w:eastAsia="Times New Roman" w:hAnsi="Times New Roman"/>
          <w:sz w:val="19"/>
          <w:szCs w:val="19"/>
          <w:color w:val="auto"/>
        </w:rPr>
        <w:t xml:space="preserve">” means, subject to </w:t>
      </w:r>
      <w:r>
        <w:rPr>
          <w:rFonts w:ascii="Times New Roman" w:cs="Times New Roman" w:eastAsia="Times New Roman" w:hAnsi="Times New Roman"/>
          <w:sz w:val="19"/>
          <w:szCs w:val="19"/>
          <w:u w:val="single" w:color="auto"/>
          <w:color w:val="auto"/>
        </w:rPr>
        <w:t>Section 2.17(b)</w:t>
      </w:r>
      <w:r>
        <w:rPr>
          <w:rFonts w:ascii="Times New Roman" w:cs="Times New Roman" w:eastAsia="Times New Roman" w:hAnsi="Times New Roman"/>
          <w:sz w:val="19"/>
          <w:szCs w:val="19"/>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Lender, the Swing Line Lender or any other Lender any other amount required to be paid by it hereunder (including in respect of its participation in Letters of Credit or Swing Line Loans) within two (2) Business Days of the date when due, (b) has notified the Borrower, the Administrative Agent or the Issuing Lender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w:t>
      </w:r>
    </w:p>
    <w:p>
      <w:pPr>
        <w:spacing w:after="0" w:line="5" w:lineRule="exact"/>
        <w:rPr>
          <w:sz w:val="20"/>
          <w:szCs w:val="20"/>
          <w:color w:val="auto"/>
        </w:rPr>
      </w:pPr>
    </w:p>
    <w:p>
      <w:pPr>
        <w:jc w:val="both"/>
        <w:ind w:firstLine="8"/>
        <w:spacing w:after="0" w:line="239" w:lineRule="auto"/>
        <w:tabs>
          <w:tab w:leader="none" w:pos="29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after written request by the Administrative Agent, the Borrower or, to the extent the Issuing Lender has outstanding Letter of Credit Obligations at such time, the Issuing Lender,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the Borrower or the Issuing Lender), or (d) has, or has a direct or indirect parent company that has, (x) become the subject of a proceeding under any Debtor Relief Law, (y)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or other Governmental Authority acting in such a capacity or (z)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shall be conclusive and binding absent manifest error, and, subject to any cure rights provided above, such Lender shall be deemed to be a Defaulting Lender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upon delivery of written notice of such determination to the Borrower, the Issuing Lender, the Swing Line Lender and each Lender.</w:t>
      </w:r>
    </w:p>
    <w:p>
      <w:pPr>
        <w:spacing w:after="0" w:line="19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Dispose</w:t>
      </w:r>
      <w:r>
        <w:rPr>
          <w:rFonts w:ascii="Times New Roman" w:cs="Times New Roman" w:eastAsia="Times New Roman" w:hAnsi="Times New Roman"/>
          <w:sz w:val="20"/>
          <w:szCs w:val="20"/>
          <w:color w:val="auto"/>
        </w:rPr>
        <w:t>” means the sale, transfer, license, abandonment, lapse, lease or other disposition (including any sale and leaseback transaction) of any property or asset by any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12" w:name="page113"/>
    <w:bookmarkEnd w:id="112"/>
    <w:p>
      <w:pPr>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Disqualified Equity Interests</w:t>
      </w:r>
      <w:r>
        <w:rPr>
          <w:rFonts w:ascii="Times New Roman" w:cs="Times New Roman" w:eastAsia="Times New Roman" w:hAnsi="Times New Roman"/>
          <w:sz w:val="19"/>
          <w:szCs w:val="19"/>
          <w:color w:val="auto"/>
        </w:rPr>
        <w:t>” means any Equity Interest that, by its terms (or the terms of any security or other Equity Interests into which it is convertible or for which it is exchangeable), or upon the happening of any event or condition</w:t>
      </w:r>
    </w:p>
    <w:p>
      <w:pPr>
        <w:spacing w:after="0" w:line="2" w:lineRule="exact"/>
        <w:rPr>
          <w:sz w:val="20"/>
          <w:szCs w:val="20"/>
          <w:color w:val="auto"/>
        </w:rPr>
      </w:pPr>
    </w:p>
    <w:p>
      <w:pPr>
        <w:jc w:val="both"/>
        <w:ind w:firstLine="8"/>
        <w:spacing w:after="0"/>
        <w:tabs>
          <w:tab w:leader="none" w:pos="27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(other than solely for Equity Interests that are Qualified Equity Interests), pursuant to a sinking fund obligation or otherwise (except as a result of a “change of control” or asset sale so long as any rights of the holders thereof upon the occurrence of a “change of control” or asset sale event shall be subject to the Payment In Full of all Secured Obligations), (b) is redeemable at the option of the holder thereof, in whole or in part, (c) provides for scheduled payments of dividends in cash, or (d) is or becomes convertible into or exchangeable for Indebtedness or any other Equity Interests that would not constitute Qualified Equity Interests, in each case, prior to the date that is 180 days after the Payment In Full of all Secured Obligations.</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Institutions</w:t>
      </w:r>
      <w:r>
        <w:rPr>
          <w:rFonts w:ascii="Times New Roman" w:cs="Times New Roman" w:eastAsia="Times New Roman" w:hAnsi="Times New Roman"/>
          <w:sz w:val="20"/>
          <w:szCs w:val="20"/>
          <w:color w:val="auto"/>
        </w:rPr>
        <w:t>” means, collectively, (a) competitors of the Borrower and its Subsidiaries specified to the Administrative Agent by the Borrower in writing from time to time, and (b) certain banks, financial institutions, other institutional lenders and other entities, in each case, that have been specified to the Administrative Agent by the Borrower in writing on or prior to the Closing Date.</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Division</w:t>
      </w:r>
      <w:r>
        <w:rPr>
          <w:rFonts w:ascii="Times New Roman" w:cs="Times New Roman" w:eastAsia="Times New Roman" w:hAnsi="Times New Roman"/>
          <w:sz w:val="20"/>
          <w:szCs w:val="20"/>
          <w:color w:val="auto"/>
        </w:rPr>
        <w:t>” means, in reference to any Person which is an entity, the division of such Person into two (2) or more separate Persons with the dividing Person either continuing or terminating its existence as part of the division including as contemplated under Section 18-217 of the Delaware Limited Liability Act for limited liability companies formed under Delaware Law or any analogous action taken pursuant to any applicable Law with respect to any corporation, limited liability company, partnership or other entity. The word “Divide”, when capitalized shall have analogous meaning.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 Dollars</w:t>
      </w:r>
      <w:r>
        <w:rPr>
          <w:rFonts w:ascii="Times New Roman" w:cs="Times New Roman" w:eastAsia="Times New Roman" w:hAnsi="Times New Roman"/>
          <w:sz w:val="20"/>
          <w:szCs w:val="20"/>
          <w:color w:val="auto"/>
        </w:rPr>
        <w:t>” and the symbol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lawful money of the United States of America.</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Domestic Foreign Holdco</w:t>
      </w:r>
      <w:r>
        <w:rPr>
          <w:rFonts w:ascii="Times New Roman" w:cs="Times New Roman" w:eastAsia="Times New Roman" w:hAnsi="Times New Roman"/>
          <w:sz w:val="20"/>
          <w:szCs w:val="20"/>
          <w:color w:val="auto"/>
        </w:rPr>
        <w:t>” means any Domestic Subsidiary substantially all of the assets of which are Equity Interests of one or more Specified CFCs (other than any Material Foreign Subsidiary) and, if applicable, debt of such Specified CFCs (other than any Material Foreign Subsidiary).</w:t>
      </w:r>
    </w:p>
    <w:p>
      <w:pPr>
        <w:spacing w:after="0" w:line="169" w:lineRule="exact"/>
        <w:rPr>
          <w:sz w:val="20"/>
          <w:szCs w:val="20"/>
          <w:color w:val="auto"/>
        </w:rPr>
      </w:pPr>
    </w:p>
    <w:p>
      <w:pPr>
        <w:jc w:val="both"/>
        <w:ind w:right="20"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Domestic Subsidiary</w:t>
      </w:r>
      <w:r>
        <w:rPr>
          <w:rFonts w:ascii="Times New Roman" w:cs="Times New Roman" w:eastAsia="Times New Roman" w:hAnsi="Times New Roman"/>
          <w:sz w:val="19"/>
          <w:szCs w:val="19"/>
          <w:color w:val="auto"/>
        </w:rPr>
        <w:t>” means any Subsidiary of the Borrower that is organized and existing under the Laws of the United States of America or any state, commonwealth or territory thereof or under the Laws of the District of Columbia.</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Drawing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EBITDA</w:t>
      </w:r>
      <w:r>
        <w:rPr>
          <w:rFonts w:ascii="Times New Roman" w:cs="Times New Roman" w:eastAsia="Times New Roman" w:hAnsi="Times New Roman"/>
          <w:sz w:val="20"/>
          <w:szCs w:val="20"/>
          <w:color w:val="auto"/>
        </w:rPr>
        <w:t xml:space="preserve">” means the result of (i) the sum without duplication of (1) net income or deficit, as the case may be, excluding gains or losses on the sale of assets and extraordinary (nonrecurring, one-time) gains and losses, (2) total interest expense (including non-cash interest), (3) depreciation and amortization expense, (4) income taxes, (5) certain one time items and/or adjustments associated with any acquisition to be agreed upon by Administrative Agent in its reasonable discretion, (6) losses from the disposal or impairment of property and equipment and other long-term assets, including, goodwill, intangibles and spectrum, (7) cash dividends from unconsolidated Subsidiaries and joint ventures, (8) any other non-cash expenses, charges, losses, or infrequent, unusual or extraordinary items reducing net income for such period to the extent such non-cash items do not represent a cash item in any future period, and (9) any transaction costs and similar amounts that would be required to be expensed as a result of the application of FAS No. 141(R) (whether or not applicable thereto),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to the extent included in calculating net income or deficit, the sum of (1) interest income, (2) non-cash dividends and patronage income, (3) equity in earnings from unconsolidated Subsidiaries and joint ventures, and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13" w:name="page114"/>
    <w:bookmarkEnd w:id="113"/>
    <w:p>
      <w:pPr>
        <w:jc w:val="both"/>
        <w:spacing w:after="0" w:line="268" w:lineRule="auto"/>
        <w:rPr>
          <w:sz w:val="20"/>
          <w:szCs w:val="20"/>
          <w:color w:val="auto"/>
        </w:rPr>
      </w:pPr>
      <w:r>
        <w:rPr>
          <w:rFonts w:ascii="Times New Roman" w:cs="Times New Roman" w:eastAsia="Times New Roman" w:hAnsi="Times New Roman"/>
          <w:sz w:val="20"/>
          <w:szCs w:val="20"/>
          <w:color w:val="auto"/>
        </w:rPr>
        <w:t>any aggregate net gains arising from the sale, exchange, or other disposition of fixed assets, investments, securities, intangibles, and spectrum, all measured for the then most recently completed four (4) fiscal quarters.</w:t>
      </w:r>
    </w:p>
    <w:p>
      <w:pPr>
        <w:spacing w:after="0" w:line="15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Sections 11.7(b)(iii)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11.7(b)(v)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11.7(b)(vi)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11.7(b)(iii)</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any and all applicable federal, state, local and foreign Laws, common law, and any consent decrees, permits, licenses, agreements or other restrictions with or of a Governmental Authority relating to: (a) protection of the environment or natural resources from, or emissions, discharges, releases or threatened releases of, any materials, including Hazardous Materials, in the environment including ambient air, surface, water, ground water or land, (b) the generation, handling, use, labeling, disposal, transportation, reclamation and remediation of Hazardous Materials; (c) protection of human health, safety or the environment; and (d) the protection of endangered or threatened species.</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Borrower or any Restricted Subsidiary resulting from or based upon (a) violation of any Environmental Law; (b) the generation, use, handling, transportation, storage, treatment, disposal or permitting or arranging for the disposal of any Hazardous Materials; (c) exposure to any Hazardous Materials;</w:t>
      </w:r>
    </w:p>
    <w:p>
      <w:pPr>
        <w:spacing w:after="0" w:line="1" w:lineRule="exact"/>
        <w:rPr>
          <w:sz w:val="20"/>
          <w:szCs w:val="20"/>
          <w:color w:val="auto"/>
        </w:rPr>
      </w:pPr>
    </w:p>
    <w:p>
      <w:pPr>
        <w:ind w:firstLine="8"/>
        <w:spacing w:after="0" w:line="246" w:lineRule="auto"/>
        <w:tabs>
          <w:tab w:leader="none" w:pos="32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or threatened release of any Hazardous Materials; or (e) any contract, agreement or other consensual arrangement pursuant to which liability is assumed or imposed with respect to any of the foregoing.</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Interests</w:t>
      </w:r>
      <w:r>
        <w:rPr>
          <w:rFonts w:ascii="Times New Roman" w:cs="Times New Roman" w:eastAsia="Times New Roman" w:hAnsi="Times New Roman"/>
          <w:sz w:val="20"/>
          <w:szCs w:val="20"/>
          <w:color w:val="auto"/>
        </w:rPr>
        <w:t>” has the meaning specified in the Security Agreement.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Issuance</w:t>
      </w:r>
      <w:r>
        <w:rPr>
          <w:rFonts w:ascii="Times New Roman" w:cs="Times New Roman" w:eastAsia="Times New Roman" w:hAnsi="Times New Roman"/>
          <w:sz w:val="20"/>
          <w:szCs w:val="20"/>
          <w:color w:val="auto"/>
        </w:rPr>
        <w:t>” means (a) any issuance or sale by the Borrower or any of its Subsidiaries of any Equity Interests, or (b) any equity contribution or capital contribution in respect of any Equity Interests of the Borrower or any of its Subsidiaries, in each case at any time after the Closing Date.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Person, or trade or business (whether or not incorporated) which is a member of a controlled group or under common control with any Loan Party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4" w:name="page115"/>
    <w:bookmarkEnd w:id="114"/>
    <w:p>
      <w:pPr>
        <w:jc w:val="both"/>
        <w:spacing w:after="0" w:line="268" w:lineRule="auto"/>
        <w:rPr>
          <w:sz w:val="20"/>
          <w:szCs w:val="20"/>
          <w:color w:val="auto"/>
        </w:rPr>
      </w:pPr>
      <w:r>
        <w:rPr>
          <w:rFonts w:ascii="Times New Roman" w:cs="Times New Roman" w:eastAsia="Times New Roman" w:hAnsi="Times New Roman"/>
          <w:sz w:val="20"/>
          <w:szCs w:val="20"/>
          <w:color w:val="auto"/>
        </w:rPr>
        <w:t>Sections 414(b) or (c) of the IRC (and Sections 414(m) and (o) of the IRC for purposes of provisions relating to Section 412 of the IRC).</w:t>
      </w:r>
    </w:p>
    <w:p>
      <w:pPr>
        <w:spacing w:after="0" w:line="15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 Event</w:t>
      </w:r>
      <w:r>
        <w:rPr>
          <w:rFonts w:ascii="Times New Roman" w:cs="Times New Roman" w:eastAsia="Times New Roman" w:hAnsi="Times New Roman"/>
          <w:sz w:val="19"/>
          <w:szCs w:val="19"/>
          <w:color w:val="auto"/>
        </w:rPr>
        <w:t>” means with respect to any Loan Party, any ERISA Affiliate or any Pension Plan, the occurrence of any of the following: (A) a Reportable Event; (B) a withdrawal by a substantial employer (as defined in Section 4001(a)(12) of ERISA) subject to Section 4063 of ERISA; (C) a cessation of operations which is treated as a withdrawal under Section 4062(e) of ERISA; (D) a complete or partial withdrawal under Section 4203 or 4205 of ERISA from a Multi-employer Plan;</w:t>
      </w:r>
    </w:p>
    <w:p>
      <w:pPr>
        <w:spacing w:after="0" w:line="1" w:lineRule="exact"/>
        <w:rPr>
          <w:sz w:val="20"/>
          <w:szCs w:val="20"/>
          <w:color w:val="auto"/>
        </w:rPr>
      </w:pPr>
    </w:p>
    <w:p>
      <w:pPr>
        <w:jc w:val="both"/>
        <w:ind w:firstLine="8"/>
        <w:spacing w:after="0"/>
        <w:tabs>
          <w:tab w:leader="none" w:pos="303"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notification that a Pension Plan or a Multiemployer Plan is considered an at-risk plan or a plan in endangered or critical status within the meaning of Sections 430, 431 and 432 of the IRC, or Sections 303, 304 and 305 of ERISA; (F) the filing of a notice of intent to terminate a Pension Plan under 4041 of ERISA; (G) the treatment of an amendment of a Pension Plan as a termination under 4041 of ERISA; (H) the termination of a Multi-employer Plan under Section 4041A of ERISA; (I) the commencement of proceedings by the PBGC to terminate a Pension Plan under 4042 of ERISA; (J) an event or condition which could reasonably be expected to constitute grounds under Section 4042 of ERISA for the termination of, or the appointment of a trustee to administer, a Pension Plan; (K) the imposition of any liability under Title IV of ERISA, other than PBGC premiums due but not delinquent under Section 4007 of ERISA or (L) any transaction that could subject any Loan Party or any ERISA Affiliate to liability under Section 4069 or 4212 of ERISA.</w:t>
      </w:r>
    </w:p>
    <w:p>
      <w:pPr>
        <w:spacing w:after="0" w:line="18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means any of the events described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and referred to therein as an “</w:t>
      </w:r>
      <w:r>
        <w:rPr>
          <w:rFonts w:ascii="Times New Roman" w:cs="Times New Roman" w:eastAsia="Times New Roman" w:hAnsi="Times New Roman"/>
          <w:sz w:val="20"/>
          <w:szCs w:val="20"/>
          <w:b w:val="1"/>
          <w:bCs w:val="1"/>
          <w:color w:val="auto"/>
        </w:rPr>
        <w:t>Event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Accounts</w:t>
      </w:r>
      <w:r>
        <w:rPr>
          <w:rFonts w:ascii="Times New Roman" w:cs="Times New Roman" w:eastAsia="Times New Roman" w:hAnsi="Times New Roman"/>
          <w:sz w:val="20"/>
          <w:szCs w:val="20"/>
          <w:color w:val="auto"/>
        </w:rPr>
        <w:t xml:space="preserve">” means any deposit account of any Loan Party (a) which is used for the sole purpose of making payroll and withholding tax payments related thereto and other employee wage and benefit payments and accrued and unpaid employee compensation payments (including salaries, wages, benefits and expense reimbursements, 401(k) and other retirement plans and employee benefits, including rabbi trusts for deferred compensation and health care benefits), (b) which are zero balance accounts, (c) which is used solely for paying taxes, including sales taxes,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color w:val="auto"/>
        </w:rPr>
        <w:t xml:space="preserve"> (d) </w:t>
      </w:r>
      <w:r>
        <w:rPr>
          <w:rFonts w:ascii="Times New Roman" w:cs="Times New Roman" w:eastAsia="Times New Roman" w:hAnsi="Times New Roman"/>
          <w:sz w:val="20"/>
          <w:szCs w:val="20"/>
          <w:u w:val="single" w:color="auto"/>
          <w:color w:val="0000FF"/>
        </w:rPr>
        <w:t>Funding Program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Deposit Accounts or (e)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which is used as an escrow account or as a fiduciary or trust account for the benefit of an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unaffiliated third party or is otherwise held exclusively for the benefit of an unaffiliated third party (including any account solely holding amounts representing fines, violations, fees and similar amounts paid by third parties and owed to municipalities).</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Subsidiary</w:t>
      </w:r>
      <w:r>
        <w:rPr>
          <w:rFonts w:ascii="Times New Roman" w:cs="Times New Roman" w:eastAsia="Times New Roman" w:hAnsi="Times New Roman"/>
          <w:sz w:val="19"/>
          <w:szCs w:val="19"/>
          <w:color w:val="auto"/>
        </w:rPr>
        <w:t>” means any Restricted Subsidiary (A) that is an Immaterial Subsidiary, (B) with respect to which the Administrative Agent and the Borrower mutually agree in writing that the burden or cost or other tax consequences (including any material adverse tax consequences) of becoming a Guarantor shall be excessive in view of the benefits obtained by the Lenders therefrom (for the avoidance of doubt, no such Subsidiaries have been designated as such as of the Closing Date), (C) that is a Specified CFC (other than a Material Foreign Subsidiary), (D) that is a Domestic Foreign Holdco, (E) that is a Domestic Subsidiary of a Specified CFC, (F) that is a Stimulus Recipient Subsidiary, (G) CAH Holdco and the CAH Holdco Subsidiaries, and (H) each of Sacred Wind Communications, Inc. and SW DinehNet, LLC.</w:t>
      </w:r>
    </w:p>
    <w:p>
      <w:pPr>
        <w:spacing w:after="0" w:line="16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Swap Obligation</w:t>
      </w:r>
      <w:r>
        <w:rPr>
          <w:rFonts w:ascii="Times New Roman" w:cs="Times New Roman" w:eastAsia="Times New Roman" w:hAnsi="Times New Roman"/>
          <w:sz w:val="20"/>
          <w:szCs w:val="20"/>
          <w:color w:val="auto"/>
        </w:rPr>
        <w:t>” means, with respect to any Loan Party providing a Guaranty of or granting a security interest to secure any Swap Obligation of another Loan Party, if, and to the extent that, all or a portion of the Guaranty of such Loan Party of, or the grant by such Loan Party of a security interest to secure, such Swap Obligation (or any Guaranty thereof) is or becomes illegal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5" w:name="page116"/>
    <w:bookmarkEnd w:id="115"/>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Commodity Exchange Act or any rule, regulation or order of the Commodity Futures Trading Commission (or the application or official interpretation of any thereof) by virtue of such Loan Party’s failure for any reason not to constitute an “eligible contract participant” as defined in the Commodity Exchange Act (determined after giving effect to </w:t>
      </w:r>
      <w:r>
        <w:rPr>
          <w:rFonts w:ascii="Times New Roman" w:cs="Times New Roman" w:eastAsia="Times New Roman" w:hAnsi="Times New Roman"/>
          <w:sz w:val="19"/>
          <w:szCs w:val="19"/>
          <w:u w:val="single" w:color="auto"/>
          <w:color w:val="auto"/>
        </w:rPr>
        <w:t>Section 11.16</w:t>
      </w:r>
      <w:r>
        <w:rPr>
          <w:rFonts w:ascii="Times New Roman" w:cs="Times New Roman" w:eastAsia="Times New Roman" w:hAnsi="Times New Roman"/>
          <w:sz w:val="19"/>
          <w:szCs w:val="19"/>
          <w:color w:val="auto"/>
        </w:rPr>
        <w:t xml:space="preserve"> and any other “keepwell, support or other agreements” for the benefit of such Guarantor) at the time the Guaranty of, or the grant of such security interest by, such Loan Party becomes effective with respect to such related Swap Obligation. If a Swap Obligation arises under a master agreement governing more than one swap, such exclusion shall apply only to the portion of such Swap Obligation that is attributable to swaps for which such Guaranty or grant of security interest is or becomes illegal.</w:t>
      </w:r>
    </w:p>
    <w:p>
      <w:pPr>
        <w:spacing w:after="0" w:line="16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(x) such Lender acquires such interest in such Loan or Commitment (other than pursuant to an assignment request by the Borrower under </w:t>
      </w:r>
      <w:r>
        <w:rPr>
          <w:rFonts w:ascii="Times New Roman" w:cs="Times New Roman" w:eastAsia="Times New Roman" w:hAnsi="Times New Roman"/>
          <w:sz w:val="20"/>
          <w:szCs w:val="20"/>
          <w:u w:val="single" w:color="auto"/>
          <w:color w:val="auto"/>
        </w:rPr>
        <w:t>Section 3.6(b)</w:t>
      </w:r>
      <w:r>
        <w:rPr>
          <w:rFonts w:ascii="Times New Roman" w:cs="Times New Roman" w:eastAsia="Times New Roman" w:hAnsi="Times New Roman"/>
          <w:sz w:val="20"/>
          <w:szCs w:val="20"/>
          <w:color w:val="auto"/>
        </w:rPr>
        <w:t xml:space="preserve">) or (y)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3.2(g)</w:t>
      </w:r>
      <w:r>
        <w:rPr>
          <w:rFonts w:ascii="Times New Roman" w:cs="Times New Roman" w:eastAsia="Times New Roman" w:hAnsi="Times New Roman"/>
          <w:sz w:val="20"/>
          <w:szCs w:val="20"/>
          <w:color w:val="auto"/>
        </w:rPr>
        <w:t xml:space="preserve"> and (d) any U.S. federal withholding Taxes imposed under FATCA.</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means that certain Fourth Amended and Restated Credit Agreement dated as of December 19, 2014, among the Borrower, CoBank, as administrative agent, the other loan parties party thereto, and the other lenders party thereto, as amended, restated or otherwise modified prior to the Closing Date.</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Facilities</w:t>
      </w:r>
      <w:r>
        <w:rPr>
          <w:rFonts w:ascii="Times New Roman" w:cs="Times New Roman" w:eastAsia="Times New Roman" w:hAnsi="Times New Roman"/>
          <w:sz w:val="20"/>
          <w:szCs w:val="20"/>
          <w:color w:val="auto"/>
        </w:rPr>
        <w:t>” means, as of any day, collectively, then-existing Revolving Credit Facilities, and Term Loan Facilities.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Maturity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 means, collectively, any Revolving Credit Facility, any Term Loan Facility, the Swing Line Facility and the Letter of Credit Facility.</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Farm Credit Lender</w:t>
      </w:r>
      <w:r>
        <w:rPr>
          <w:rFonts w:ascii="Times New Roman" w:cs="Times New Roman" w:eastAsia="Times New Roman" w:hAnsi="Times New Roman"/>
          <w:sz w:val="20"/>
          <w:szCs w:val="20"/>
          <w:color w:val="auto"/>
        </w:rPr>
        <w:t>” means a federally-chartered Farm Credit System lending institution organized under the Farm Credit Act of 1971.</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6" w:name="page117"/>
    <w:bookmarkEnd w:id="116"/>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FCC</w:t>
      </w:r>
      <w:r>
        <w:rPr>
          <w:rFonts w:ascii="Times New Roman" w:cs="Times New Roman" w:eastAsia="Times New Roman" w:hAnsi="Times New Roman"/>
          <w:sz w:val="20"/>
          <w:szCs w:val="20"/>
          <w:color w:val="auto"/>
        </w:rPr>
        <w:t>” means the Federal Communications Commission or any Governmental Authority succeeding to any of its principal functions.</w:t>
      </w:r>
    </w:p>
    <w:p>
      <w:pPr>
        <w:spacing w:after="0" w:line="15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Effective Rate</w:t>
      </w:r>
      <w:r>
        <w:rPr>
          <w:rFonts w:ascii="Times New Roman" w:cs="Times New Roman" w:eastAsia="Times New Roman" w:hAnsi="Times New Roman"/>
          <w:sz w:val="20"/>
          <w:szCs w:val="20"/>
          <w:color w:val="auto"/>
        </w:rPr>
        <w:t>” means, for any day, the greater of (a) the rate of interest per annum (rounded upward, if necessary, to the nearest whole multiple of 1/100th of 1%) equal to the weighted average of the rates on overnight federal funds transactions with members of the Federal Reserve System, as published by the Federal Reserve Bank of New York on such date, or if no such rate is so published on such day, on the most recent day preceding such day on which such rate is so published and (b) 0%.</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means that certain fee letter dated as of May 23, 2023, between the Borrower and the Administrative Agent, together with any other fee letters entered into between the Borrower and the Administrative Agent from time to time in connection with any Incremental Facility.</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First Amendment Agreement</w:t>
      </w:r>
      <w:r>
        <w:rPr>
          <w:rFonts w:ascii="Times New Roman" w:cs="Times New Roman" w:eastAsia="Times New Roman" w:hAnsi="Times New Roman"/>
          <w:sz w:val="20"/>
          <w:szCs w:val="20"/>
          <w:u w:val="single" w:color="auto"/>
          <w:color w:val="0000FF"/>
        </w:rPr>
        <w:t>” means that certain Joinder and First Amendment Agreement and Reaffirmation Agreement, dated as of the First Amendment Date, among the Loan Parties, the Lenders party thereto and the Administrative Agent.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First Amendment Date</w:t>
      </w:r>
      <w:r>
        <w:rPr>
          <w:rFonts w:ascii="Times New Roman" w:cs="Times New Roman" w:eastAsia="Times New Roman" w:hAnsi="Times New Roman"/>
          <w:sz w:val="20"/>
          <w:szCs w:val="20"/>
          <w:u w:val="single" w:color="auto"/>
          <w:color w:val="0000FF"/>
        </w:rPr>
        <w:t>” means July 10, 2024.</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Flood Laws</w:t>
      </w:r>
      <w:r>
        <w:rPr>
          <w:rFonts w:ascii="Times New Roman" w:cs="Times New Roman" w:eastAsia="Times New Roman" w:hAnsi="Times New Roman"/>
          <w:sz w:val="20"/>
          <w:szCs w:val="20"/>
          <w:color w:val="auto"/>
        </w:rPr>
        <w:t>” means, collectively, (a) the National Flood Insurance Act of 1968, (b) the Flood Disaster Protection Act of 1973, (c) the National Flood Insurance Reform Act of 1994 and (d) the Flood Insurance Reform Act of 2004, and all other applicable Laws related thereto.</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a rate of interest equal to 0.00%.</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a resident or organized under the Laws of a jurisdiction other than that in which the applicable Borrower is resident for tax purposes. For purposes of this definition, the United States of America, each State thereof and the District of Columbia shall be deemed to constitute a single jurisdiction.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“Foreign Restricted Subsidiary” </w:t>
      </w:r>
      <w:r>
        <w:rPr>
          <w:rFonts w:ascii="Times New Roman" w:cs="Times New Roman" w:eastAsia="Times New Roman" w:hAnsi="Times New Roman"/>
          <w:sz w:val="20"/>
          <w:szCs w:val="20"/>
          <w:color w:val="auto"/>
        </w:rPr>
        <w:t>means any Restricted Subsidiary that is a Foreign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Subsidiary</w:t>
      </w:r>
      <w:r>
        <w:rPr>
          <w:rFonts w:ascii="Times New Roman" w:cs="Times New Roman" w:eastAsia="Times New Roman" w:hAnsi="Times New Roman"/>
          <w:sz w:val="20"/>
          <w:szCs w:val="20"/>
          <w:color w:val="auto"/>
        </w:rPr>
        <w:t>” means any Subsidiary of the Borrower that is not a Domestic Subsidiary.</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Fronting Exposure</w:t>
      </w:r>
      <w:r>
        <w:rPr>
          <w:rFonts w:ascii="Times New Roman" w:cs="Times New Roman" w:eastAsia="Times New Roman" w:hAnsi="Times New Roman"/>
          <w:sz w:val="20"/>
          <w:szCs w:val="20"/>
          <w:color w:val="auto"/>
        </w:rPr>
        <w:t>” means, at any time there is a Defaulting Lender, (a) with respect to the Issuing Lender, such Defaulting Lender’s Pro Rata Share of the outstanding Letter of Credit Obligations with respect to Letters of Credit issued by the Issuing Lender other than Letter of Credit Obligations as to which such Defaulting Lender’s participation obligation has been reallocated to other Lenders or Cash Collateralized in accordance with the terms hereof, and (b) with respect to the Swing Line Lender, such Defaulting Lender’s Pro Rata Share of outstanding Swing Line Loans made by the Swing Line Lender other than Swing Line Loans as to which such Defaulting Lender’s participation obligation has been reallocated to other Lenders.</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17" w:name="page118"/>
    <w:bookmarkEnd w:id="117"/>
    <w:p>
      <w:pPr>
        <w:jc w:val="both"/>
        <w:ind w:right="20" w:firstLine="648"/>
        <w:spacing w:after="0" w:line="255" w:lineRule="auto"/>
        <w:rPr>
          <w:sz w:val="20"/>
          <w:szCs w:val="20"/>
          <w:color w:val="auto"/>
        </w:rPr>
      </w:pPr>
      <w:r>
        <w:rPr>
          <w:rFonts w:ascii="Times New Roman" w:cs="Times New Roman" w:eastAsia="Times New Roman" w:hAnsi="Times New Roman"/>
          <w:sz w:val="20"/>
          <w:szCs w:val="20"/>
          <w:b w:val="1"/>
          <w:bCs w:val="1"/>
          <w:u w:val="single" w:color="auto"/>
          <w:color w:val="0000FF"/>
        </w:rPr>
        <w:t>“Funding Agency</w:t>
      </w:r>
      <w:r>
        <w:rPr>
          <w:rFonts w:ascii="Times New Roman" w:cs="Times New Roman" w:eastAsia="Times New Roman" w:hAnsi="Times New Roman"/>
          <w:sz w:val="20"/>
          <w:szCs w:val="20"/>
          <w:u w:val="single" w:color="auto"/>
          <w:color w:val="0000FF"/>
        </w:rPr>
        <w:t>” means USAC, USDA, National Telecommunications and Information Administration (NTIA),</w:t>
      </w:r>
      <w:r>
        <w:rPr>
          <w:rFonts w:ascii="Times New Roman" w:cs="Times New Roman" w:eastAsia="Times New Roman" w:hAnsi="Times New Roman"/>
          <w:sz w:val="20"/>
          <w:szCs w:val="20"/>
          <w:b w:val="1"/>
          <w:bCs w:val="1"/>
          <w:u w:val="single" w:color="auto"/>
          <w:color w:val="0000FF"/>
        </w:rPr>
        <w:t xml:space="preserve"> </w:t>
      </w:r>
      <w:r>
        <w:rPr>
          <w:rFonts w:ascii="Times New Roman" w:cs="Times New Roman" w:eastAsia="Times New Roman" w:hAnsi="Times New Roman"/>
          <w:sz w:val="20"/>
          <w:szCs w:val="20"/>
          <w:u w:val="single" w:color="auto"/>
          <w:color w:val="0000FF"/>
        </w:rPr>
        <w:t>RUS, any comparable federal, state, local or municipal funding agency or any successor agency or organization of any of the foregoing.</w:t>
      </w:r>
    </w:p>
    <w:p>
      <w:pPr>
        <w:spacing w:after="0" w:line="17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Funding Program</w:t>
      </w:r>
      <w:r>
        <w:rPr>
          <w:rFonts w:ascii="Times New Roman" w:cs="Times New Roman" w:eastAsia="Times New Roman" w:hAnsi="Times New Roman"/>
          <w:sz w:val="20"/>
          <w:szCs w:val="20"/>
          <w:u w:val="single" w:color="auto"/>
          <w:color w:val="0000FF"/>
        </w:rPr>
        <w:t>” means any federal, state, local, or municipal grant, subsidy or support program or similar program or arrangement entered into with a Governmental Authority and/or Funding Agency and any Loan Party or Restricted Subsidiary. The definition of “Funding Program” shall not include any loan or grant/loan combination program. A Funding Program shall not qualify as a loan or grant/loan combination program if repayment is only required when (i) the funds are not used by such Loan Party or Restricted Subsidiary within a required timeframe, or (ii) the applicable Loan Party or Restricted Subsidiary is not compliant with the terms and conditions of such program or agreement executed with a Funding Agency in connection with the Funding Program. Any Funding Program constituting award funds or grant money in excess of $10,000,000.00 entered into on or after the First Amendment Date must be on terms and conditions reasonably acceptable to the Administrative Agent.</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Funding Program Agreement</w:t>
      </w:r>
      <w:r>
        <w:rPr>
          <w:rFonts w:ascii="Times New Roman" w:cs="Times New Roman" w:eastAsia="Times New Roman" w:hAnsi="Times New Roman"/>
          <w:sz w:val="20"/>
          <w:szCs w:val="20"/>
          <w:u w:val="single" w:color="auto"/>
          <w:color w:val="0000FF"/>
        </w:rPr>
        <w:t>” means any grant agreement, security agreement, guarantee agreement, or similar agreement and all other agreements, documents and instruments referred to in such agreements or otherwise evidencing or pertaining to or executed in connection with a Funding Program. For the avoidance of doubt, and without limitation on what other agreements may qualify as Funding Program Agreements, the following agreements shall be deemed to be Funding Program Agreements: (a) that certain ReConnect Program Grant and Security Agreement, dated as of February 22, 2021, by and between SWC Telesolutions, Inc. and the United States of America, acting through the Administrator of the Rural Utilities Service, and (b) the letter agreement dated July 7, 2023, by and between Andrew Burke, Administrator, Rural Utility Service, and Nectarios Nicolaou, Senior Vice President and General Manager of SWC Telesolutions, Inc. and the agreement to be executed between the United States of America, acting through the Administrator of the Rural Utilities Service and SWC Telesolutions, Inc. in connection with the grant approved in such letter agreement, such agreement to be substantially in the form previously provided to the Administrative Agent.</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Funding Program Assets</w:t>
      </w:r>
      <w:r>
        <w:rPr>
          <w:rFonts w:ascii="Times New Roman" w:cs="Times New Roman" w:eastAsia="Times New Roman" w:hAnsi="Times New Roman"/>
          <w:sz w:val="20"/>
          <w:szCs w:val="20"/>
          <w:u w:val="single" w:color="auto"/>
          <w:color w:val="0000FF"/>
        </w:rPr>
        <w:t>” means Funding Program In-kind Assets, Funding Program Cash Assets and any property of any Loan Party or Restricted Subsidiary now or hereafter purchased with any Funding Program Award Funds or Funding Program Matching Funds pursuant to a Funding Program, together with any proceeds from the sale or other disposition of such property.</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Funding Program Award Funds</w:t>
      </w:r>
      <w:r>
        <w:rPr>
          <w:rFonts w:ascii="Times New Roman" w:cs="Times New Roman" w:eastAsia="Times New Roman" w:hAnsi="Times New Roman"/>
          <w:sz w:val="20"/>
          <w:szCs w:val="20"/>
          <w:u w:val="single" w:color="auto"/>
          <w:color w:val="0000FF"/>
        </w:rPr>
        <w:t>” means the award funds or grant money provided to any Loan Party or Restricted Subsidiary by a Funding Agency under a Funding Program.</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Funding Program Cash Assets</w:t>
      </w:r>
      <w:r>
        <w:rPr>
          <w:rFonts w:ascii="Times New Roman" w:cs="Times New Roman" w:eastAsia="Times New Roman" w:hAnsi="Times New Roman"/>
          <w:sz w:val="20"/>
          <w:szCs w:val="20"/>
          <w:u w:val="single" w:color="auto"/>
          <w:color w:val="0000FF"/>
        </w:rPr>
        <w:t>” means, with respect to a Funding Program, any cash earmarked by a Loan Party or Restricted Subsidiary to constitute part (or all) of the satisfaction of a matching fund obligation imposed under the rules of a Funding Program, the fair market value of which, together with any Funding Program In-kind Assets, is not to exceed $20,000,000.00 in the aggregate (to be calculated in accordance with the Funding Program documents, if applicable).</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Funding Program Deposit Account</w:t>
      </w:r>
      <w:r>
        <w:rPr>
          <w:rFonts w:ascii="Times New Roman" w:cs="Times New Roman" w:eastAsia="Times New Roman" w:hAnsi="Times New Roman"/>
          <w:sz w:val="20"/>
          <w:szCs w:val="20"/>
          <w:u w:val="single" w:color="auto"/>
          <w:color w:val="0000FF"/>
        </w:rPr>
        <w:t>” means, with respect to any Funding Program, any deposit account (i) required to be pledged to the applicable Funding Agency in connection with such Funding Program or (ii) prohibited from being pledged to a lender other than a Funding Agency in connection with such Funding Program, and in which account the amounts on deposit consist solely of (a) the proceeds of such Funding Program and (b) Funding Program Matching Funds.</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Funding Program In-kind Assets</w:t>
      </w:r>
      <w:r>
        <w:rPr>
          <w:rFonts w:ascii="Times New Roman" w:cs="Times New Roman" w:eastAsia="Times New Roman" w:hAnsi="Times New Roman"/>
          <w:sz w:val="20"/>
          <w:szCs w:val="20"/>
          <w:u w:val="single" w:color="auto"/>
          <w:color w:val="0000FF"/>
        </w:rPr>
        <w:t>” means, with respect to a Funding Program, any property (other than cash) earmarked by a Loan Party or Restricted Subsidiary to constitute part (or all)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18" w:name="page119"/>
    <w:bookmarkEnd w:id="118"/>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0000FF"/>
        </w:rPr>
        <w:t>satisfaction of a matching fund obligation imposed under the rules of such Funding Program, the fair market value of which, together with any Funding Program Cash Assets, is not to exceed $20,000,000.00 in the aggregate (to be calculated in accordance with the Funding Program documents, if applicable), if, under such rules, such property, or the proceeds from the sale of such property, may not be pledged as security for indebtedness outside of the Funding Program or is subject to a lien in favor of the Funding Agency in connection with the Funding Program.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u w:val="single" w:color="auto"/>
          <w:color w:val="0000FF"/>
        </w:rPr>
        <w:t>Funding Program Matching Funds</w:t>
      </w:r>
      <w:r>
        <w:rPr>
          <w:rFonts w:ascii="Times New Roman" w:cs="Times New Roman" w:eastAsia="Times New Roman" w:hAnsi="Times New Roman"/>
          <w:sz w:val="20"/>
          <w:szCs w:val="20"/>
          <w:u w:val="single" w:color="auto"/>
          <w:color w:val="0000FF"/>
        </w:rPr>
        <w:t>” means (i) the funds or grant money deposited from time to time in a Funding Program Deposit Account to the extent required pursuant to a Funding Program, (ii) Funding Program In-kind Assets and (iii) any Funding Program Cash Assets.</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means generally accepted accounting principles as are in effect from time to time, subject to the provisions of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and applied on a consistent basis both as to classification of items and amounts.</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including the FCC, any applicable PUC, NTIA and RUS.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GTT</w:t>
      </w:r>
      <w:r>
        <w:rPr>
          <w:rFonts w:ascii="Times New Roman" w:cs="Times New Roman" w:eastAsia="Times New Roman" w:hAnsi="Times New Roman"/>
          <w:sz w:val="20"/>
          <w:szCs w:val="20"/>
          <w:color w:val="auto"/>
        </w:rPr>
        <w:t>” means Guyana Telephone and Telegraph Company Limited, a Guyana entity.</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Liabilities</w:t>
      </w:r>
      <w:r>
        <w:rPr>
          <w:rFonts w:ascii="Times New Roman" w:cs="Times New Roman" w:eastAsia="Times New Roman" w:hAnsi="Times New Roman"/>
          <w:sz w:val="20"/>
          <w:szCs w:val="20"/>
          <w:color w:val="auto"/>
        </w:rPr>
        <w:t>” means (a) the prompt Payment In Full, when due or declared due and at all such times, of all Secured Obligations and all other amounts pursuant to the terms of this Agreement, the Notes, and all other Loan Documents heretofore, now or at any time or times hereafter owing, arising, due or payable from the Borrower or any other Loan Party to any one or more of the Secured Parties, including principal, interest, premiums and fees (including all reasonable fees and expenses of counsel); (b) the prompt, full and faithful performance, observance and discharge of each and every agreement, undertaking, covenant and provision to be performed, observed or discharged by the Borrower and each other Loan Party under this Agreement, the Notes and all other Loan Documents to which it is a party; and (c) the prompt Payment In Full by the Borrower and each other Loan Party, when due or declared due and at all such times, of obligations and liabilities now or hereafter arising with respect to any Secured Bank Product or Secured Hedge. Notwithstanding the foregoing, the “Guaranteed Liabilities”, with respect to any Loan Party providing a Guaranty, shall not include the Excluded Swap Obligations.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means each of the parties to this Agreement that is designated as a “</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on the signature page hereof and each other Person that joins this Agreement as a Guarantor after the Closing Date pursuant to a Joinder Agreement.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Guarantors’ Obligations</w:t>
      </w:r>
      <w:r>
        <w:rPr>
          <w:rFonts w:ascii="Times New Roman" w:cs="Times New Roman" w:eastAsia="Times New Roman" w:hAnsi="Times New Roman"/>
          <w:sz w:val="20"/>
          <w:szCs w:val="20"/>
          <w:color w:val="auto"/>
        </w:rPr>
        <w:t xml:space="preserve">” means the obligations of the Guarantors to the Secured Parties under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means, with respect to any Person, without duplication, any obligation, contingent or otherwise, of such Person pursuant to which such Person has directly or indirectly guaranteed or had the economic effect of guaranteeing any Indebtedness or other obligation or liability of any other Person and, without limiting the generality of the foregoing, any obligation, direct or indirect, contingent or otherwise, of any such Person (a) to purchase or pay (or advance or supply funds for the purchase or payment of) such Indebtedness or other obligation or liability (whether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9" w:name="page120"/>
    <w:bookmarkEnd w:id="119"/>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by virtue of partnership arrangements, by agreement to keep well, to purchase assets, goods, securities or services, to take-or-pay, or to maintain financial statement condition or otherwise), (b) to purchase or lease property or services for the purpose of assuring another Person’s payment or performance of any Indebtedness or other obligations or liabilities, (c) to maintain the working capital of such Person to permit such Person to pay such Indebtedness or other obligations or liabilities or (d) entered into for the purpose of assuring in any other manner the obligee of such Indebtedness or other obligation or liability of the payment thereof or to protect such obligee against loss in respect thereof (in whole or in part);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 Guaranty/Guarantee shall not include (i) endorsements for collection or deposit in the ordinary course of business or (ii) any guarantee of real property or operating leases. Unless otherwise specified, the amount of any Guaranty shall be deemed to be the lesser of the principal amount of the Indebtedness or other obligations or liabilities guaranteed and still outstanding and the maximum amount for which the guaranteeing Person may be liable pursuant to the terms of the instrument embodying such Guaranty.</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 any explosive or radioactive substances, materials or wastes, (b) any hazardous or toxic substances, materials or wastes, defined or regulated as such in or under, or that could reasonably be expected to give rise to liability due to its hazardous or toxic characteristics under, any applicable Environmental Law, including, asbestos or asbestos containing materials, infectious or medical waste, polychlorinated biphenyls, radon gas, urea-formaldehyde insulation, gasoline or petroleum (including crude oil or any fraction thereof) or petroleum products and (c) all other substances, materials or wastes, which, due to their explosive, radioactive, hazardous or toxic nature, are regulated under or with respect to which liability or standards of conduct are imposed pursuant to any Environmental Law.</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Agreement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Bank</w:t>
      </w:r>
      <w:r>
        <w:rPr>
          <w:rFonts w:ascii="Times New Roman" w:cs="Times New Roman" w:eastAsia="Times New Roman" w:hAnsi="Times New Roman"/>
          <w:sz w:val="20"/>
          <w:szCs w:val="20"/>
          <w:color w:val="auto"/>
        </w:rPr>
        <w:t>” means any Person that, at the time it enters into a Hedge Agreement with a Loan Party for an Interest Rate Hedge with respect to interest on the Obligations, is a Lender, an Affiliate of a Lender, the Administrative Agent or an Affiliate of the Administrative Agent.</w:t>
      </w:r>
    </w:p>
    <w:p>
      <w:pPr>
        <w:spacing w:after="0" w:line="16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Termination Value</w:t>
      </w:r>
      <w:r>
        <w:rPr>
          <w:rFonts w:ascii="Times New Roman" w:cs="Times New Roman" w:eastAsia="Times New Roman" w:hAnsi="Times New Roman"/>
          <w:sz w:val="20"/>
          <w:szCs w:val="20"/>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0" w:name="page121"/>
    <w:bookmarkEnd w:id="120"/>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Immaterial Subsidiary</w:t>
      </w:r>
      <w:r>
        <w:rPr>
          <w:rFonts w:ascii="Times New Roman" w:cs="Times New Roman" w:eastAsia="Times New Roman" w:hAnsi="Times New Roman"/>
          <w:sz w:val="20"/>
          <w:szCs w:val="20"/>
          <w:color w:val="auto"/>
        </w:rPr>
        <w:t>” means, any direct or indirect Restricted Subsidiary of the Borrower that, as of the last day of the Test Period, had revenues and total assets for the fiscal quarter ended on such last day in an amount less than 5.0% of the aggregate revenues and total assets of the Borrower and its Restricted Subsidiaries for such quarter, and that is designated by the Borrower as an Immaterial Subsidiary; provided that (x) in no event shall all Immaterial Subsidiaries collectively account for more than 10.0% of the aggregate revenues and total assets of the Borrower and its Restricted Subsidiaries in any Test Period, and (y) no Immaterial Subsidiary shall hold any Material Intellectual Property or Material License.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Amendment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Commitments</w:t>
      </w:r>
      <w:r>
        <w:rPr>
          <w:rFonts w:ascii="Times New Roman" w:cs="Times New Roman" w:eastAsia="Times New Roman" w:hAnsi="Times New Roman"/>
          <w:sz w:val="20"/>
          <w:szCs w:val="20"/>
          <w:color w:val="auto"/>
        </w:rPr>
        <w:t>” means, collectively, all Incremental Term Loan Commitments and all Incremental Revolving Commitments and “</w:t>
      </w:r>
      <w:r>
        <w:rPr>
          <w:rFonts w:ascii="Times New Roman" w:cs="Times New Roman" w:eastAsia="Times New Roman" w:hAnsi="Times New Roman"/>
          <w:sz w:val="20"/>
          <w:szCs w:val="20"/>
          <w:b w:val="1"/>
          <w:bCs w:val="1"/>
          <w:color w:val="auto"/>
        </w:rPr>
        <w:t>Incremental Commitment</w:t>
      </w:r>
      <w:r>
        <w:rPr>
          <w:rFonts w:ascii="Times New Roman" w:cs="Times New Roman" w:eastAsia="Times New Roman" w:hAnsi="Times New Roman"/>
          <w:sz w:val="20"/>
          <w:szCs w:val="20"/>
          <w:color w:val="auto"/>
        </w:rPr>
        <w:t>” means any such commitment individually.</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Facility</w:t>
      </w:r>
      <w:r>
        <w:rPr>
          <w:rFonts w:ascii="Times New Roman" w:cs="Times New Roman" w:eastAsia="Times New Roman" w:hAnsi="Times New Roman"/>
          <w:sz w:val="20"/>
          <w:szCs w:val="20"/>
          <w:color w:val="auto"/>
        </w:rPr>
        <w:t>” means any Incremental Term Loan Facility, any Incremental Revolving Facility, any Term Loan Increase and any Revolving Increase.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Lender</w:t>
      </w:r>
      <w:r>
        <w:rPr>
          <w:rFonts w:ascii="Times New Roman" w:cs="Times New Roman" w:eastAsia="Times New Roman" w:hAnsi="Times New Roman"/>
          <w:sz w:val="20"/>
          <w:szCs w:val="20"/>
          <w:color w:val="auto"/>
        </w:rPr>
        <w:t>” means each Incremental Term Lender and Incremental Revolving Lender.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Loan</w:t>
      </w:r>
      <w:r>
        <w:rPr>
          <w:rFonts w:ascii="Times New Roman" w:cs="Times New Roman" w:eastAsia="Times New Roman" w:hAnsi="Times New Roman"/>
          <w:sz w:val="20"/>
          <w:szCs w:val="20"/>
          <w:color w:val="auto"/>
        </w:rPr>
        <w:t>” means any incremental loan funded pursuant to any Incremental Commitment.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Request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and in a form acceptable to the Administrative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Commitment</w:t>
      </w:r>
      <w:r>
        <w:rPr>
          <w:rFonts w:ascii="Times New Roman" w:cs="Times New Roman" w:eastAsia="Times New Roman" w:hAnsi="Times New Roman"/>
          <w:sz w:val="20"/>
          <w:szCs w:val="20"/>
          <w:color w:val="auto"/>
        </w:rPr>
        <w:t xml:space="preserve">” means, with respect to any Lender at any time, the obligation of such Lender to (a) make revolving loans and (b) acquire participations in Letters of Credit in connection with any Incremental Revolving Facility or any Revolving Increase established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in an aggregate principal amount at any time outstanding not to exceed the amount initially set forth in the applicable Incremental Amendment or in the Assignment and Assumption pursuant to which such Lender becomes party hereto, as such commitment may be reduced from time to time in accordance with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as may be modified from time to time pursuant to a Revolving Increase.</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Lender</w:t>
      </w:r>
      <w:r>
        <w:rPr>
          <w:rFonts w:ascii="Times New Roman" w:cs="Times New Roman" w:eastAsia="Times New Roman" w:hAnsi="Times New Roman"/>
          <w:sz w:val="20"/>
          <w:szCs w:val="20"/>
          <w:color w:val="auto"/>
        </w:rPr>
        <w:t>” means each Lender having an Incremental Revolving Commitment or who has funded or purchased all or a portion of an Incremental Revolving Loan or Incremental Revolving Commitment in accordance with the terms hereof.</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Loan</w:t>
      </w:r>
      <w:r>
        <w:rPr>
          <w:rFonts w:ascii="Times New Roman" w:cs="Times New Roman" w:eastAsia="Times New Roman" w:hAnsi="Times New Roman"/>
          <w:sz w:val="20"/>
          <w:szCs w:val="20"/>
          <w:color w:val="auto"/>
        </w:rPr>
        <w:t>” means any incremental revolving loan funded pursuant to any Incremental Revolving Facility.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Lender</w:t>
      </w:r>
      <w:r>
        <w:rPr>
          <w:rFonts w:ascii="Times New Roman" w:cs="Times New Roman" w:eastAsia="Times New Roman" w:hAnsi="Times New Roman"/>
          <w:sz w:val="20"/>
          <w:szCs w:val="20"/>
          <w:color w:val="auto"/>
        </w:rPr>
        <w:t>” means each Lender having an Incremental Term Loan Commitment or who has funded or purchased all or a portion of an Incremental Term Loan or Incremental Term Loan Commitment in accordance with the terms hereof.</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w:t>
      </w:r>
      <w:r>
        <w:rPr>
          <w:rFonts w:ascii="Times New Roman" w:cs="Times New Roman" w:eastAsia="Times New Roman" w:hAnsi="Times New Roman"/>
          <w:sz w:val="20"/>
          <w:szCs w:val="20"/>
          <w:color w:val="auto"/>
        </w:rPr>
        <w:t>” means any incremental term loan funded pursuant to any Incremental Term Loan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1" w:name="page122"/>
    <w:bookmarkEnd w:id="121"/>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 Commitment</w:t>
      </w:r>
      <w:r>
        <w:rPr>
          <w:rFonts w:ascii="Times New Roman" w:cs="Times New Roman" w:eastAsia="Times New Roman" w:hAnsi="Times New Roman"/>
          <w:sz w:val="20"/>
          <w:szCs w:val="20"/>
          <w:color w:val="auto"/>
        </w:rPr>
        <w:t xml:space="preserve">” means, with respect to each Lender, its obligation to make an incremental term loans in connection with any Incremental Term Loan Facility or any Term Loan Increase established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in an aggregate principal amount not to exceed the amount initial set forth in the applicable Incremental Amendment or in the Assignment and Assumption pursuant to which such Lender becomes party hereto.</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as may be modified from time to time pursuant to a Term Loan Increase.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6" w:lineRule="exact"/>
        <w:rPr>
          <w:sz w:val="20"/>
          <w:szCs w:val="20"/>
          <w:color w:val="auto"/>
        </w:rPr>
      </w:pPr>
    </w:p>
    <w:p>
      <w:pPr>
        <w:ind w:firstLine="1304"/>
        <w:spacing w:after="0" w:line="269" w:lineRule="auto"/>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guaranties, surety bonds and similar instruments, in each case, except to the extent that the same have been fully cash collateralized;</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net obligations of such Person under each Hedge Agreement to which it is a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net obligation under any Hedge Agreement on any date shall be deemed to be the Hedge Termination Value thereof as of such date);</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trade accounts payable in the ordinary course of business and outstanding not more than 90 days after such obligation is due (unless thereafter contested in good faith));</w:t>
      </w:r>
    </w:p>
    <w:p>
      <w:pPr>
        <w:spacing w:after="0" w:line="174" w:lineRule="exact"/>
        <w:rPr>
          <w:rFonts w:ascii="Times New Roman" w:cs="Times New Roman" w:eastAsia="Times New Roman" w:hAnsi="Times New Roman"/>
          <w:sz w:val="20"/>
          <w:szCs w:val="20"/>
          <w:color w:val="auto"/>
        </w:rPr>
      </w:pPr>
    </w:p>
    <w:p>
      <w:pPr>
        <w:jc w:val="both"/>
        <w:ind w:right="20" w:firstLine="1304"/>
        <w:spacing w:after="0" w:line="254" w:lineRule="auto"/>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(excluding prepaid interest thereon) secured by a Lien on property owned or being purchased by such Person (including indebtedness arising under conditional sales or other title retention agreements), whether or not such obligations shall have been assumed by such Person or is limited in recourse;</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under Capital Leases and all its Synthetic Lease Obligations;</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purchase, redeem, retire, defease or otherwise make any payment in respect of any Equity Interest in such Person or any other Person in cash, valued, in the case of a redeemable preferred interest, at the greater of its voluntary or involuntary liquidation preference plus accrued and unpaid dividends; and</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fixed payment obligations of any Person under any Guarantee of such Person in respect of any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foregoing;</w:t>
      </w:r>
    </w:p>
    <w:p>
      <w:pPr>
        <w:spacing w:after="0" w:line="19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notwithstanding anything to the contrary contained herein, (i) the Indebtedness of any Person shall include the Indebtedness of any partnership or joint venture in which such Person is a general partner or a joint venturer, unless such Indebtedness, or the applicable portion thereof, is non-recourse to such Person, (ii) in respect of Indebtedness of another Person secured by a Lien on the assets of the specified Person, if such Indebtedness shall not have been assumed by such Person or is limited in recourse to the assets securing such Lien, the amount of such Indebtedness as of any date of determination will be the lesser of (x) the fair market value of such assets of such Person as of such date (as determined in good faith by the Borrower) and (y) the amount of the applicable portion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2" w:name="page123"/>
    <w:bookmarkEnd w:id="122"/>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Indebtedness of such Person as of such date, (iii) in no event shall any obligations with respect to deferred compensation or the guarantee of operating or real property leases constitute Indebtedness </w:t>
      </w:r>
      <w:r>
        <w:rPr>
          <w:rFonts w:ascii="Times New Roman" w:cs="Times New Roman" w:eastAsia="Times New Roman" w:hAnsi="Times New Roman"/>
          <w:sz w:val="20"/>
          <w:szCs w:val="20"/>
          <w:color w:val="FF0000"/>
        </w:rPr>
        <w:t>and</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(iv) </w:t>
      </w:r>
      <w:r>
        <w:rPr>
          <w:rFonts w:ascii="Times New Roman" w:cs="Times New Roman" w:eastAsia="Times New Roman" w:hAnsi="Times New Roman"/>
          <w:sz w:val="20"/>
          <w:szCs w:val="20"/>
          <w:u w:val="single" w:color="auto"/>
          <w:color w:val="0000FF"/>
        </w:rPr>
        <w:t>obligations with respect to any Funding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Program Agreement or any Funding Program Award Funds shall be deemed excluded from the definition of “Indebtedness”, and (v)</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any Indebtedness with respect to earn-out or similar contingent obligations shall only constitute Indebtedness to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extent that such obligations are finally determined to be due and owing (after giving effect to any dispute or similar mechanics contained in the applicable agreements with respect thereto and the same are required to be booked as a liability on the balance sheet of such Person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3749040</wp:posOffset>
            </wp:positionH>
            <wp:positionV relativeFrom="paragraph">
              <wp:posOffset>-810260</wp:posOffset>
            </wp:positionV>
            <wp:extent cx="2209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0980" cy="8255"/>
                    </a:xfrm>
                    <a:prstGeom prst="rect">
                      <a:avLst/>
                    </a:prstGeom>
                    <a:noFill/>
                  </pic:spPr>
                </pic:pic>
              </a:graphicData>
            </a:graphic>
          </wp:anchor>
        </w:drawing>
      </w:r>
    </w:p>
    <w:p>
      <w:pPr>
        <w:spacing w:after="0" w:line="16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the Borrower or any other Loan Party under any Loan Document and (b) to the extent not otherwise described in the preceding clause (a), Other Taxes.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 Proceeding</w:t>
      </w:r>
      <w:r>
        <w:rPr>
          <w:rFonts w:ascii="Times New Roman" w:cs="Times New Roman" w:eastAsia="Times New Roman" w:hAnsi="Times New Roman"/>
          <w:sz w:val="20"/>
          <w:szCs w:val="20"/>
          <w:color w:val="auto"/>
        </w:rPr>
        <w:t>” means, with respect to any Person, (a) a case, action or proceeding with respect to such Person (i) before any court or any other Governmental Authority under any Debtor Relief Law or other similar law now or hereafter in effect, or (ii) for the appointment of a receiver, liquidator, assignee, custodian, trustee, sequestrator, conservator (or similar official) of such Person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all Copyrights, Domain Names, Patents, Trademarks and IP Licenses, in each case as defined in the Security Agreement.</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Security Agreement</w:t>
      </w:r>
      <w:r>
        <w:rPr>
          <w:rFonts w:ascii="Times New Roman" w:cs="Times New Roman" w:eastAsia="Times New Roman" w:hAnsi="Times New Roman"/>
          <w:sz w:val="20"/>
          <w:szCs w:val="20"/>
          <w:color w:val="auto"/>
        </w:rPr>
        <w:t>” means the Grant of Security Interest in Copyrights and the Grant of Security Interest in Patents and Trademarks, each in substantially the form attached to the Security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Interest Payment Date</w:t>
      </w:r>
      <w:r>
        <w:rPr>
          <w:rFonts w:ascii="Times New Roman" w:cs="Times New Roman" w:eastAsia="Times New Roman" w:hAnsi="Times New Roman"/>
          <w:sz w:val="19"/>
          <w:szCs w:val="19"/>
          <w:color w:val="auto"/>
        </w:rPr>
        <w:t>” means the last day of each calendar quarter after the Closing Date and the Maturity Date.</w:t>
      </w:r>
    </w:p>
    <w:p>
      <w:pPr>
        <w:spacing w:after="0" w:line="22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 the period of time selected by the Borrower in connection with (and to apply to) any election permitted hereunder by the Borrower to have Revolving Loans or Term Loans bear interest under the Term SOFR Rate Option. Subject to the last sentence of this definition, at the Borrower’s election, such period shall be one, three or six months. Such Interest Period shall commence on the effective date of such Term SOFR Rate Loan, which shall be (a) the Borrowing Date if the Borrower is requesting new Loans, or (b) the date of renewal of or conversion to a Term SOFR Rate Loan if the Borrower is renewing or converting an existing Loan. Notwithstanding the second sentence hereof: (i) any Interest Period that would otherwise end on a date that is not a Business Day shall be extended to the next succeeding Business Day unless such Business Day falls in the next calendar month, in which case such Interest Period shall end on the next preceding Business Day, (ii) no Borrower shall select, convert to or renew an Interest Period for any portion of the Loans that would end after the applicable Maturity Date and (iii) if any Interest Period begins on the last Business Day of a month or on a day of a month for which there is no numerically corresponding day in the month in which such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3" w:name="page124"/>
    <w:bookmarkEnd w:id="123"/>
    <w:p>
      <w:pPr>
        <w:jc w:val="both"/>
        <w:spacing w:after="0" w:line="268" w:lineRule="auto"/>
        <w:rPr>
          <w:sz w:val="20"/>
          <w:szCs w:val="20"/>
          <w:color w:val="auto"/>
        </w:rPr>
      </w:pPr>
      <w:r>
        <w:rPr>
          <w:rFonts w:ascii="Times New Roman" w:cs="Times New Roman" w:eastAsia="Times New Roman" w:hAnsi="Times New Roman"/>
          <w:sz w:val="20"/>
          <w:szCs w:val="20"/>
          <w:color w:val="auto"/>
        </w:rPr>
        <w:t>Period is to end, such Interest Period shall be deemed to end on the last Business Day of the final month of such Interest Period.</w:t>
      </w:r>
    </w:p>
    <w:p>
      <w:pPr>
        <w:spacing w:after="0" w:line="15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Rate Hedge</w:t>
      </w:r>
      <w:r>
        <w:rPr>
          <w:rFonts w:ascii="Times New Roman" w:cs="Times New Roman" w:eastAsia="Times New Roman" w:hAnsi="Times New Roman"/>
          <w:sz w:val="20"/>
          <w:szCs w:val="20"/>
          <w:color w:val="auto"/>
        </w:rPr>
        <w:t>” means a Hedge Agreement entered into by the Loan Parties or Restricted Subsidiaries in order to provide protection to, or minimize the impact upon, the Borrower and/or the Restricted Subsidiaries of increasing floating rates of interest applicable to Indebtedness.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Rate Option</w:t>
      </w:r>
      <w:r>
        <w:rPr>
          <w:rFonts w:ascii="Times New Roman" w:cs="Times New Roman" w:eastAsia="Times New Roman" w:hAnsi="Times New Roman"/>
          <w:sz w:val="20"/>
          <w:szCs w:val="20"/>
          <w:color w:val="auto"/>
        </w:rPr>
        <w:t>” means any (a) Base Rate Option or (b) Term SOFR Rate Option.</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 means, with respect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2.11(k)</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Issuing Lender</w:t>
      </w:r>
      <w:r>
        <w:rPr>
          <w:rFonts w:ascii="Times New Roman" w:cs="Times New Roman" w:eastAsia="Times New Roman" w:hAnsi="Times New Roman"/>
          <w:sz w:val="20"/>
          <w:szCs w:val="20"/>
          <w:color w:val="auto"/>
        </w:rPr>
        <w:t>” means CoBank, in its individual capacity as issuer of Letters of Credit hereunder.</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 xml:space="preserve">” means a joinder agreement joining a Person as a Guarantor under the Loan Documents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Landlord Agreement</w:t>
      </w:r>
      <w:r>
        <w:rPr>
          <w:rFonts w:ascii="Times New Roman" w:cs="Times New Roman" w:eastAsia="Times New Roman" w:hAnsi="Times New Roman"/>
          <w:sz w:val="20"/>
          <w:szCs w:val="20"/>
          <w:color w:val="auto"/>
        </w:rPr>
        <w:t>” means any landlord’s waiver or other lien waiver or subordination agreement executed and delivered by a lessor, warehouse operator or other applicable Person with respect to a leased location of any Loan Party to the Administrative Agent for the benefit of the Lenders.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law (including common law), constitution, statute, code, treaty, regulation, rule, ordinance, opinion, release, ruling, order, injunction, writ, decree, bond, judgment, authorization or approval, or award by or settlement agreement with any Governmental Authority applicable to any Person or the properties of any Person, including the Licenses, and, including the Communications Act, any applicable PUC Laws and all Environmental Laws.</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means each of the financial institutions from time to time party hereto as a lender (including the Swing Line Lender and any Additional Incremental Lender) and their respective successors and assigns as permitted hereunder, each of which is referred to herein as a Lender. For the purpose of any Loan Document that provides for the granting of a security interest or other Lien to the Lenders or to the Administrative Agent for the benefit of the Lenders as security for the Obligations, “Lenders” shall include any Affiliate of a Lender to the extent such Affiliate is a Secured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Borrowing</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2.11(c)(iii)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4" w:name="page125"/>
    <w:bookmarkEnd w:id="124"/>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Expiration Date</w:t>
      </w:r>
      <w:r>
        <w:rPr>
          <w:rFonts w:ascii="Times New Roman" w:cs="Times New Roman" w:eastAsia="Times New Roman" w:hAnsi="Times New Roman"/>
          <w:sz w:val="20"/>
          <w:szCs w:val="20"/>
          <w:color w:val="auto"/>
        </w:rPr>
        <w:t>” means the day that occurs thirty (30) days prior to the Maturity Date for the Revolving A-1 Loans.</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Facility</w:t>
      </w:r>
      <w:r>
        <w:rPr>
          <w:rFonts w:ascii="Times New Roman" w:cs="Times New Roman" w:eastAsia="Times New Roman" w:hAnsi="Times New Roman"/>
          <w:sz w:val="20"/>
          <w:szCs w:val="20"/>
          <w:color w:val="auto"/>
        </w:rPr>
        <w:t xml:space="preserve">” means the Letter of Credit facility established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Obligations</w:t>
      </w:r>
      <w:r>
        <w:rPr>
          <w:rFonts w:ascii="Times New Roman" w:cs="Times New Roman" w:eastAsia="Times New Roman" w:hAnsi="Times New Roman"/>
          <w:sz w:val="20"/>
          <w:szCs w:val="20"/>
          <w:color w:val="auto"/>
        </w:rPr>
        <w:t xml:space="preserve">” means, as of any date of determination, (a)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Reimbursement Obligations and Letter of Credit Borrowings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Request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Sublimit</w:t>
      </w:r>
      <w:r>
        <w:rPr>
          <w:rFonts w:ascii="Times New Roman" w:cs="Times New Roman" w:eastAsia="Times New Roman" w:hAnsi="Times New Roman"/>
          <w:sz w:val="20"/>
          <w:szCs w:val="20"/>
          <w:color w:val="auto"/>
        </w:rPr>
        <w:t>” means $25,000,000.</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Licenses</w:t>
      </w:r>
      <w:r>
        <w:rPr>
          <w:rFonts w:ascii="Times New Roman" w:cs="Times New Roman" w:eastAsia="Times New Roman" w:hAnsi="Times New Roman"/>
          <w:sz w:val="20"/>
          <w:szCs w:val="20"/>
          <w:color w:val="auto"/>
        </w:rPr>
        <w:t>” means any cable television franchise or any wireline telephone, cellular telephone, microwave, personal communications, commercial mobile radio service, broadband, undersea cable or other telecommunications or similar license, authorization, registration, certificate, certificate of compliance, waiver, franchise (including cable television and telecommunications franchise), approval, ordinance, right of way, material filing, exemption, order, or permit, or any renewal or extension of any of the foregoing, whether for the acquisition, construction or operation of any Communications System, including the lease of any spectrum (and attendant rights and obligations), or to otherwise provide the services related to any Communications System, granted or issued by the FCC or any applicable PUC or other Governmental Authority.</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any mortgage, deed of trust, pledge, hypothecation, collateral assignment, lien (statutory or otherwise),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Limited Condition Acquisition</w:t>
      </w:r>
      <w:r>
        <w:rPr>
          <w:rFonts w:ascii="Times New Roman" w:cs="Times New Roman" w:eastAsia="Times New Roman" w:hAnsi="Times New Roman"/>
          <w:sz w:val="20"/>
          <w:szCs w:val="20"/>
          <w:color w:val="auto"/>
        </w:rPr>
        <w:t xml:space="preserve">” means any Permitted Acquisition by the Borrower or one or more of the Loan Parties, the consummation of which is not conditioned on the availability of, or on obtaining, third party 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the consummation of any such Permitted Acquisition shall not have occurred on or prior to the date that is three hundred sixty-five (365) days following the execution and effectiveness of the Acquisition Agreement relating thereto (or such longer period agreed to by Administrative Agent in its sole discretion), such Acquisition shall no longer constitute a Limited Condition Acquisition for any purpose without Administrative Agent’s consent.</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xml:space="preserve">” means this Agreement, the Fee Letter, the Collateral Documents, the Solvency Certificates, the Landlord Agreements (if any), the Incremental Requests (if any), the Notes, the Letter of Credit Requests (if any), </w:t>
      </w:r>
      <w:r>
        <w:rPr>
          <w:rFonts w:ascii="Times New Roman" w:cs="Times New Roman" w:eastAsia="Times New Roman" w:hAnsi="Times New Roman"/>
          <w:sz w:val="20"/>
          <w:szCs w:val="20"/>
          <w:u w:val="single" w:color="auto"/>
          <w:color w:val="0000FF"/>
        </w:rPr>
        <w:t>the First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Amendment Agreement,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any Joinder Agreement and any other instruments, certificates or documents delivered in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connection herewith or therewith, all as amended, restated, reaffirmed, reconfirmed, replaced, substituted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Parties</w:t>
      </w:r>
      <w:r>
        <w:rPr>
          <w:rFonts w:ascii="Times New Roman" w:cs="Times New Roman" w:eastAsia="Times New Roman" w:hAnsi="Times New Roman"/>
          <w:sz w:val="20"/>
          <w:szCs w:val="20"/>
          <w:color w:val="auto"/>
        </w:rPr>
        <w:t>” means the Borrower and the Guarantors.</w:t>
      </w:r>
    </w:p>
    <w:p>
      <w:pPr>
        <w:spacing w:after="0" w:line="21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Request</w:t>
      </w:r>
      <w:r>
        <w:rPr>
          <w:rFonts w:ascii="Times New Roman" w:cs="Times New Roman" w:eastAsia="Times New Roman" w:hAnsi="Times New Roman"/>
          <w:sz w:val="20"/>
          <w:szCs w:val="20"/>
          <w:color w:val="auto"/>
        </w:rPr>
        <w:t xml:space="preserve">” means a request for any of a Term Loan, a Revolving Loan or a Swing Line Loan, in each case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Loans</w:t>
      </w:r>
      <w:r>
        <w:rPr>
          <w:rFonts w:ascii="Times New Roman" w:cs="Times New Roman" w:eastAsia="Times New Roman" w:hAnsi="Times New Roman"/>
          <w:sz w:val="20"/>
          <w:szCs w:val="20"/>
          <w:color w:val="auto"/>
        </w:rPr>
        <w:t>” means, collectively, all Revolving Loans, Swing Line Loans, Term Loans or any combination of the foregoing and “</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means the reference to any Revolving Loan, Swing Line Loan or Term Loan.</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Account</w:t>
      </w:r>
      <w:r>
        <w:rPr>
          <w:rFonts w:ascii="Times New Roman" w:cs="Times New Roman" w:eastAsia="Times New Roman" w:hAnsi="Times New Roman"/>
          <w:sz w:val="20"/>
          <w:szCs w:val="20"/>
          <w:color w:val="auto"/>
        </w:rPr>
        <w:t>” means, other than Excluded Accounts, all deposit, securities or other investment accounts in the name of any Loan Party to the extent the average daily balance of any such accounts in the aggregate, determined after giving effect to any daily sweeps thereof (or market value of such accounts), for the most recently completed fiscal quarter (or, if shorter, such period as for which such account has been open), exceeds the greater of (i) $25,000,000 and (ii) 30% of EBITDA of the Borrower and the Restricted Subsidiaries for the Test Period.</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Change</w:t>
      </w:r>
      <w:r>
        <w:rPr>
          <w:rFonts w:ascii="Times New Roman" w:cs="Times New Roman" w:eastAsia="Times New Roman" w:hAnsi="Times New Roman"/>
          <w:sz w:val="20"/>
          <w:szCs w:val="20"/>
          <w:color w:val="auto"/>
        </w:rPr>
        <w:t>” means, (a) as it relates to a Limited Condition Acquisition, a “Material Adverse Change” as defined in the applicable Acquisition Agreement related to such Limited Condition Acquisition, and (b) otherwise, any event, change or condition that, individually or in the aggregate, has had or would reasonably be expected to have a material adverse effect on (i) the business, financial condition, or operations of the Borrower and the Restricted Subsidiaries, taken as a whole, (ii) the ability of the Borrower and the Loan Parties, taken as a whole, to perform their material payment obligations under the Loan Documents, and (iii) the rights and remedies of the Administrative Agent and the Lenders under the Loan Documents, taken as a whole.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Agreement</w:t>
      </w:r>
      <w:r>
        <w:rPr>
          <w:rFonts w:ascii="Times New Roman" w:cs="Times New Roman" w:eastAsia="Times New Roman" w:hAnsi="Times New Roman"/>
          <w:sz w:val="20"/>
          <w:szCs w:val="20"/>
          <w:color w:val="auto"/>
        </w:rPr>
        <w:t>” means any agreement, contract or other instrument to which any Loan Party or any Subsidiary of any Loan Party is a party or that is binding upon any Loan Party or any Subsidiary of any Loan Party or its respective property the revocation, suspension or termination (prior to the stated termination date therefor) of which would reasonably be expected to result in a Material Adverse Change.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Foreign Subsidiary</w:t>
      </w:r>
      <w:r>
        <w:rPr>
          <w:rFonts w:ascii="Times New Roman" w:cs="Times New Roman" w:eastAsia="Times New Roman" w:hAnsi="Times New Roman"/>
          <w:sz w:val="20"/>
          <w:szCs w:val="20"/>
          <w:color w:val="auto"/>
        </w:rPr>
        <w:t>” means a direct Foreign Subsidiary of a Loan Party which, when aggregated with any of its direct or indirect Subsidiaries, contributes more than ten percent (10%) of EBITDA of the Borrower and the Restricted Subsidiaries for any consecutive four-quarter period.</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Intellectual Property</w:t>
      </w:r>
      <w:r>
        <w:rPr>
          <w:rFonts w:ascii="Times New Roman" w:cs="Times New Roman" w:eastAsia="Times New Roman" w:hAnsi="Times New Roman"/>
          <w:sz w:val="20"/>
          <w:szCs w:val="20"/>
          <w:color w:val="auto"/>
        </w:rPr>
        <w:t>” means Intellectual Property that is material to the business of the Borrower and its Subsidiaries, taken as a whole.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License</w:t>
      </w:r>
      <w:r>
        <w:rPr>
          <w:rFonts w:ascii="Times New Roman" w:cs="Times New Roman" w:eastAsia="Times New Roman" w:hAnsi="Times New Roman"/>
          <w:sz w:val="20"/>
          <w:szCs w:val="20"/>
          <w:color w:val="auto"/>
        </w:rPr>
        <w:t>” means any License the loss or absence of such License would reasonably be expected to result in a Material Adverse Change.</w:t>
      </w:r>
    </w:p>
    <w:p>
      <w:pPr>
        <w:spacing w:after="0" w:line="1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Maturity Date</w:t>
      </w:r>
      <w:r>
        <w:rPr>
          <w:rFonts w:ascii="Times New Roman" w:cs="Times New Roman" w:eastAsia="Times New Roman" w:hAnsi="Times New Roman"/>
          <w:sz w:val="19"/>
          <w:szCs w:val="19"/>
          <w:color w:val="auto"/>
        </w:rPr>
        <w:t xml:space="preserve">” means (a) with respect to the Revolving A-1 Credit Facility and the Swing Line Facility, the earlier of (i) the date of acceleration of the Obligations in accordance with </w:t>
      </w:r>
      <w:r>
        <w:rPr>
          <w:rFonts w:ascii="Times New Roman" w:cs="Times New Roman" w:eastAsia="Times New Roman" w:hAnsi="Times New Roman"/>
          <w:sz w:val="19"/>
          <w:szCs w:val="19"/>
          <w:u w:val="single" w:color="auto"/>
          <w:color w:val="auto"/>
        </w:rPr>
        <w:t>Section 9.2</w:t>
      </w:r>
      <w:r>
        <w:rPr>
          <w:rFonts w:ascii="Times New Roman" w:cs="Times New Roman" w:eastAsia="Times New Roman" w:hAnsi="Times New Roman"/>
          <w:sz w:val="19"/>
          <w:szCs w:val="19"/>
          <w:color w:val="auto"/>
        </w:rPr>
        <w:t xml:space="preserve"> and (ii) July 13, 2028, (b) with respect to the Term A-1 Loan Facility, the earlier of (i) the date of acceleration of the Obligations in accordance with </w:t>
      </w:r>
      <w:r>
        <w:rPr>
          <w:rFonts w:ascii="Times New Roman" w:cs="Times New Roman" w:eastAsia="Times New Roman" w:hAnsi="Times New Roman"/>
          <w:sz w:val="19"/>
          <w:szCs w:val="19"/>
          <w:u w:val="single" w:color="auto"/>
          <w:color w:val="auto"/>
        </w:rPr>
        <w:t>Section 9.2</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jc w:val="both"/>
        <w:ind w:firstLine="8"/>
        <w:spacing w:after="0" w:line="242" w:lineRule="auto"/>
        <w:tabs>
          <w:tab w:leader="none" w:pos="29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July 13, 2029, and (c) with respect to any Additional Incremental Facility, the earlier of (i) the date of acceleration of the Obligations in accordance with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and (ii) the maturity date set forth in the corresponding Incremental Amendment, in each case, subject to extension in accordance with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Guarantor Liability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6" w:name="page127"/>
    <w:bookmarkEnd w:id="126"/>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Incremental Amount</w:t>
      </w:r>
      <w:r>
        <w:rPr>
          <w:rFonts w:ascii="Times New Roman" w:cs="Times New Roman" w:eastAsia="Times New Roman" w:hAnsi="Times New Roman"/>
          <w:sz w:val="20"/>
          <w:szCs w:val="20"/>
          <w:color w:val="auto"/>
        </w:rPr>
        <w:t xml:space="preserve">” means the sum of (a) $225,000,000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an additional amount equal to the aggregate amount of voluntary prepayments of the Term A-1 Loan and reductions in the Revolving A-1 Commitment made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each case, unless the Borrower otherwise elects in writing to the Administrative Agent, (i) the Borrower shall be deemed to have used amounts under clause (b) (to the extent compliant therewith) prior to utilization of amounts under clause (a) and (ii) loans may be incurred under both or any of the foregoing clauses (a) and (b), and proceeds from any such incurrence under both or any of the foregoing clauses (a) and (b) may be utilized in a single transaction by first calculating the incurrence under clause (b) and then calculating the incurrence under clause (a).</w:t>
      </w:r>
    </w:p>
    <w:p>
      <w:pPr>
        <w:spacing w:after="0" w:line="18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Netting Amount</w:t>
      </w:r>
      <w:r>
        <w:rPr>
          <w:rFonts w:ascii="Times New Roman" w:cs="Times New Roman" w:eastAsia="Times New Roman" w:hAnsi="Times New Roman"/>
          <w:sz w:val="20"/>
          <w:szCs w:val="20"/>
          <w:color w:val="auto"/>
        </w:rPr>
        <w:t>” means an amount up to $25,000,000 to the extent held in depository account subject to a control agreement in favor of the Administrative Agent.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103% of the Fronting Exposure of the Issuing Lender with respect to all Letters of Credit issued and outstanding at such time and (b) otherwise, an amount determined by the Administrative Agent and the Issuing Lender in its sole discretion.</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Moody’s</w:t>
      </w:r>
      <w:r>
        <w:rPr>
          <w:rFonts w:ascii="Times New Roman" w:cs="Times New Roman" w:eastAsia="Times New Roman" w:hAnsi="Times New Roman"/>
          <w:sz w:val="20"/>
          <w:szCs w:val="20"/>
          <w:color w:val="auto"/>
        </w:rPr>
        <w:t>” means Moody’s Investors Service, Inc., or any successor or assignee thereof in the business of rating securities and debt.</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w:t>
      </w:r>
      <w:r>
        <w:rPr>
          <w:rFonts w:ascii="Times New Roman" w:cs="Times New Roman" w:eastAsia="Times New Roman" w:hAnsi="Times New Roman"/>
          <w:sz w:val="20"/>
          <w:szCs w:val="20"/>
          <w:color w:val="auto"/>
        </w:rPr>
        <w:t>” means each mortgage or deed of trust (as applicable) in a form acceptable to the Administrative Agent in its reasonable discretion executed and delivered by a Loan Party to the Administrative Agent for the benefit of the Secured Parties with respect to certain of the real estate owned or leased by such Loan Party.</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 Multiemployer plan as defined in Section 4001(a)(3) of ERISA to which any Loan Party or any ERISA Affiliate makes, is making, made, or was at any time during the current year or the immediately preceding six years obligated to make contributions.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Cash Proceeds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1304"/>
        <w:spacing w:after="0" w:line="249" w:lineRule="auto"/>
        <w:tabs>
          <w:tab w:leader="none" w:pos="19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Debt Incurrence, an amount equal to: (i) the aggregate amount of all cash and Cash Equivalents received by any Loan Party or Restricted Subsidiary in respect of such Debt Incurrence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customary, bona fide, out-of-pocket direct costs incurred by such Loan Party or Restricted Subsidiaries in connection with such issuance (including without limitation, legal, accounting and investment banking fees and sales commissions);</w:t>
      </w:r>
    </w:p>
    <w:p>
      <w:pPr>
        <w:spacing w:after="0" w:line="17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Casualty Event, an amount equal to: (i) the aggregate amount of all cash and Cash Equivalents received by any Loan Party or Restricted Subsidiary from such Casualty Event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sum of (v) all income taxes and other taxes assessed by a Governmental Authority as a result of such Casualty Event, (w) all customary, bona fide, out-of-pocket direct costs incurred by such Loan Party or Restricted Subsidiary in connection with collecting such cash payments (including without limitation, legal, accounting and investment banking fees and sales commissions), (x) any portion of proceeds deposited in an escrow account in connection therewith (provided, that any such proceeds received by way of return of funds held in escrow shall be considered “Net Cash Proceeds” but only as and when received), (y) any reserve for adjustment in connection therewith established in accordance with GAAP (provided, that any such reserve received by way of return of funds held in reserve shall be considered “Net Cash Proceeds” but only as and when received), and (z) amounts applied to 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27" w:name="page128"/>
    <w:bookmarkEnd w:id="127"/>
    <w:p>
      <w:pPr>
        <w:ind w:right="20"/>
        <w:spacing w:after="0" w:line="268" w:lineRule="auto"/>
        <w:rPr>
          <w:sz w:val="20"/>
          <w:szCs w:val="20"/>
          <w:color w:val="auto"/>
        </w:rPr>
      </w:pPr>
      <w:r>
        <w:rPr>
          <w:rFonts w:ascii="Times New Roman" w:cs="Times New Roman" w:eastAsia="Times New Roman" w:hAnsi="Times New Roman"/>
          <w:sz w:val="20"/>
          <w:szCs w:val="20"/>
          <w:color w:val="auto"/>
        </w:rPr>
        <w:t>of permitted Indebtedness (other than the Obligations) secured by a Permitted Lien on the asset or property subject to such Casualty Event having priority over the Lien of the Administrative Agent on the Collateral; and</w:t>
      </w:r>
    </w:p>
    <w:p>
      <w:pPr>
        <w:spacing w:after="0" w:line="161" w:lineRule="exact"/>
        <w:rPr>
          <w:sz w:val="20"/>
          <w:szCs w:val="20"/>
          <w:color w:val="auto"/>
        </w:rPr>
      </w:pPr>
    </w:p>
    <w:p>
      <w:pPr>
        <w:jc w:val="both"/>
        <w:ind w:firstLine="1304"/>
        <w:spacing w:after="0" w:line="241" w:lineRule="auto"/>
        <w:tabs>
          <w:tab w:leader="none" w:pos="194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Disposition, an amount equal to: (i) the aggregate amount of all cash and Cash Equivalents received by any Loan Party or any Restricted Subsidiary from such Disposition (including any such proceeds received by way of deferred payment of principal pursuant to a note or installment receivable or purchase price adjustment receivable or return of funds held in escrow or otherwise, but only as and when received)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sum of (v) all income taxes and other taxes assessed by a Governmental Authority as a result of such transaction, (w) all customary, bona fide, out-of-pocket direct transaction costs incurred by such Loan Party and Restricted Subsidiaries in connection with such Disposition (including without limitation, legal, accounting and investment banking fees and sales commissions), (x) any portion of proceeds deposited in an escrow amount pursuant to the documentation relating to any Disposition (provided, that any such proceeds received by way of return of funds held in escrow shall be considered “Net Cash Proceeds” but only as and when received), (y) any reserve for adjustment in respect of the sale price of assets Disposed established in accordance with GAAP (provided, that any such reserve received by way of return of funds held in reserve shall be considered “Net Cash Proceeds” but only as and when received), and (z) amounts applied to repayment of permitted Indebtedness (other than the Obligations) secured by a Permitted Lien on the asset or property disposed of having priority over the Lien of the Administrative Agent on the Collateral;</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 long as no Default or Event of Default shall have occurred and be continuing or would result therefrom, Net Cash Proceeds shall not include any amounts: (1) with respect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to the extent that such amounts are applied to reimburse a Loan Party for repairs to or replacements of the property subject to such Casualty Event, used for repairs to or replacements of the property subject to such Casualty Event, or reinvested (or committed to be reinvested) in productive assets (other than inventory unless such Net Cash Proceeds result from a Casualty Event with respect to inventory) of a kind then used or usable in the business of such Loan Party, within 365 days after the receipt thereof (or if committed to be reinvested, within such 365 day period, within 180 days after the end of such 365 day period); or (2) with respect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 to the extent that such amounts are reinvested (or committed to be reinvested) in productive assets (other than inventory) of a kind then used or usable in the business of such Loan Party within 365 days after the receipt thereof (or if committed to be reinvested within such 365 day period, within 180 days after the end of such 365 day period).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Non-Extending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means, collectively, the Revolving Notes, the Term Loan Notes and the Swing Line Notes.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NTIA</w:t>
      </w:r>
      <w:r>
        <w:rPr>
          <w:rFonts w:ascii="Times New Roman" w:cs="Times New Roman" w:eastAsia="Times New Roman" w:hAnsi="Times New Roman"/>
          <w:sz w:val="20"/>
          <w:szCs w:val="20"/>
          <w:color w:val="auto"/>
        </w:rPr>
        <w:t>” means the National Telecommunications and Information Administration or other agency of the United States of America succeeding to it powers.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w:t>
      </w:r>
      <w:r>
        <w:rPr>
          <w:rFonts w:ascii="Times New Roman" w:cs="Times New Roman" w:eastAsia="Times New Roman" w:hAnsi="Times New Roman"/>
          <w:sz w:val="20"/>
          <w:szCs w:val="20"/>
          <w:color w:val="auto"/>
        </w:rPr>
        <w:t>” means any obligation or liability of any of the Loan Parties (other than Excluded Swap Obligations), howsoever created, arising or evidenced, whether direct or indirect, joint or several,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8" w:name="page129"/>
    <w:bookmarkEnd w:id="128"/>
    <w:p>
      <w:pPr>
        <w:jc w:val="both"/>
        <w:spacing w:after="0" w:line="243" w:lineRule="auto"/>
        <w:rPr>
          <w:sz w:val="20"/>
          <w:szCs w:val="20"/>
          <w:color w:val="auto"/>
        </w:rPr>
      </w:pPr>
      <w:r>
        <w:rPr>
          <w:rFonts w:ascii="Times New Roman" w:cs="Times New Roman" w:eastAsia="Times New Roman" w:hAnsi="Times New Roman"/>
          <w:sz w:val="20"/>
          <w:szCs w:val="20"/>
          <w:color w:val="auto"/>
        </w:rPr>
        <w:t>absolute or contingent, for payment or performance, now or hereafter existing (and including obligations or liabilities arising or accruing after the commencement of any Insolvency Proceeding with respect to any Loan Party or which would have arisen or accrued but for the commencement of such Insolvency Proceeding, even if the claim for such obligation or liability is not enforceable or allowable in such proceeding), or due or to become due, under or in connection with this Agreement, the Notes, the Letters of Credit, the Fee Letter or any other Loan Document (regardless of whether any Credit Extension is in excess of the amount committed under or contemplated by the Loan Documents or are made in circumstances in which any condition to any Credit Extension is not satisfied) whether to the Administrative Agent, any of the Lenders or their Affiliates or other persons provided for under such Loan Documents.</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Official Body</w:t>
      </w:r>
      <w:r>
        <w:rPr>
          <w:rFonts w:ascii="Times New Roman" w:cs="Times New Roman" w:eastAsia="Times New Roman" w:hAnsi="Times New Roman"/>
          <w:sz w:val="20"/>
          <w:szCs w:val="20"/>
          <w:color w:val="auto"/>
        </w:rPr>
        <w:t>” means (a) any Governmental Authority and (b)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One Communications</w:t>
      </w:r>
      <w:r>
        <w:rPr>
          <w:rFonts w:ascii="Times New Roman" w:cs="Times New Roman" w:eastAsia="Times New Roman" w:hAnsi="Times New Roman"/>
          <w:sz w:val="20"/>
          <w:szCs w:val="20"/>
          <w:color w:val="auto"/>
        </w:rPr>
        <w:t>” means One Communications Ltd. (f/k/a KeyTech Limited), a Bermuda limited liability company.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Organizational Documents</w:t>
      </w:r>
      <w:r>
        <w:rPr>
          <w:rFonts w:ascii="Times New Roman" w:cs="Times New Roman" w:eastAsia="Times New Roman" w:hAnsi="Times New Roman"/>
          <w:sz w:val="20"/>
          <w:szCs w:val="20"/>
          <w:color w:val="auto"/>
        </w:rPr>
        <w:t>” means the certificate or articles of incorporation, bylaws, certificate of limited partnership, partnership agreement, certificate of formation, limited liability company agreement or other organizational documents of any Person.</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Liabilities</w:t>
      </w:r>
      <w:r>
        <w:rPr>
          <w:rFonts w:ascii="Times New Roman" w:cs="Times New Roman" w:eastAsia="Times New Roman" w:hAnsi="Times New Roman"/>
          <w:sz w:val="20"/>
          <w:szCs w:val="20"/>
          <w:color w:val="auto"/>
        </w:rPr>
        <w:t>” means any obligation of any Loan Party arising under any document or agreement relating to or on account of (a) any Secured Bank Product and/or (b) any Secured Hedge (other than any Excluded Swap Obligations).</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3.6(b)</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Overadvance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Participation Advance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2.11(c)(ii)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29" w:name="page130"/>
    <w:bookmarkEnd w:id="129"/>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In Full</w:t>
      </w:r>
      <w:r>
        <w:rPr>
          <w:rFonts w:ascii="Times New Roman" w:cs="Times New Roman" w:eastAsia="Times New Roman" w:hAnsi="Times New Roman"/>
          <w:sz w:val="20"/>
          <w:szCs w:val="20"/>
          <w:color w:val="auto"/>
        </w:rPr>
        <w:t>” means (a) with respect to the Obligations, the payment in full in cash of the Loans and other Obligations (other than contingent indemnification obligations as to which no claim has been made) hereunder, the termination of the Commitments and the expiration, termination or Cash Collateralization of all Letters of Credit (or other arrangements with respect thereto satisfactory to the Administrative Agent and the Issuing Lender in their respective sole discretion) and (b) with respect to the Other Liabilities, the payment in full in cash or Cash Collateralization of such Other Liabilities (or any such other treatment of such Other Liabilities as the holder thereof shall agree in its sole discretion).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PBGC</w:t>
      </w:r>
      <w:r>
        <w:rPr>
          <w:rFonts w:ascii="Times New Roman" w:cs="Times New Roman" w:eastAsia="Times New Roman" w:hAnsi="Times New Roman"/>
          <w:sz w:val="19"/>
          <w:szCs w:val="19"/>
          <w:color w:val="auto"/>
        </w:rPr>
        <w:t>” means the Pension Benefit Guaranty Corporation established pursuant to Subtitle A of Title IV of ERISA.</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a pension plan (as defined in Section 3(2) of ERISA) subject to Title IV of ERISA which within the current year or the immediately preceding six (6) years any Loan Party or an ERISA Affiliate sponsors, maintains, or to which it makes, is making, or is obligated to make contributions or, in the case of a Multi-employer Plan, has made contributions at any time during the current year or the immediately preceding six plan years.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Standby Letter of Credit</w:t>
      </w:r>
      <w:r>
        <w:rPr>
          <w:rFonts w:ascii="Times New Roman" w:cs="Times New Roman" w:eastAsia="Times New Roman" w:hAnsi="Times New Roman"/>
          <w:sz w:val="20"/>
          <w:szCs w:val="20"/>
          <w:color w:val="auto"/>
        </w:rPr>
        <w:t>” means a Letter of Credit that constitutes a “performance-based standby letter of credit” or a “performance standby letter of credit” or the like under the risk-based capital guidelines of the Comptroller of the Currency or the Federal Reserve Board, as determined in good faith by the related Issuing Lender.</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w:t>
      </w:r>
      <w:r>
        <w:rPr>
          <w:rFonts w:ascii="Times New Roman" w:cs="Times New Roman" w:eastAsia="Times New Roman" w:hAnsi="Times New Roman"/>
          <w:sz w:val="20"/>
          <w:szCs w:val="20"/>
          <w:color w:val="auto"/>
        </w:rPr>
        <w:t xml:space="preserve">” means any Acquisition by any Loan Party or any Restricted Subsidiary of all or substantially all the assets of, or any line of business or division or business unit of, any other Person, or all of the Equity Interests of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such Acquisition:</w:t>
      </w:r>
    </w:p>
    <w:p>
      <w:pPr>
        <w:spacing w:after="0" w:line="173" w:lineRule="exact"/>
        <w:rPr>
          <w:sz w:val="20"/>
          <w:szCs w:val="20"/>
          <w:color w:val="auto"/>
        </w:rPr>
      </w:pPr>
    </w:p>
    <w:p>
      <w:pPr>
        <w:jc w:val="both"/>
        <w:ind w:firstLine="1304"/>
        <w:spacing w:after="0" w:line="249" w:lineRule="auto"/>
        <w:tabs>
          <w:tab w:leader="none" w:pos="19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at least ten (10) Business Days (or such shorter time period as the Administrative Agent may agree in its sole discretion) prior to the proposed closing date of such Acquisition, the Administrative Agent shall have received a completed Permitted Acquisition Questionnaire and (ii) prior to or concurrently with the consummation of such Acquisition, the Administrative Agent shall have a received a duly executed Permitted Acquisition Certificate;</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assets acquired (other than immaterial assets) are usable in, and any Acquired Business (including any of the Acquired Business’s Subsidiaries) is primarily engaged in, a line of business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7.11</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forty-five (45) days (or such later date as the Administrative Agent shall agree to in its sole discretion) following the consummation of such Acquisition, the Administrative Agent shall receive in accordance with the requirements of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all documents reasonably required by Administrative Agent to have a first-priority perfected security interest (subject to Permitted Liens other than with respect to any Equity Interests required to be pledged under the Security Agreement) in the Acquired Business acquired or created in such Acquisition, together with all opinions of counsel, certificates, resolutions, proof of insurance and other documents required by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in form and substance reasonably acceptable to the Administrative Agent;</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30" w:name="page131"/>
    <w:bookmarkEnd w:id="130"/>
    <w:p>
      <w:pPr>
        <w:ind w:firstLine="1304"/>
        <w:spacing w:after="0" w:line="268"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hostile and shall have been approved by all necessary corporate or limited liability company action of the Acquired Business;</w:t>
      </w:r>
    </w:p>
    <w:p>
      <w:pPr>
        <w:spacing w:after="0" w:line="160"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available, the Borrower shall have provided to the Administrative Agent and the Lenders not later than ten (10) Business Days prior to the anticipated closing date of such Acquisition (or such shorter period as the Administrative Agent may agree in its sole discretion) with any requested due diligence materials regarding the Acquired Business and such other information as the Administrative Agent may reasonably request, which may include, without limitation, the total amount of such Acquisition and other terms and conditions of the Acquisition, the full name and jurisdiction of organization of any new Subsidiary created or acquired for the purpose of effecting such Acquisition, copies of historical and projected financial statements of the Acquired Business, a detailed description of assets to be acquired, copies of material agreements of the Acquired Business and copies of any agreements (including, for the avoidance of doubt, any Acquisition Agreement and related material documents), schedules or due diligence delivered in connection with the consummation of such Acquisition;</w:t>
      </w:r>
    </w:p>
    <w:p>
      <w:pPr>
        <w:spacing w:after="0" w:line="192" w:lineRule="exact"/>
        <w:rPr>
          <w:rFonts w:ascii="Times New Roman" w:cs="Times New Roman" w:eastAsia="Times New Roman" w:hAnsi="Times New Roman"/>
          <w:sz w:val="20"/>
          <w:szCs w:val="20"/>
          <w:color w:val="auto"/>
        </w:rPr>
      </w:pPr>
    </w:p>
    <w:p>
      <w:pPr>
        <w:jc w:val="both"/>
        <w:ind w:right="20" w:firstLine="1304"/>
        <w:spacing w:after="0" w:line="246"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before and immediately after giving effect to such Acquisition, no Default or Event of Default shall have occurred and be continuing or would reasonably be expected to result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with respect to a Limited Condition Acquisition,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may be satisfied if there is (x) no Default or Event of Default in existence at the time of execution and effectiveness of the Acquisition Agreement for such Limited Condition Acquisition and (y) no Specified Event of Default at the time such Limited Condition Acquisition is consummated;</w:t>
      </w:r>
    </w:p>
    <w:p>
      <w:pPr>
        <w:spacing w:after="0" w:line="184" w:lineRule="exact"/>
        <w:rPr>
          <w:rFonts w:ascii="Times New Roman" w:cs="Times New Roman" w:eastAsia="Times New Roman" w:hAnsi="Times New Roman"/>
          <w:sz w:val="20"/>
          <w:szCs w:val="20"/>
          <w:color w:val="auto"/>
        </w:rPr>
      </w:pPr>
    </w:p>
    <w:p>
      <w:pPr>
        <w:jc w:val="both"/>
        <w:ind w:firstLine="1304"/>
        <w:spacing w:after="0" w:line="259" w:lineRule="auto"/>
        <w:tabs>
          <w:tab w:leader="none" w:pos="1944" w:val="left"/>
        </w:tabs>
        <w:numPr>
          <w:ilvl w:val="0"/>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after giving pro forma effect to such Acquisition, the Loan Parties shall be in compliance with the financial covenant set forth in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for the Test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reasonable request in writing of the Administrative Agent, the Borrower shall deliver a certificate of a Compliance Officer of the Borrower (supported by reasonably detailed calculations) certifying as to the foregoing;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solely to the extent such Acquisition is a Limited Condition Acquisition, at the Borrower’s election, compliance with the financial covenant pursuant to this </w:t>
      </w:r>
      <w:r>
        <w:rPr>
          <w:rFonts w:ascii="Times New Roman" w:cs="Times New Roman" w:eastAsia="Times New Roman" w:hAnsi="Times New Roman"/>
          <w:sz w:val="19"/>
          <w:szCs w:val="19"/>
          <w:u w:val="single" w:color="auto"/>
          <w:color w:val="auto"/>
        </w:rPr>
        <w:t>clause (j)</w:t>
      </w:r>
      <w:r>
        <w:rPr>
          <w:rFonts w:ascii="Times New Roman" w:cs="Times New Roman" w:eastAsia="Times New Roman" w:hAnsi="Times New Roman"/>
          <w:sz w:val="19"/>
          <w:szCs w:val="19"/>
          <w:color w:val="auto"/>
        </w:rPr>
        <w:t xml:space="preserve"> shall be tested as of the date of execution and effectiveness of the Acquisition Agreement for such Limited Condition Acquisition in lieu of the date of consummation of such Limited Condition Acquisition;</w:t>
      </w:r>
    </w:p>
    <w:p>
      <w:pPr>
        <w:spacing w:after="0" w:line="172"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prior to the required satisfaction of clause (c) hereof, the Administrative Agent shall have received (A) all documentation and other information reasonably requested by (or on behalf of) any Lender in writing in order to comply with requirements of Anti-Corruption Laws, Anti-Terrorism Laws and Sanctions and (B) if the Borrower or any other Loan Party qualifies as a “legal entity customer” under the Beneficial Ownership Regulation, a Beneficial Ownership Certification; and</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available, within ten (10) Business Days (or such longer period as the Administrative Agent may agree in its sole discretion) following the closing date of such Acquisition, the Borrower shall deliver to the Administrative Agent (i) copies of the fully executed Acquisition Agreement for such Acquisition, together with all schedules, exhibits, attachments, amendments and other modifications thereto, (ii) any historical or pro forma financial statements or projections related to such Acquisition and (iii) such other documents and information as the Administrative Agent may request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1" w:name="page132"/>
    <w:bookmarkEnd w:id="131"/>
    <w:p>
      <w:pPr>
        <w:ind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 Certificate</w:t>
      </w:r>
      <w:r>
        <w:rPr>
          <w:rFonts w:ascii="Times New Roman" w:cs="Times New Roman" w:eastAsia="Times New Roman" w:hAnsi="Times New Roman"/>
          <w:sz w:val="20"/>
          <w:szCs w:val="20"/>
          <w:color w:val="auto"/>
        </w:rPr>
        <w:t xml:space="preserve">” means a certificate of the Borrower with respect to a Permitted Acquisition,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hereto.</w:t>
      </w:r>
    </w:p>
    <w:p>
      <w:pPr>
        <w:spacing w:after="0" w:line="153"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 Questionnaire</w:t>
      </w:r>
      <w:r>
        <w:rPr>
          <w:rFonts w:ascii="Times New Roman" w:cs="Times New Roman" w:eastAsia="Times New Roman" w:hAnsi="Times New Roman"/>
          <w:sz w:val="20"/>
          <w:szCs w:val="20"/>
          <w:color w:val="auto"/>
        </w:rPr>
        <w:t xml:space="preserve">” means the questionnaire for preliminary information regarding a proposed Permitted Acquisition and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Investment</w:t>
      </w:r>
      <w:r>
        <w:rPr>
          <w:rFonts w:ascii="Times New Roman" w:cs="Times New Roman" w:eastAsia="Times New Roman" w:hAnsi="Times New Roman"/>
          <w:sz w:val="20"/>
          <w:szCs w:val="20"/>
          <w:color w:val="auto"/>
        </w:rPr>
        <w:t>” means any Investment (other than a Permitted Acquisition) by any Loan Party or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Restricted Subsidiary in another Person (other than an Unrestricted Subsidiary),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1304"/>
        <w:spacing w:after="0" w:line="256" w:lineRule="auto"/>
        <w:tabs>
          <w:tab w:leader="none" w:pos="1944" w:val="left"/>
        </w:tabs>
        <w:numPr>
          <w:ilvl w:val="1"/>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Investment constitutes the extension of Indebtedness by a Loan Party (other than Indebtedness of a Loan Party to another Loan Party), such Investment is evidenced by a written promissory note in form and substance reasonably acceptable to Administrative Agent, and such note is collaterally assigned and delivered to Administrative Agent, provided, however, that such evidence, collateral assignment and delivery shall only be required with respect to the principal amount of such Indebtedness in excess of the aggregate amount of the greater of (i) $45,000,000 and</w:t>
      </w:r>
    </w:p>
    <w:p>
      <w:pPr>
        <w:spacing w:after="0" w:line="4" w:lineRule="exact"/>
        <w:rPr>
          <w:rFonts w:ascii="Times New Roman" w:cs="Times New Roman" w:eastAsia="Times New Roman" w:hAnsi="Times New Roman"/>
          <w:sz w:val="19"/>
          <w:szCs w:val="19"/>
          <w:color w:val="auto"/>
        </w:rPr>
      </w:pPr>
    </w:p>
    <w:p>
      <w:pPr>
        <w:jc w:val="both"/>
        <w:ind w:firstLine="8"/>
        <w:spacing w:after="0" w:line="241" w:lineRule="auto"/>
        <w:tabs>
          <w:tab w:leader="none" w:pos="29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45% of EBITDA of the Borrower and the Restricted Subsidiaries for the Test Period (excluding existing Investments set forth on </w:t>
      </w:r>
      <w:r>
        <w:rPr>
          <w:rFonts w:ascii="Times New Roman" w:cs="Times New Roman" w:eastAsia="Times New Roman" w:hAnsi="Times New Roman"/>
          <w:sz w:val="20"/>
          <w:szCs w:val="20"/>
          <w:u w:val="single" w:color="auto"/>
          <w:color w:val="auto"/>
        </w:rPr>
        <w:t>Schedule 7.5)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provided further that</w:t>
      </w:r>
      <w:r>
        <w:rPr>
          <w:rFonts w:ascii="Times New Roman" w:cs="Times New Roman" w:eastAsia="Times New Roman" w:hAnsi="Times New Roman"/>
          <w:sz w:val="20"/>
          <w:szCs w:val="20"/>
          <w:color w:val="auto"/>
        </w:rPr>
        <w:t>, Administrative Agent may elect not to require such additional documentation if it determines in its sole discretion that the costs to the Loan Parties of delivering such documentation exceed the relative benefit afforded the Secured Parties;</w:t>
      </w:r>
    </w:p>
    <w:p>
      <w:pPr>
        <w:spacing w:after="0" w:line="188"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immediately after giving effect to such Investment, no Default or Event of Default shall have occurred and be continuing or would reasonably be expected to result therefrom; and</w:t>
      </w:r>
    </w:p>
    <w:p>
      <w:pPr>
        <w:spacing w:after="0" w:line="15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pro forma effect to such Investment, the Loan Parties shall be in compliance with the financial covenant set forth in Article VIII for the Test Period; provided that upon the reasonable request in writing of the Administrative Agent the Borrower shall deliver a certificate of a Compliance Officer of the Borrower (supported by reasonably detailed calculations) certifying as to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xml:space="preserve">“Permitted </w:t>
      </w:r>
      <w:r>
        <w:rPr>
          <w:rFonts w:ascii="Times New Roman" w:cs="Times New Roman" w:eastAsia="Times New Roman" w:hAnsi="Times New Roman"/>
          <w:sz w:val="20"/>
          <w:szCs w:val="20"/>
          <w:b w:val="1"/>
          <w:bCs w:val="1"/>
          <w:color w:val="auto"/>
        </w:rPr>
        <w:t>Liens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1304"/>
        <w:spacing w:after="0" w:line="249" w:lineRule="auto"/>
        <w:tabs>
          <w:tab w:leader="none" w:pos="19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other governmental charges not yet due and payable or Liens for taxes, assessments or other governmental charges due and payable if the same are being diligently contested in good faith and by appropriate proceedings and then only if and to the extent that adequate reserves therefor are maintained on the books of the Loan Parties and their respective Subsidiaries, as applicable, in accordance with GAAP;</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made in the ordinary course of business to secure payment of worker’s compensation, or to participate in any fund in connection with worker’s compensation, unemployment insurance, old-age pensions or other social security programs, other than any Lien imposed by ERISA;</w:t>
      </w:r>
    </w:p>
    <w:p>
      <w:pPr>
        <w:spacing w:after="0" w:line="17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mechanics, repairmen, materialmen, warehousemen, carriers, suppliers, landlords or other like Liens that are incurred in the ordinary course of business and either (i) secure obligations that are not overdue by more than sixty (60) days or (ii) are being diligently contested in good faith by appropriate and lawful proceedings that suspend enforcement of such Liens and for which adequate reserves or other appropriate provisions in accordance with GAAP have been set aside on such Loan Party’s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32" w:name="page133"/>
    <w:bookmarkEnd w:id="132"/>
    <w:p>
      <w:pPr>
        <w:jc w:val="both"/>
        <w:ind w:firstLine="1304"/>
        <w:spacing w:after="0" w:line="249"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good-faith pledges or deposits made in the ordinary course of business to secure the performance of tenders, statutory obligations, surety, stay, customs and appeals bonds, bids, leases, governmental contract, trade contracts, performance and return of money bonds and other similar obligations (exclusive of obligations for the payment of borrowed money or other funded indebtedness) or to secure liability to insurance carriers;</w:t>
      </w:r>
    </w:p>
    <w:p>
      <w:pPr>
        <w:spacing w:after="0" w:line="178"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encumbrances consisting of zoning restrictions, easements, right-of-way or other encumbrances, title defects and restrictions on the use of real property and none of which materially impairs the use of such property or the value thereof, none of which is violated in any material respect by existing or proposed structures or land use and which do not materially interfere with the ordinary conduct of the business of the applicable Loan Party;</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security interests and mortgages in favor of the Administrative Agent for the benefit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Parties;</w:t>
      </w:r>
    </w:p>
    <w:p>
      <w:pPr>
        <w:spacing w:after="0" w:line="19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the date of this Agreement and described on </w:t>
      </w:r>
      <w:r>
        <w:rPr>
          <w:rFonts w:ascii="Times New Roman" w:cs="Times New Roman" w:eastAsia="Times New Roman" w:hAnsi="Times New Roman"/>
          <w:sz w:val="20"/>
          <w:szCs w:val="20"/>
          <w:u w:val="single" w:color="auto"/>
          <w:color w:val="auto"/>
        </w:rPr>
        <w:t>Schedule 1.1(P)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principal amount secured thereby is not hereafter increased, (ii) no additional assets become subject to such Lien, (iii) the direct or contingent obligor with respect thereto is not changed and (iv) any renewal or extension of the Obligations secured or benefitted thereby is permitted by </w:t>
      </w:r>
      <w:r>
        <w:rPr>
          <w:rFonts w:ascii="Times New Roman" w:cs="Times New Roman" w:eastAsia="Times New Roman" w:hAnsi="Times New Roman"/>
          <w:sz w:val="20"/>
          <w:szCs w:val="20"/>
          <w:u w:val="single" w:color="auto"/>
          <w:color w:val="auto"/>
        </w:rPr>
        <w:t>Section 7.1(h)</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CoBank’s Lien (including the right of setoff) in the CoBank Equities and in any cash patronage;</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resulting from judgments or orders not constituting an Event of Default under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made by Borrower or any of its Subsidiaries in connection with any letter of intent or purchase agreement arising in connection with a transaction which if consummated would constitute a Permitted Acquisition;</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(i) relating to the establishment of depository relations with banks not given in connection with the issuance of Indebtedness or (ii) relating to purchase orders and other agreements entered into with customers of Borrower or any Subsidiary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1304"/>
        <w:spacing w:after="0" w:line="263" w:lineRule="auto"/>
        <w:tabs>
          <w:tab w:leader="none" w:pos="1944"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on any property acquired, improved or held by any Loan Party or any Subsidiary of any Loan Party securing Indebtedness incurred or assumed for the purpose of financing (or refinancing) all or any part of the cost of acquiring, holding or improving such property and permitted pursuant to </w:t>
      </w:r>
      <w:r>
        <w:rPr>
          <w:rFonts w:ascii="Times New Roman" w:cs="Times New Roman" w:eastAsia="Times New Roman" w:hAnsi="Times New Roman"/>
          <w:sz w:val="19"/>
          <w:szCs w:val="19"/>
          <w:u w:val="single" w:color="auto"/>
          <w:color w:val="auto"/>
        </w:rPr>
        <w:t>Sections 7.1(i)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Liens attach solely to the property so acquired in such transaction and the proceeds, accessions thereto and improvements thereon thereof and (ii) the principal amount of the Indebtedness secured thereby does not exceed 100% of the cost of such property;</w:t>
      </w:r>
    </w:p>
    <w:p>
      <w:pPr>
        <w:spacing w:after="0" w:line="166"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the filing of precautionary UCC financing statements with respect to any lease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hereunder;</w:t>
      </w:r>
    </w:p>
    <w:p>
      <w:pPr>
        <w:spacing w:after="0" w:line="193"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and other Liens on insurance policies and the proceeds thereof made in the ordinary course of business to secure liability to insurance carriers;</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on cash advances in favor of the seller of any property to be acquired in an Investment permitted hereunder to be applied against the purchase price for such Investment, and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3" w:name="page134"/>
    <w:bookmarkEnd w:id="133"/>
    <w:p>
      <w:pPr>
        <w:jc w:val="both"/>
        <w:spacing w:after="0" w:line="253" w:lineRule="auto"/>
        <w:rPr>
          <w:sz w:val="20"/>
          <w:szCs w:val="20"/>
          <w:color w:val="auto"/>
        </w:rPr>
      </w:pPr>
      <w:r>
        <w:rPr>
          <w:rFonts w:ascii="Times New Roman" w:cs="Times New Roman" w:eastAsia="Times New Roman" w:hAnsi="Times New Roman"/>
          <w:sz w:val="20"/>
          <w:szCs w:val="20"/>
          <w:color w:val="auto"/>
        </w:rPr>
        <w:t>consisting of an agreement to sell, transfer, lease or otherwise dispose of any property in a transaction permitted hereunder, in each case, solely to the extent such Investment or sale, disposition, transfer or lease, as the case may be, would have been permitted on the date of the creation of such Lien;</w:t>
      </w:r>
    </w:p>
    <w:p>
      <w:pPr>
        <w:spacing w:after="0" w:line="176" w:lineRule="exact"/>
        <w:rPr>
          <w:sz w:val="20"/>
          <w:szCs w:val="20"/>
          <w:color w:val="auto"/>
        </w:rPr>
      </w:pPr>
    </w:p>
    <w:p>
      <w:pPr>
        <w:ind w:firstLine="1304"/>
        <w:spacing w:after="0" w:line="269"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in governance and similar documents relating to joint ventures, provided such restrictions relate solely to such joint venture or the Equity Interests of such joint venture;</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Liens securing obligations not to exceed in the aggregate amount at any time the greater of (i) $10,000,000 and (ii) 15% of EBITDA of the Borrower and the Restricted Subsidiaries for the Test Period;</w:t>
      </w:r>
    </w:p>
    <w:p>
      <w:pPr>
        <w:spacing w:after="0" w:line="159" w:lineRule="exact"/>
        <w:rPr>
          <w:rFonts w:ascii="Times New Roman" w:cs="Times New Roman" w:eastAsia="Times New Roman" w:hAnsi="Times New Roman"/>
          <w:sz w:val="20"/>
          <w:szCs w:val="20"/>
          <w:color w:val="auto"/>
        </w:rPr>
      </w:pPr>
    </w:p>
    <w:p>
      <w:pPr>
        <w:jc w:val="both"/>
        <w:ind w:firstLine="1304"/>
        <w:spacing w:after="0" w:line="263" w:lineRule="auto"/>
        <w:tabs>
          <w:tab w:leader="none" w:pos="1944"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any interest or title of a lessor, sub-lessor, licensor or sub-licensor under leases, subleases, licenses or sublicenses entered into by the Borrower or any of its Subsidiaries in the ordinary course of business or not otherwise materially interfering with the Borrower’s or any of its Subsidiaries’ business taken as a whole and (B) non-exclusive licenses, sublicenses, leases or subleases with respect to any assets granted to third Persons in the ordinary course of business or not otherwise materially interfering with the Borrower’s or any of its Subsidiaries’ business taken as a whole;</w:t>
      </w:r>
    </w:p>
    <w:p>
      <w:pPr>
        <w:spacing w:after="0" w:line="166" w:lineRule="exact"/>
        <w:rPr>
          <w:rFonts w:ascii="Times New Roman" w:cs="Times New Roman" w:eastAsia="Times New Roman" w:hAnsi="Times New Roman"/>
          <w:sz w:val="19"/>
          <w:szCs w:val="19"/>
          <w:color w:val="auto"/>
        </w:rPr>
      </w:pPr>
    </w:p>
    <w:p>
      <w:pPr>
        <w:jc w:val="both"/>
        <w:ind w:firstLine="1304"/>
        <w:spacing w:after="0" w:line="254"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sale or purchase of goods entered into by Borrower or any of its Subsidiaries in the ordinary course of business permitted by this Agreement;</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 7.1(p)</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the assets of CAH Holdco and the CAH Holdco Subsidiaries securing Indebtedness permitted by </w:t>
      </w:r>
      <w:r>
        <w:rPr>
          <w:rFonts w:ascii="Times New Roman" w:cs="Times New Roman" w:eastAsia="Times New Roman" w:hAnsi="Times New Roman"/>
          <w:sz w:val="20"/>
          <w:szCs w:val="20"/>
          <w:u w:val="single" w:color="auto"/>
          <w:color w:val="auto"/>
        </w:rPr>
        <w:t>Section 7.1(t)</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assets of GTT and its Subsidiaries or One Communications and its Subsidiaries, respectively, securing Indebtedness permitted by Section 7.1(u);</w:t>
      </w:r>
    </w:p>
    <w:p>
      <w:pPr>
        <w:spacing w:after="0" w:line="15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 of a collection bank arising under Section 4-208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 </w:t>
      </w:r>
      <w:r>
        <w:rPr>
          <w:rFonts w:ascii="Times New Roman" w:cs="Times New Roman" w:eastAsia="Times New Roman" w:hAnsi="Times New Roman"/>
          <w:sz w:val="20"/>
          <w:szCs w:val="20"/>
          <w:color w:val="FF0000"/>
          <w:strike w:val="1"/>
        </w:rPr>
        <w:t>and</w:t>
      </w:r>
    </w:p>
    <w:p>
      <w:pPr>
        <w:spacing w:after="0" w:line="18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assets of any Person that becomes a Restricted Subsidiary pursuant to a Permitted Acquisition, to the extent such Liens secure Indebtedness permitted by Section 7.1(m);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Liens attach at all times only to the same assets to which such Liens attached (and after- acquired property that is affixed or incorporated into the property covered by such Lien), and secure only Indebtedness permitted by </w:t>
      </w:r>
      <w:r>
        <w:rPr>
          <w:rFonts w:ascii="Times New Roman" w:cs="Times New Roman" w:eastAsia="Times New Roman" w:hAnsi="Times New Roman"/>
          <w:sz w:val="20"/>
          <w:szCs w:val="20"/>
          <w:u w:val="single" w:color="auto"/>
          <w:color w:val="auto"/>
        </w:rPr>
        <w:t>Section 7.1(m)</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and</w:t>
      </w:r>
    </w:p>
    <w:p>
      <w:pPr>
        <w:spacing w:after="0" w:line="17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6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(i) Liens in favor of Funding Agencies arising with respect to Funding Programs; provided that (a) such Liens are required to be granted in connection with such Funding Programs and (b) no such Lien shall extend to or cover property of the applicable Loan Party or Subsidiary other than (v) Funding Program Assets, (w) Funding Program Deposit Accounts, (x) Funding Program In-kind Assets, (y) Funding Program Cash Assets and (z) Funding Program Matching Funds and (ii) Liens constituting cash collateral provided to a Funding Agency or cash collateral securing letters of credit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u w:val="single" w:color="auto"/>
          <w:color w:val="0000FF"/>
        </w:rPr>
        <w:t>similar instruments provided to a Funding Agency, in each case, in connection with any Funding Program.</w:t>
      </w:r>
    </w:p>
    <w:p>
      <w:pPr>
        <w:spacing w:after="0" w:line="21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Stimulus Indebtedness</w:t>
      </w:r>
      <w:r>
        <w:rPr>
          <w:rFonts w:ascii="Times New Roman" w:cs="Times New Roman" w:eastAsia="Times New Roman" w:hAnsi="Times New Roman"/>
          <w:sz w:val="20"/>
          <w:szCs w:val="20"/>
          <w:color w:val="auto"/>
        </w:rPr>
        <w:t>” means any Indebtedness incurred by a Stimulus Recipient Subsidiary to or guaranteed by a Stimulus Source Agency, so long as (A) neither the Borrower nor any of its Subsidiaries (other than such Stimulus Recipient Subsidiary) is liable for the obligations of such Stimulus Recipient Subsidiary in respect thereof, except to the extent of any guarantee required by such Stimulus Source Agency as a term or condition to such Indebtedness, (B) no Lien upon any assets of the Borrower or any of its Subsidiaries (other than such Stimulus Recipient Subsidiary) secures any such Indebtedness, except to the extent of any pledge of the Equity Interests in such Stimulus Recipient Subsidiary required by such Stimulus Source Agency as a term or condition to such Indebtedness, and (C) such Indebtedness is extended to a Stimulus Recipient Subsidiary under the Rural Broadband Access Loan and Loan Guarantee Program of the Rural Utilities Service, or a substantially similar program.</w:t>
      </w:r>
    </w:p>
    <w:p>
      <w:pPr>
        <w:spacing w:after="0" w:line="18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company, partnership, limited liability company, association, joint-stock company, trust, unincorporated organization, joint venture, Official Body, or any other entity.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 employee benefit plan (as defined in Section 3(3) of ERISA) which any Loan Party or any of their ERISA Affiliates sponsors or maintains or to which any Loan Party or any of their ERISA Affiliates make, is making, or is obligated to make contributions and includes any Pension Plan.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Pricing Grid</w:t>
      </w:r>
      <w:r>
        <w:rPr>
          <w:rFonts w:ascii="Times New Roman" w:cs="Times New Roman" w:eastAsia="Times New Roman" w:hAnsi="Times New Roman"/>
          <w:sz w:val="20"/>
          <w:szCs w:val="20"/>
          <w:color w:val="auto"/>
        </w:rPr>
        <w:t>” means the table and text set forth below:</w:t>
      </w:r>
    </w:p>
    <w:p>
      <w:pPr>
        <w:spacing w:after="0" w:line="222"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0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auto"/>
            </w:tcBorders>
            <w:shd w:val="clear" w:color="auto" w:fill="E6E6E6"/>
          </w:tcPr>
          <w:p>
            <w:pPr>
              <w:spacing w:after="0"/>
              <w:rPr>
                <w:sz w:val="18"/>
                <w:szCs w:val="18"/>
                <w:color w:val="auto"/>
              </w:rPr>
            </w:pPr>
          </w:p>
        </w:tc>
        <w:tc>
          <w:tcPr>
            <w:tcW w:w="40" w:type="dxa"/>
            <w:vAlign w:val="bottom"/>
            <w:tcBorders>
              <w:top w:val="single" w:sz="8" w:color="auto"/>
            </w:tcBorders>
            <w:shd w:val="clear" w:color="auto" w:fill="E6E6E6"/>
          </w:tcPr>
          <w:p>
            <w:pPr>
              <w:spacing w:after="0"/>
              <w:rPr>
                <w:sz w:val="18"/>
                <w:szCs w:val="18"/>
                <w:color w:val="auto"/>
              </w:rPr>
            </w:pPr>
          </w:p>
        </w:tc>
        <w:tc>
          <w:tcPr>
            <w:tcW w:w="60" w:type="dxa"/>
            <w:vAlign w:val="bottom"/>
            <w:tcBorders>
              <w:top w:val="single" w:sz="8" w:color="auto"/>
            </w:tcBorders>
            <w:shd w:val="clear" w:color="auto" w:fill="E6E6E6"/>
          </w:tcPr>
          <w:p>
            <w:pPr>
              <w:spacing w:after="0"/>
              <w:rPr>
                <w:sz w:val="18"/>
                <w:szCs w:val="18"/>
                <w:color w:val="auto"/>
              </w:rPr>
            </w:pPr>
          </w:p>
        </w:tc>
        <w:tc>
          <w:tcPr>
            <w:tcW w:w="1160" w:type="dxa"/>
            <w:vAlign w:val="bottom"/>
            <w:tcBorders>
              <w:top w:val="single" w:sz="8" w:color="auto"/>
              <w:right w:val="single" w:sz="8" w:color="auto"/>
            </w:tcBorders>
            <w:shd w:val="clear" w:color="auto" w:fill="E6E6E6"/>
          </w:tcPr>
          <w:p>
            <w:pPr>
              <w:spacing w:after="0"/>
              <w:rPr>
                <w:sz w:val="18"/>
                <w:szCs w:val="18"/>
                <w:color w:val="auto"/>
              </w:rPr>
            </w:pPr>
          </w:p>
        </w:tc>
        <w:tc>
          <w:tcPr>
            <w:tcW w:w="1240" w:type="dxa"/>
            <w:vAlign w:val="bottom"/>
            <w:tcBorders>
              <w:top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Applicable</w:t>
            </w:r>
          </w:p>
        </w:tc>
        <w:tc>
          <w:tcPr>
            <w:tcW w:w="1240" w:type="dxa"/>
            <w:vAlign w:val="bottom"/>
            <w:tcBorders>
              <w:top w:val="single" w:sz="8" w:color="auto"/>
              <w:right w:val="single" w:sz="8" w:color="auto"/>
            </w:tcBorders>
            <w:shd w:val="clear" w:color="auto" w:fill="E6E6E6"/>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Applicable</w:t>
            </w:r>
          </w:p>
        </w:tc>
        <w:tc>
          <w:tcPr>
            <w:tcW w:w="1260" w:type="dxa"/>
            <w:vAlign w:val="bottom"/>
            <w:tcBorders>
              <w:top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Applicable</w:t>
            </w:r>
          </w:p>
        </w:tc>
        <w:tc>
          <w:tcPr>
            <w:tcW w:w="1240" w:type="dxa"/>
            <w:vAlign w:val="bottom"/>
            <w:tcBorders>
              <w:top w:val="single" w:sz="8" w:color="auto"/>
              <w:right w:val="single" w:sz="8" w:color="auto"/>
            </w:tcBorders>
            <w:shd w:val="clear" w:color="auto" w:fill="E6E6E6"/>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9"/>
              </w:rPr>
              <w:t>Applicable</w:t>
            </w:r>
          </w:p>
        </w:tc>
        <w:tc>
          <w:tcPr>
            <w:tcW w:w="1240" w:type="dxa"/>
            <w:vAlign w:val="bottom"/>
            <w:tcBorders>
              <w:top w:val="single" w:sz="8" w:color="auto"/>
              <w:right w:val="single" w:sz="8" w:color="auto"/>
            </w:tcBorders>
            <w:shd w:val="clear" w:color="auto" w:fill="E6E6E6"/>
          </w:tcPr>
          <w:p>
            <w:pPr>
              <w:spacing w:after="0"/>
              <w:rPr>
                <w:sz w:val="18"/>
                <w:szCs w:val="18"/>
                <w:color w:val="auto"/>
              </w:rPr>
            </w:pPr>
          </w:p>
        </w:tc>
        <w:tc>
          <w:tcPr>
            <w:tcW w:w="1260" w:type="dxa"/>
            <w:vAlign w:val="bottom"/>
            <w:tcBorders>
              <w:top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40" w:type="dxa"/>
            <w:vAlign w:val="bottom"/>
            <w:shd w:val="clear" w:color="auto" w:fill="E6E6E6"/>
          </w:tcPr>
          <w:p>
            <w:pPr>
              <w:spacing w:after="0"/>
              <w:rPr>
                <w:sz w:val="9"/>
                <w:szCs w:val="9"/>
                <w:color w:val="auto"/>
              </w:rPr>
            </w:pPr>
          </w:p>
        </w:tc>
        <w:tc>
          <w:tcPr>
            <w:tcW w:w="60" w:type="dxa"/>
            <w:vAlign w:val="bottom"/>
            <w:shd w:val="clear" w:color="auto" w:fill="E6E6E6"/>
          </w:tcPr>
          <w:p>
            <w:pPr>
              <w:spacing w:after="0"/>
              <w:rPr>
                <w:sz w:val="9"/>
                <w:szCs w:val="9"/>
                <w:color w:val="auto"/>
              </w:rPr>
            </w:pPr>
          </w:p>
        </w:tc>
        <w:tc>
          <w:tcPr>
            <w:tcW w:w="1160" w:type="dxa"/>
            <w:vAlign w:val="bottom"/>
            <w:tcBorders>
              <w:right w:val="single" w:sz="8" w:color="auto"/>
            </w:tcBorders>
            <w:shd w:val="clear" w:color="auto" w:fill="E6E6E6"/>
          </w:tcPr>
          <w:p>
            <w:pPr>
              <w:spacing w:after="0"/>
              <w:rPr>
                <w:sz w:val="9"/>
                <w:szCs w:val="9"/>
                <w:color w:val="auto"/>
              </w:rPr>
            </w:pP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40" w:type="dxa"/>
            <w:vAlign w:val="bottom"/>
            <w:tcBorders>
              <w:right w:val="single" w:sz="8" w:color="auto"/>
            </w:tcBorders>
            <w:shd w:val="clear" w:color="auto" w:fill="E6E6E6"/>
          </w:tcPr>
          <w:p>
            <w:pPr>
              <w:spacing w:after="0"/>
              <w:rPr>
                <w:sz w:val="9"/>
                <w:szCs w:val="9"/>
                <w:color w:val="auto"/>
              </w:rPr>
            </w:pP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shd w:val="clear" w:color="auto" w:fill="E6E6E6"/>
          </w:tcPr>
          <w:p>
            <w:pPr>
              <w:spacing w:after="0"/>
              <w:rPr>
                <w:sz w:val="10"/>
                <w:szCs w:val="10"/>
                <w:color w:val="auto"/>
              </w:rPr>
            </w:pPr>
          </w:p>
        </w:tc>
        <w:tc>
          <w:tcPr>
            <w:tcW w:w="100" w:type="dxa"/>
            <w:vAlign w:val="bottom"/>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40" w:type="dxa"/>
            <w:vAlign w:val="bottom"/>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1160" w:type="dxa"/>
            <w:vAlign w:val="bottom"/>
            <w:tcBorders>
              <w:right w:val="single" w:sz="8" w:color="auto"/>
            </w:tcBorders>
            <w:vMerge w:val="restart"/>
            <w:shd w:val="clear" w:color="auto" w:fill="E6E6E6"/>
          </w:tcPr>
          <w:p>
            <w:pPr>
              <w:jc w:val="center"/>
              <w:ind w:right="201"/>
              <w:spacing w:after="0"/>
              <w:rPr>
                <w:sz w:val="20"/>
                <w:szCs w:val="20"/>
                <w:color w:val="auto"/>
              </w:rPr>
            </w:pPr>
            <w:r>
              <w:rPr>
                <w:rFonts w:ascii="Times New Roman" w:cs="Times New Roman" w:eastAsia="Times New Roman" w:hAnsi="Times New Roman"/>
                <w:sz w:val="20"/>
                <w:szCs w:val="20"/>
                <w:b w:val="1"/>
                <w:bCs w:val="1"/>
                <w:color w:val="auto"/>
                <w:w w:val="96"/>
              </w:rPr>
              <w:t>Total Net</w:t>
            </w: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Letter of</w:t>
            </w: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Unused</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40" w:type="dxa"/>
            <w:vAlign w:val="bottom"/>
            <w:shd w:val="clear" w:color="auto" w:fill="E6E6E6"/>
          </w:tcPr>
          <w:p>
            <w:pPr>
              <w:spacing w:after="0"/>
              <w:rPr>
                <w:sz w:val="9"/>
                <w:szCs w:val="9"/>
                <w:color w:val="auto"/>
              </w:rPr>
            </w:pPr>
          </w:p>
        </w:tc>
        <w:tc>
          <w:tcPr>
            <w:tcW w:w="60" w:type="dxa"/>
            <w:vAlign w:val="bottom"/>
            <w:shd w:val="clear" w:color="auto" w:fill="E6E6E6"/>
          </w:tcPr>
          <w:p>
            <w:pPr>
              <w:spacing w:after="0"/>
              <w:rPr>
                <w:sz w:val="9"/>
                <w:szCs w:val="9"/>
                <w:color w:val="auto"/>
              </w:rPr>
            </w:pPr>
          </w:p>
        </w:tc>
        <w:tc>
          <w:tcPr>
            <w:tcW w:w="116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Term SOFR</w:t>
            </w: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00" w:type="dxa"/>
            <w:vAlign w:val="bottom"/>
            <w:tcBorders>
              <w:left w:val="single" w:sz="8" w:color="auto"/>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Level</w:t>
            </w:r>
          </w:p>
        </w:tc>
        <w:tc>
          <w:tcPr>
            <w:tcW w:w="1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40" w:type="dxa"/>
            <w:vAlign w:val="bottom"/>
            <w:shd w:val="clear" w:color="auto" w:fill="E6E6E6"/>
          </w:tcPr>
          <w:p>
            <w:pPr>
              <w:spacing w:after="0"/>
              <w:rPr>
                <w:sz w:val="17"/>
                <w:szCs w:val="17"/>
                <w:color w:val="auto"/>
              </w:rPr>
            </w:pPr>
          </w:p>
        </w:tc>
        <w:tc>
          <w:tcPr>
            <w:tcW w:w="60" w:type="dxa"/>
            <w:vAlign w:val="bottom"/>
            <w:shd w:val="clear" w:color="auto" w:fill="E6E6E6"/>
          </w:tcPr>
          <w:p>
            <w:pPr>
              <w:spacing w:after="0"/>
              <w:rPr>
                <w:sz w:val="17"/>
                <w:szCs w:val="17"/>
                <w:color w:val="auto"/>
              </w:rPr>
            </w:pPr>
          </w:p>
        </w:tc>
        <w:tc>
          <w:tcPr>
            <w:tcW w:w="1160" w:type="dxa"/>
            <w:vAlign w:val="bottom"/>
            <w:tcBorders>
              <w:right w:val="single" w:sz="8" w:color="auto"/>
            </w:tcBorders>
            <w:shd w:val="clear" w:color="auto" w:fill="E6E6E6"/>
          </w:tcPr>
          <w:p>
            <w:pPr>
              <w:jc w:val="center"/>
              <w:ind w:right="201"/>
              <w:spacing w:after="0" w:line="203" w:lineRule="exact"/>
              <w:rPr>
                <w:sz w:val="20"/>
                <w:szCs w:val="20"/>
                <w:color w:val="auto"/>
              </w:rPr>
            </w:pPr>
            <w:r>
              <w:rPr>
                <w:rFonts w:ascii="Times New Roman" w:cs="Times New Roman" w:eastAsia="Times New Roman" w:hAnsi="Times New Roman"/>
                <w:sz w:val="20"/>
                <w:szCs w:val="20"/>
                <w:b w:val="1"/>
                <w:bCs w:val="1"/>
                <w:color w:val="auto"/>
                <w:w w:val="98"/>
              </w:rPr>
              <w:t>Leverage</w:t>
            </w:r>
          </w:p>
        </w:tc>
        <w:tc>
          <w:tcPr>
            <w:tcW w:w="124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6"/>
              </w:rPr>
              <w:t>Term SOFR</w:t>
            </w:r>
          </w:p>
        </w:tc>
        <w:tc>
          <w:tcPr>
            <w:tcW w:w="1240" w:type="dxa"/>
            <w:vAlign w:val="bottom"/>
            <w:tcBorders>
              <w:right w:val="single" w:sz="8" w:color="auto"/>
            </w:tcBorders>
            <w:vMerge w:val="continue"/>
            <w:shd w:val="clear" w:color="auto" w:fill="E6E6E6"/>
          </w:tcPr>
          <w:p>
            <w:pPr>
              <w:spacing w:after="0"/>
              <w:rPr>
                <w:sz w:val="17"/>
                <w:szCs w:val="17"/>
                <w:color w:val="auto"/>
              </w:rPr>
            </w:pPr>
          </w:p>
        </w:tc>
        <w:tc>
          <w:tcPr>
            <w:tcW w:w="126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Base Rate</w:t>
            </w:r>
          </w:p>
        </w:tc>
        <w:tc>
          <w:tcPr>
            <w:tcW w:w="1240" w:type="dxa"/>
            <w:vAlign w:val="bottom"/>
            <w:tcBorders>
              <w:right w:val="single" w:sz="8" w:color="auto"/>
            </w:tcBorders>
            <w:vMerge w:val="continue"/>
            <w:shd w:val="clear" w:color="auto" w:fill="E6E6E6"/>
          </w:tcPr>
          <w:p>
            <w:pPr>
              <w:spacing w:after="0"/>
              <w:rPr>
                <w:sz w:val="17"/>
                <w:szCs w:val="17"/>
                <w:color w:val="auto"/>
              </w:rPr>
            </w:pPr>
          </w:p>
        </w:tc>
        <w:tc>
          <w:tcPr>
            <w:tcW w:w="124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Credit Fee</w:t>
            </w:r>
          </w:p>
        </w:tc>
        <w:tc>
          <w:tcPr>
            <w:tcW w:w="126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Revolving</w:t>
            </w:r>
          </w:p>
        </w:tc>
        <w:tc>
          <w:tcPr>
            <w:tcW w:w="0" w:type="dxa"/>
            <w:vAlign w:val="bottom"/>
          </w:tcPr>
          <w:p>
            <w:pPr>
              <w:spacing w:after="0"/>
              <w:rPr>
                <w:sz w:val="1"/>
                <w:szCs w:val="1"/>
                <w:color w:val="auto"/>
              </w:rPr>
            </w:pPr>
          </w:p>
        </w:tc>
      </w:tr>
      <w:tr>
        <w:trPr>
          <w:trHeight w:val="149"/>
        </w:trPr>
        <w:tc>
          <w:tcPr>
            <w:tcW w:w="1000" w:type="dxa"/>
            <w:vAlign w:val="bottom"/>
            <w:tcBorders>
              <w:left w:val="single" w:sz="8" w:color="auto"/>
              <w:right w:val="single" w:sz="8" w:color="auto"/>
            </w:tcBorders>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1160" w:type="dxa"/>
            <w:vAlign w:val="bottom"/>
            <w:tcBorders>
              <w:right w:val="single" w:sz="8" w:color="auto"/>
            </w:tcBorders>
            <w:vMerge w:val="restart"/>
            <w:shd w:val="clear" w:color="auto" w:fill="E6E6E6"/>
          </w:tcPr>
          <w:p>
            <w:pPr>
              <w:jc w:val="center"/>
              <w:ind w:right="201"/>
              <w:spacing w:after="0"/>
              <w:rPr>
                <w:sz w:val="20"/>
                <w:szCs w:val="20"/>
                <w:color w:val="auto"/>
              </w:rPr>
            </w:pPr>
            <w:r>
              <w:rPr>
                <w:rFonts w:ascii="Times New Roman" w:cs="Times New Roman" w:eastAsia="Times New Roman" w:hAnsi="Times New Roman"/>
                <w:sz w:val="20"/>
                <w:szCs w:val="20"/>
                <w:b w:val="1"/>
                <w:bCs w:val="1"/>
                <w:color w:val="auto"/>
                <w:w w:val="98"/>
              </w:rPr>
              <w:t>Ratio</w:t>
            </w: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1240" w:type="dxa"/>
            <w:vAlign w:val="bottom"/>
            <w:tcBorders>
              <w:right w:val="single" w:sz="8" w:color="auto"/>
            </w:tcBorders>
            <w:shd w:val="clear" w:color="auto" w:fill="E6E6E6"/>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Loans</w:t>
            </w: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1240" w:type="dxa"/>
            <w:vAlign w:val="bottom"/>
            <w:tcBorders>
              <w:right w:val="single" w:sz="8" w:color="auto"/>
            </w:tcBorders>
            <w:shd w:val="clear" w:color="auto" w:fill="E6E6E6"/>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Loans</w:t>
            </w: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40" w:type="dxa"/>
            <w:vAlign w:val="bottom"/>
            <w:shd w:val="clear" w:color="auto" w:fill="E6E6E6"/>
          </w:tcPr>
          <w:p>
            <w:pPr>
              <w:spacing w:after="0"/>
              <w:rPr>
                <w:sz w:val="9"/>
                <w:szCs w:val="9"/>
                <w:color w:val="auto"/>
              </w:rPr>
            </w:pPr>
          </w:p>
        </w:tc>
        <w:tc>
          <w:tcPr>
            <w:tcW w:w="60" w:type="dxa"/>
            <w:vAlign w:val="bottom"/>
            <w:shd w:val="clear" w:color="auto" w:fill="E6E6E6"/>
          </w:tcPr>
          <w:p>
            <w:pPr>
              <w:spacing w:after="0"/>
              <w:rPr>
                <w:sz w:val="9"/>
                <w:szCs w:val="9"/>
                <w:color w:val="auto"/>
              </w:rPr>
            </w:pPr>
          </w:p>
        </w:tc>
        <w:tc>
          <w:tcPr>
            <w:tcW w:w="116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(Revolving</w:t>
            </w: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(Revolving</w:t>
            </w: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shd w:val="clear" w:color="auto" w:fill="E6E6E6"/>
          </w:tcPr>
          <w:p>
            <w:pPr>
              <w:spacing w:after="0"/>
              <w:rPr>
                <w:sz w:val="10"/>
                <w:szCs w:val="10"/>
                <w:color w:val="auto"/>
              </w:rPr>
            </w:pPr>
          </w:p>
        </w:tc>
        <w:tc>
          <w:tcPr>
            <w:tcW w:w="100" w:type="dxa"/>
            <w:vAlign w:val="bottom"/>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40" w:type="dxa"/>
            <w:vAlign w:val="bottom"/>
            <w:shd w:val="clear" w:color="auto" w:fill="E6E6E6"/>
          </w:tcPr>
          <w:p>
            <w:pPr>
              <w:spacing w:after="0"/>
              <w:rPr>
                <w:sz w:val="10"/>
                <w:szCs w:val="10"/>
                <w:color w:val="auto"/>
              </w:rPr>
            </w:pPr>
          </w:p>
        </w:tc>
        <w:tc>
          <w:tcPr>
            <w:tcW w:w="60" w:type="dxa"/>
            <w:vAlign w:val="bottom"/>
            <w:shd w:val="clear" w:color="auto" w:fill="E6E6E6"/>
          </w:tcPr>
          <w:p>
            <w:pPr>
              <w:spacing w:after="0"/>
              <w:rPr>
                <w:sz w:val="10"/>
                <w:szCs w:val="10"/>
                <w:color w:val="auto"/>
              </w:rPr>
            </w:pPr>
          </w:p>
        </w:tc>
        <w:tc>
          <w:tcPr>
            <w:tcW w:w="1160" w:type="dxa"/>
            <w:vAlign w:val="bottom"/>
            <w:tcBorders>
              <w:right w:val="single" w:sz="8" w:color="auto"/>
            </w:tcBorders>
            <w:shd w:val="clear" w:color="auto" w:fill="E6E6E6"/>
          </w:tcPr>
          <w:p>
            <w:pPr>
              <w:spacing w:after="0"/>
              <w:rPr>
                <w:sz w:val="10"/>
                <w:szCs w:val="10"/>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(Term Loan)</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(Term Loan)</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40" w:type="dxa"/>
            <w:vAlign w:val="bottom"/>
            <w:tcBorders>
              <w:right w:val="single" w:sz="8" w:color="auto"/>
            </w:tcBorders>
            <w:shd w:val="clear" w:color="auto" w:fill="E6E6E6"/>
          </w:tcPr>
          <w:p>
            <w:pPr>
              <w:spacing w:after="0"/>
              <w:rPr>
                <w:sz w:val="10"/>
                <w:szCs w:val="10"/>
                <w:color w:val="auto"/>
              </w:rPr>
            </w:pP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Fee Rate</w:t>
            </w:r>
          </w:p>
        </w:tc>
        <w:tc>
          <w:tcPr>
            <w:tcW w:w="0" w:type="dxa"/>
            <w:vAlign w:val="bottom"/>
          </w:tcPr>
          <w:p>
            <w:pPr>
              <w:spacing w:after="0"/>
              <w:rPr>
                <w:sz w:val="1"/>
                <w:szCs w:val="1"/>
                <w:color w:val="auto"/>
              </w:rPr>
            </w:pPr>
          </w:p>
        </w:tc>
      </w:tr>
      <w:tr>
        <w:trPr>
          <w:trHeight w:val="141"/>
        </w:trPr>
        <w:tc>
          <w:tcPr>
            <w:tcW w:w="1000" w:type="dxa"/>
            <w:vAlign w:val="bottom"/>
            <w:tcBorders>
              <w:left w:val="single" w:sz="8" w:color="auto"/>
              <w:right w:val="single" w:sz="8" w:color="auto"/>
            </w:tcBorders>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 w:type="dxa"/>
            <w:vAlign w:val="bottom"/>
            <w:shd w:val="clear" w:color="auto" w:fill="E6E6E6"/>
          </w:tcPr>
          <w:p>
            <w:pPr>
              <w:spacing w:after="0"/>
              <w:rPr>
                <w:sz w:val="12"/>
                <w:szCs w:val="12"/>
                <w:color w:val="auto"/>
              </w:rPr>
            </w:pPr>
          </w:p>
        </w:tc>
        <w:tc>
          <w:tcPr>
            <w:tcW w:w="40" w:type="dxa"/>
            <w:vAlign w:val="bottom"/>
            <w:shd w:val="clear" w:color="auto" w:fill="E6E6E6"/>
          </w:tcPr>
          <w:p>
            <w:pPr>
              <w:spacing w:after="0"/>
              <w:rPr>
                <w:sz w:val="12"/>
                <w:szCs w:val="12"/>
                <w:color w:val="auto"/>
              </w:rPr>
            </w:pPr>
          </w:p>
        </w:tc>
        <w:tc>
          <w:tcPr>
            <w:tcW w:w="60" w:type="dxa"/>
            <w:vAlign w:val="bottom"/>
            <w:shd w:val="clear" w:color="auto" w:fill="E6E6E6"/>
          </w:tcPr>
          <w:p>
            <w:pPr>
              <w:spacing w:after="0"/>
              <w:rPr>
                <w:sz w:val="12"/>
                <w:szCs w:val="12"/>
                <w:color w:val="auto"/>
              </w:rPr>
            </w:pPr>
          </w:p>
        </w:tc>
        <w:tc>
          <w:tcPr>
            <w:tcW w:w="1160" w:type="dxa"/>
            <w:vAlign w:val="bottom"/>
            <w:tcBorders>
              <w:right w:val="single" w:sz="8" w:color="auto"/>
            </w:tcBorders>
            <w:shd w:val="clear" w:color="auto" w:fill="E6E6E6"/>
          </w:tcPr>
          <w:p>
            <w:pPr>
              <w:spacing w:after="0"/>
              <w:rPr>
                <w:sz w:val="12"/>
                <w:szCs w:val="12"/>
                <w:color w:val="auto"/>
              </w:rPr>
            </w:pPr>
          </w:p>
        </w:tc>
        <w:tc>
          <w:tcPr>
            <w:tcW w:w="1240" w:type="dxa"/>
            <w:vAlign w:val="bottom"/>
            <w:tcBorders>
              <w:right w:val="single" w:sz="8" w:color="auto"/>
            </w:tcBorders>
            <w:vMerge w:val="continue"/>
            <w:shd w:val="clear" w:color="auto" w:fill="E6E6E6"/>
          </w:tcPr>
          <w:p>
            <w:pPr>
              <w:spacing w:after="0"/>
              <w:rPr>
                <w:sz w:val="12"/>
                <w:szCs w:val="12"/>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Loan)</w:t>
            </w:r>
          </w:p>
        </w:tc>
        <w:tc>
          <w:tcPr>
            <w:tcW w:w="1260" w:type="dxa"/>
            <w:vAlign w:val="bottom"/>
            <w:tcBorders>
              <w:right w:val="single" w:sz="8" w:color="auto"/>
            </w:tcBorders>
            <w:vMerge w:val="continue"/>
            <w:shd w:val="clear" w:color="auto" w:fill="E6E6E6"/>
          </w:tcPr>
          <w:p>
            <w:pPr>
              <w:spacing w:after="0"/>
              <w:rPr>
                <w:sz w:val="12"/>
                <w:szCs w:val="12"/>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Loan)</w:t>
            </w:r>
          </w:p>
        </w:tc>
        <w:tc>
          <w:tcPr>
            <w:tcW w:w="1240" w:type="dxa"/>
            <w:vAlign w:val="bottom"/>
            <w:tcBorders>
              <w:right w:val="single" w:sz="8" w:color="auto"/>
            </w:tcBorders>
            <w:shd w:val="clear" w:color="auto" w:fill="E6E6E6"/>
          </w:tcPr>
          <w:p>
            <w:pPr>
              <w:spacing w:after="0"/>
              <w:rPr>
                <w:sz w:val="12"/>
                <w:szCs w:val="12"/>
                <w:color w:val="auto"/>
              </w:rPr>
            </w:pPr>
          </w:p>
        </w:tc>
        <w:tc>
          <w:tcPr>
            <w:tcW w:w="1260" w:type="dxa"/>
            <w:vAlign w:val="bottom"/>
            <w:tcBorders>
              <w:right w:val="single" w:sz="8" w:color="auto"/>
            </w:tcBorders>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00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100" w:type="dxa"/>
            <w:vAlign w:val="bottom"/>
            <w:tcBorders>
              <w:bottom w:val="single" w:sz="8" w:color="auto"/>
            </w:tcBorders>
            <w:shd w:val="clear" w:color="auto" w:fill="E6E6E6"/>
          </w:tcPr>
          <w:p>
            <w:pPr>
              <w:spacing w:after="0"/>
              <w:rPr>
                <w:sz w:val="10"/>
                <w:szCs w:val="10"/>
                <w:color w:val="auto"/>
              </w:rPr>
            </w:pPr>
          </w:p>
        </w:tc>
        <w:tc>
          <w:tcPr>
            <w:tcW w:w="80" w:type="dxa"/>
            <w:vAlign w:val="bottom"/>
            <w:tcBorders>
              <w:bottom w:val="single" w:sz="8" w:color="auto"/>
            </w:tcBorders>
            <w:shd w:val="clear" w:color="auto" w:fill="E6E6E6"/>
          </w:tcPr>
          <w:p>
            <w:pPr>
              <w:spacing w:after="0"/>
              <w:rPr>
                <w:sz w:val="10"/>
                <w:szCs w:val="10"/>
                <w:color w:val="auto"/>
              </w:rPr>
            </w:pPr>
          </w:p>
        </w:tc>
        <w:tc>
          <w:tcPr>
            <w:tcW w:w="40" w:type="dxa"/>
            <w:vAlign w:val="bottom"/>
            <w:tcBorders>
              <w:bottom w:val="single" w:sz="8" w:color="auto"/>
            </w:tcBorders>
            <w:shd w:val="clear" w:color="auto" w:fill="E6E6E6"/>
          </w:tcPr>
          <w:p>
            <w:pPr>
              <w:spacing w:after="0"/>
              <w:rPr>
                <w:sz w:val="10"/>
                <w:szCs w:val="10"/>
                <w:color w:val="auto"/>
              </w:rPr>
            </w:pPr>
          </w:p>
        </w:tc>
        <w:tc>
          <w:tcPr>
            <w:tcW w:w="60" w:type="dxa"/>
            <w:vAlign w:val="bottom"/>
            <w:tcBorders>
              <w:bottom w:val="single" w:sz="8" w:color="auto"/>
            </w:tcBorders>
            <w:shd w:val="clear" w:color="auto" w:fill="E6E6E6"/>
          </w:tcPr>
          <w:p>
            <w:pPr>
              <w:spacing w:after="0"/>
              <w:rPr>
                <w:sz w:val="10"/>
                <w:szCs w:val="10"/>
                <w:color w:val="auto"/>
              </w:rPr>
            </w:pPr>
          </w:p>
        </w:tc>
        <w:tc>
          <w:tcPr>
            <w:tcW w:w="1160" w:type="dxa"/>
            <w:vAlign w:val="bottom"/>
            <w:tcBorders>
              <w:bottom w:val="single" w:sz="8" w:color="auto"/>
              <w:right w:val="single" w:sz="8" w:color="auto"/>
            </w:tcBorders>
            <w:shd w:val="clear" w:color="auto" w:fill="E6E6E6"/>
          </w:tcPr>
          <w:p>
            <w:pPr>
              <w:spacing w:after="0"/>
              <w:rPr>
                <w:sz w:val="10"/>
                <w:szCs w:val="10"/>
                <w:color w:val="auto"/>
              </w:rPr>
            </w:pPr>
          </w:p>
        </w:tc>
        <w:tc>
          <w:tcPr>
            <w:tcW w:w="1240" w:type="dxa"/>
            <w:vAlign w:val="bottom"/>
            <w:tcBorders>
              <w:bottom w:val="single" w:sz="8" w:color="auto"/>
              <w:right w:val="single" w:sz="8" w:color="auto"/>
            </w:tcBorders>
            <w:shd w:val="clear" w:color="auto" w:fill="E6E6E6"/>
          </w:tcPr>
          <w:p>
            <w:pPr>
              <w:spacing w:after="0"/>
              <w:rPr>
                <w:sz w:val="10"/>
                <w:szCs w:val="10"/>
                <w:color w:val="auto"/>
              </w:rPr>
            </w:pPr>
          </w:p>
        </w:tc>
        <w:tc>
          <w:tcPr>
            <w:tcW w:w="124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1260" w:type="dxa"/>
            <w:vAlign w:val="bottom"/>
            <w:tcBorders>
              <w:bottom w:val="single" w:sz="8" w:color="auto"/>
              <w:right w:val="single" w:sz="8" w:color="auto"/>
            </w:tcBorders>
            <w:shd w:val="clear" w:color="auto" w:fill="E6E6E6"/>
          </w:tcPr>
          <w:p>
            <w:pPr>
              <w:spacing w:after="0"/>
              <w:rPr>
                <w:sz w:val="10"/>
                <w:szCs w:val="10"/>
                <w:color w:val="auto"/>
              </w:rPr>
            </w:pPr>
          </w:p>
        </w:tc>
        <w:tc>
          <w:tcPr>
            <w:tcW w:w="124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1240" w:type="dxa"/>
            <w:vAlign w:val="bottom"/>
            <w:tcBorders>
              <w:bottom w:val="single" w:sz="8" w:color="auto"/>
              <w:right w:val="single" w:sz="8" w:color="auto"/>
            </w:tcBorders>
            <w:shd w:val="clear" w:color="auto" w:fill="E6E6E6"/>
          </w:tcPr>
          <w:p>
            <w:pPr>
              <w:spacing w:after="0"/>
              <w:rPr>
                <w:sz w:val="10"/>
                <w:szCs w:val="10"/>
                <w:color w:val="auto"/>
              </w:rPr>
            </w:pPr>
          </w:p>
        </w:tc>
        <w:tc>
          <w:tcPr>
            <w:tcW w:w="1260" w:type="dxa"/>
            <w:vAlign w:val="bottom"/>
            <w:tcBorders>
              <w:bottom w:val="single" w:sz="8" w:color="auto"/>
              <w:right w:val="single" w:sz="8" w:color="auto"/>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I</w:t>
            </w:r>
          </w:p>
        </w:tc>
        <w:tc>
          <w:tcPr>
            <w:tcW w:w="100" w:type="dxa"/>
            <w:vAlign w:val="bottom"/>
          </w:tcPr>
          <w:p>
            <w:pPr>
              <w:spacing w:after="0"/>
              <w:rPr>
                <w:sz w:val="20"/>
                <w:szCs w:val="20"/>
                <w:color w:val="auto"/>
              </w:rPr>
            </w:pPr>
          </w:p>
        </w:tc>
        <w:tc>
          <w:tcPr>
            <w:tcW w:w="1340" w:type="dxa"/>
            <w:vAlign w:val="bottom"/>
            <w:tcBorders>
              <w:right w:val="single" w:sz="8" w:color="auto"/>
            </w:tcBorders>
            <w:gridSpan w:val="4"/>
          </w:tcPr>
          <w:p>
            <w:pPr>
              <w:jc w:val="center"/>
              <w:ind w:right="21"/>
              <w:spacing w:after="0"/>
              <w:rPr>
                <w:sz w:val="20"/>
                <w:szCs w:val="20"/>
                <w:color w:val="auto"/>
              </w:rPr>
            </w:pPr>
            <w:r>
              <w:rPr>
                <w:rFonts w:ascii="Times New Roman" w:cs="Times New Roman" w:eastAsia="Times New Roman" w:hAnsi="Times New Roman"/>
                <w:sz w:val="20"/>
                <w:szCs w:val="20"/>
                <w:color w:val="auto"/>
                <w:w w:val="99"/>
              </w:rPr>
              <w:t>&gt;3.25 to 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3.75%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3.50%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2.75%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2.50%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3.50%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0.500%</w:t>
            </w:r>
          </w:p>
        </w:tc>
        <w:tc>
          <w:tcPr>
            <w:tcW w:w="0" w:type="dxa"/>
            <w:vAlign w:val="bottom"/>
          </w:tcPr>
          <w:p>
            <w:pPr>
              <w:spacing w:after="0"/>
              <w:rPr>
                <w:sz w:val="1"/>
                <w:szCs w:val="1"/>
                <w:color w:val="auto"/>
              </w:rPr>
            </w:pPr>
          </w:p>
        </w:tc>
      </w:tr>
      <w:tr>
        <w:trPr>
          <w:trHeight w:val="75"/>
        </w:trPr>
        <w:tc>
          <w:tcPr>
            <w:tcW w:w="100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89"/>
              </w:rPr>
              <w:t>II</w:t>
            </w:r>
          </w:p>
        </w:tc>
        <w:tc>
          <w:tcPr>
            <w:tcW w:w="1440" w:type="dxa"/>
            <w:vAlign w:val="bottom"/>
            <w:tcBorders>
              <w:right w:val="single" w:sz="8" w:color="auto"/>
            </w:tcBorders>
            <w:gridSpan w:val="5"/>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&gt; 2.50:1.00 but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3.25%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3.00%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2.25%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2.00%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3.00%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0.500%</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tcBorders>
              <w:top w:val="single" w:sz="8" w:color="auto"/>
            </w:tcBorders>
            <w:gridSpan w:val="2"/>
            <w:vMerge w:val="restart"/>
          </w:tcPr>
          <w:p>
            <w:pPr>
              <w:spacing w:after="0"/>
              <w:rPr>
                <w:sz w:val="11"/>
                <w:szCs w:val="11"/>
                <w:color w:val="auto"/>
              </w:rPr>
            </w:pPr>
          </w:p>
        </w:tc>
        <w:tc>
          <w:tcPr>
            <w:tcW w:w="1220" w:type="dxa"/>
            <w:vAlign w:val="bottom"/>
            <w:tcBorders>
              <w:right w:val="single" w:sz="8" w:color="auto"/>
            </w:tcBorders>
            <w:gridSpan w:val="2"/>
            <w:vMerge w:val="restart"/>
          </w:tcPr>
          <w:p>
            <w:pPr>
              <w:jc w:val="center"/>
              <w:ind w:right="141"/>
              <w:spacing w:after="0"/>
              <w:rPr>
                <w:sz w:val="20"/>
                <w:szCs w:val="20"/>
                <w:color w:val="auto"/>
              </w:rPr>
            </w:pPr>
            <w:r>
              <w:rPr>
                <w:rFonts w:ascii="Times New Roman" w:cs="Times New Roman" w:eastAsia="Times New Roman" w:hAnsi="Times New Roman"/>
                <w:sz w:val="20"/>
                <w:szCs w:val="20"/>
                <w:color w:val="auto"/>
                <w:w w:val="97"/>
              </w:rPr>
              <w:t>&lt; 3.25:1.00</w:t>
            </w: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0" w:type="dxa"/>
            <w:vAlign w:val="bottom"/>
            <w:tcBorders>
              <w:left w:val="single" w:sz="8" w:color="auto"/>
              <w:right w:val="single" w:sz="8" w:color="auto"/>
            </w:tcBorders>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122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1440" w:type="dxa"/>
            <w:vAlign w:val="bottom"/>
            <w:tcBorders>
              <w:right w:val="single" w:sz="8" w:color="auto"/>
            </w:tcBorders>
            <w:gridSpan w:val="5"/>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&gt; 2.00:1.00 but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2.75%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2.50%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1.75%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1.50%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2.50%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0.375%</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tcBorders>
              <w:top w:val="single" w:sz="8" w:color="auto"/>
            </w:tcBorders>
            <w:gridSpan w:val="2"/>
            <w:vMerge w:val="restart"/>
          </w:tcPr>
          <w:p>
            <w:pPr>
              <w:spacing w:after="0"/>
              <w:rPr>
                <w:sz w:val="11"/>
                <w:szCs w:val="11"/>
                <w:color w:val="auto"/>
              </w:rPr>
            </w:pPr>
          </w:p>
        </w:tc>
        <w:tc>
          <w:tcPr>
            <w:tcW w:w="1220" w:type="dxa"/>
            <w:vAlign w:val="bottom"/>
            <w:tcBorders>
              <w:right w:val="single" w:sz="8" w:color="auto"/>
            </w:tcBorders>
            <w:gridSpan w:val="2"/>
            <w:vMerge w:val="restart"/>
          </w:tcPr>
          <w:p>
            <w:pPr>
              <w:jc w:val="center"/>
              <w:ind w:right="141"/>
              <w:spacing w:after="0"/>
              <w:rPr>
                <w:sz w:val="20"/>
                <w:szCs w:val="20"/>
                <w:color w:val="auto"/>
              </w:rPr>
            </w:pPr>
            <w:r>
              <w:rPr>
                <w:rFonts w:ascii="Times New Roman" w:cs="Times New Roman" w:eastAsia="Times New Roman" w:hAnsi="Times New Roman"/>
                <w:sz w:val="20"/>
                <w:szCs w:val="20"/>
                <w:color w:val="auto"/>
                <w:w w:val="97"/>
              </w:rPr>
              <w:t>&lt; 2.50:1.00</w:t>
            </w: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122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4"/>
              </w:rPr>
              <w:t>IV</w:t>
            </w:r>
          </w:p>
        </w:tc>
        <w:tc>
          <w:tcPr>
            <w:tcW w:w="1440" w:type="dxa"/>
            <w:vAlign w:val="bottom"/>
            <w:tcBorders>
              <w:right w:val="single" w:sz="8" w:color="auto"/>
            </w:tcBorders>
            <w:gridSpan w:val="5"/>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&gt; 1.50:1.00 but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2.25%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1.25%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1.00%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2.00%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0.250%</w:t>
            </w:r>
          </w:p>
        </w:tc>
        <w:tc>
          <w:tcPr>
            <w:tcW w:w="0" w:type="dxa"/>
            <w:vAlign w:val="bottom"/>
          </w:tcPr>
          <w:p>
            <w:pPr>
              <w:spacing w:after="0"/>
              <w:rPr>
                <w:sz w:val="1"/>
                <w:szCs w:val="1"/>
                <w:color w:val="auto"/>
              </w:rPr>
            </w:pPr>
          </w:p>
        </w:tc>
      </w:tr>
      <w:tr>
        <w:trPr>
          <w:trHeight w:val="135"/>
        </w:trPr>
        <w:tc>
          <w:tcPr>
            <w:tcW w:w="100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120" w:type="dxa"/>
            <w:vAlign w:val="bottom"/>
            <w:tcBorders>
              <w:top w:val="single" w:sz="8" w:color="auto"/>
            </w:tcBorders>
            <w:gridSpan w:val="2"/>
            <w:vMerge w:val="restart"/>
          </w:tcPr>
          <w:p>
            <w:pPr>
              <w:spacing w:after="0"/>
              <w:rPr>
                <w:sz w:val="11"/>
                <w:szCs w:val="11"/>
                <w:color w:val="auto"/>
              </w:rPr>
            </w:pPr>
          </w:p>
        </w:tc>
        <w:tc>
          <w:tcPr>
            <w:tcW w:w="1220" w:type="dxa"/>
            <w:vAlign w:val="bottom"/>
            <w:tcBorders>
              <w:right w:val="single" w:sz="8" w:color="auto"/>
            </w:tcBorders>
            <w:gridSpan w:val="2"/>
            <w:vMerge w:val="restart"/>
          </w:tcPr>
          <w:p>
            <w:pPr>
              <w:jc w:val="center"/>
              <w:ind w:right="141"/>
              <w:spacing w:after="0"/>
              <w:rPr>
                <w:sz w:val="20"/>
                <w:szCs w:val="20"/>
                <w:color w:val="auto"/>
              </w:rPr>
            </w:pPr>
            <w:r>
              <w:rPr>
                <w:rFonts w:ascii="Times New Roman" w:cs="Times New Roman" w:eastAsia="Times New Roman" w:hAnsi="Times New Roman"/>
                <w:sz w:val="20"/>
                <w:szCs w:val="20"/>
                <w:color w:val="auto"/>
                <w:w w:val="97"/>
              </w:rPr>
              <w:t>&lt; 2.00:1.00</w:t>
            </w: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00" w:type="dxa"/>
            <w:vAlign w:val="bottom"/>
            <w:tcBorders>
              <w:left w:val="single" w:sz="8" w:color="auto"/>
              <w:right w:val="single" w:sz="8" w:color="auto"/>
            </w:tcBorders>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122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0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4"/>
        </w:trPr>
        <w:tc>
          <w:tcPr>
            <w:tcW w:w="1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w:t>
            </w:r>
          </w:p>
        </w:tc>
        <w:tc>
          <w:tcPr>
            <w:tcW w:w="100" w:type="dxa"/>
            <w:vAlign w:val="bottom"/>
          </w:tcPr>
          <w:p>
            <w:pPr>
              <w:spacing w:after="0"/>
              <w:rPr>
                <w:sz w:val="24"/>
                <w:szCs w:val="24"/>
                <w:color w:val="auto"/>
              </w:rPr>
            </w:pPr>
          </w:p>
        </w:tc>
        <w:tc>
          <w:tcPr>
            <w:tcW w:w="1340" w:type="dxa"/>
            <w:vAlign w:val="bottom"/>
            <w:tcBorders>
              <w:right w:val="single" w:sz="8" w:color="auto"/>
            </w:tcBorders>
            <w:gridSpan w:val="4"/>
          </w:tcPr>
          <w:p>
            <w:pPr>
              <w:jc w:val="center"/>
              <w:ind w:right="21"/>
              <w:spacing w:after="0"/>
              <w:rPr>
                <w:sz w:val="20"/>
                <w:szCs w:val="20"/>
                <w:color w:val="auto"/>
              </w:rPr>
            </w:pPr>
            <w:r>
              <w:rPr>
                <w:rFonts w:ascii="Times New Roman" w:cs="Times New Roman" w:eastAsia="Times New Roman" w:hAnsi="Times New Roman"/>
                <w:sz w:val="20"/>
                <w:szCs w:val="20"/>
                <w:color w:val="auto"/>
                <w:w w:val="98"/>
              </w:rPr>
              <w:t>&lt; 1.50 to 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1.75%</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0.75%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1.75%</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0.250%</w:t>
            </w:r>
          </w:p>
        </w:tc>
        <w:tc>
          <w:tcPr>
            <w:tcW w:w="0" w:type="dxa"/>
            <w:vAlign w:val="bottom"/>
          </w:tcPr>
          <w:p>
            <w:pPr>
              <w:spacing w:after="0"/>
              <w:rPr>
                <w:sz w:val="1"/>
                <w:szCs w:val="1"/>
                <w:color w:val="auto"/>
              </w:rPr>
            </w:pPr>
          </w:p>
        </w:tc>
      </w:tr>
      <w:tr>
        <w:trPr>
          <w:trHeight w:val="143"/>
        </w:trPr>
        <w:tc>
          <w:tcPr>
            <w:tcW w:w="1000" w:type="dxa"/>
            <w:vAlign w:val="bottom"/>
            <w:tcBorders>
              <w:left w:val="single" w:sz="8" w:color="auto"/>
              <w:bottom w:val="single" w:sz="8" w:color="auto"/>
              <w:right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determining the Applicable Margin, the Applicable Unused Commitment Fee Rate and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Letter of Credit Fee Rate:</w:t>
      </w:r>
    </w:p>
    <w:p>
      <w:pPr>
        <w:spacing w:after="0" w:line="194" w:lineRule="exact"/>
        <w:rPr>
          <w:sz w:val="20"/>
          <w:szCs w:val="20"/>
          <w:color w:val="auto"/>
        </w:rPr>
      </w:pPr>
    </w:p>
    <w:p>
      <w:pPr>
        <w:jc w:val="both"/>
        <w:ind w:firstLine="1304"/>
        <w:spacing w:after="0" w:line="254" w:lineRule="auto"/>
        <w:tabs>
          <w:tab w:leader="none" w:pos="19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Margin, the Applicable Unused Commitment Fee Rate and the Applicable Letter of Credit Fee Rate shall be set at Level III until receipt of the Compliance Certificate for the measurement period ending June 30, 2023.</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Margin, the Applicable Unused Commitment Fee Rate and the Applicable Letter of Credit Fee Rate shall be recomputed as of the end of each fiscal quarter 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5" w:name="page136"/>
    <w:bookmarkEnd w:id="135"/>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and after the measurement period ending on June 30, 2023 based on the Total Net Leverage Ratio as of such quarter end. Any increase or decrease in the Applicable Margin, the Applicable Unused Commitment Fee Rate or the Applicable Letter of Credit Fee Rate computed as of a quarter end shall be effective no later than five (5) Business Days following the date on which the Compliance Certificate evidencing such computation is delivered under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xml:space="preserve">. If a Compliance Certificate is not delivered when due in accordance with such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then the rates in Level I shall apply as of the first Business Day after the date on which such Compliance Certificate was required to have been delivered and shall remain in effect until the date on which such Compliance Certificate is delivered.</w:t>
      </w:r>
    </w:p>
    <w:p>
      <w:pPr>
        <w:spacing w:after="0" w:line="185" w:lineRule="exact"/>
        <w:rPr>
          <w:sz w:val="20"/>
          <w:szCs w:val="20"/>
          <w:color w:val="auto"/>
        </w:rPr>
      </w:pPr>
    </w:p>
    <w:p>
      <w:pPr>
        <w:jc w:val="both"/>
        <w:ind w:firstLine="1304"/>
        <w:spacing w:after="0" w:line="242" w:lineRule="auto"/>
        <w:tabs>
          <w:tab w:leader="none" w:pos="194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as a result of any restatement of or other adjustment to the financial statements of the Borrower or for any other reason, the Borrower or the Lenders determine that (i) the Total Net Leverage Ratio as calculated by the Borrower as of any applicable date was inaccurate and (ii) a proper calculation of the Total Net Leverage Ratio would have resulted in higher pricing for such period, the Borrower shall immediately and retroactively be obligated to pay to the Administrative Agent for the account of the applicable Lenders, promptly on demand by the Administrative Agent (or, after the occurrence of an actual or deemed entry of an order for relief with respect to the Borrower under the Bankruptcy Code, automatically and without further action by the Administrative Agent, any Lender or the Issuing Lender), an amount equal to the excess of the amount of interest and fees that should have been paid for such period over the amount of interest and fees actually paid for such period.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not limit the rights of the Administrative Agent, any Lender or the Issuing Lender, as the case may be, under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Letter of Credit Fee Rate for any Performance Standby Letter of Credit shall be set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Level V at all times.</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Prime Rate</w:t>
      </w:r>
      <w:r>
        <w:rPr>
          <w:rFonts w:ascii="Times New Roman" w:cs="Times New Roman" w:eastAsia="Times New Roman" w:hAnsi="Times New Roman"/>
          <w:sz w:val="20"/>
          <w:szCs w:val="20"/>
          <w:color w:val="auto"/>
        </w:rPr>
        <w:t xml:space="preserve">” means the rate of interest per annum last quoted by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as the “Prime Rate” in the U.S. or, if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Any change in the Prime Rate shall take effect at the opening of business on the day such change is publicly announced or quoted as being effective without the necessity of notice provided to the Borrower or any other Person.</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Office</w:t>
      </w:r>
      <w:r>
        <w:rPr>
          <w:rFonts w:ascii="Times New Roman" w:cs="Times New Roman" w:eastAsia="Times New Roman" w:hAnsi="Times New Roman"/>
          <w:sz w:val="20"/>
          <w:szCs w:val="20"/>
          <w:color w:val="auto"/>
        </w:rPr>
        <w:t>” means the main banking office of the Administrative Agent in Greenwood Village, Colorado, or such other banking office as may be designated by the Administrative Agent from time to time.</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Prior Security Interest</w:t>
      </w:r>
      <w:r>
        <w:rPr>
          <w:rFonts w:ascii="Times New Roman" w:cs="Times New Roman" w:eastAsia="Times New Roman" w:hAnsi="Times New Roman"/>
          <w:sz w:val="20"/>
          <w:szCs w:val="20"/>
          <w:color w:val="auto"/>
        </w:rPr>
        <w:t>” means a valid and enforceable perfected first-priority security interest in and to the Collateral that is subject only to Permitted Liens which have first-priority by operation of applicable Law, including Permitted Liens set forth in clauses (a), (b), (c), (e), (g), and (w) of the definition of “Permitted Liens”.</w:t>
      </w:r>
    </w:p>
    <w:p>
      <w:pPr>
        <w:spacing w:after="0" w:line="16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 Rata Share</w:t>
      </w:r>
      <w:r>
        <w:rPr>
          <w:rFonts w:ascii="Times New Roman" w:cs="Times New Roman" w:eastAsia="Times New Roman" w:hAnsi="Times New Roman"/>
          <w:sz w:val="20"/>
          <w:szCs w:val="20"/>
          <w:color w:val="auto"/>
        </w:rPr>
        <w:t xml:space="preserve">” means (a) (i) with respect to all Revolving Credit Facilities as of any date of determination, the proportion that a Revolving Lender’s Revolving Commitment as of such date bears to the aggregate amount of Revolving Commitments of all of the Revolving Lenders as of such date or (ii) with respect to any Tranche of Revolving Commitments as of any date of determination, the proportion of a Revolving Lender’s Revolving Commitment with respect to such Tranche as of such date bears to the aggregate amount of Revolving Commitments of all of the Revolving Lenders with respect to such Tranche as of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of the foregoing clauses (i) and (ii), if the Revolving Commitments have been terminated or have expired, Pro Rata Share under the Revolving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6" w:name="page137"/>
    <w:bookmarkEnd w:id="136"/>
    <w:p>
      <w:pPr>
        <w:jc w:val="both"/>
        <w:spacing w:after="0" w:line="243" w:lineRule="auto"/>
        <w:rPr>
          <w:sz w:val="20"/>
          <w:szCs w:val="20"/>
          <w:color w:val="auto"/>
        </w:rPr>
      </w:pPr>
      <w:r>
        <w:rPr>
          <w:rFonts w:ascii="Times New Roman" w:cs="Times New Roman" w:eastAsia="Times New Roman" w:hAnsi="Times New Roman"/>
          <w:sz w:val="20"/>
          <w:szCs w:val="20"/>
          <w:color w:val="auto"/>
        </w:rPr>
        <w:t>Facilities (or the applicable Tranche of Revolving Commitments) shall be determined based upon the applicable Revolving Commitments most recently in effect, giving effect to any assignment and (b) with respect to any Tranche of Term Loans as of any date of determination, (i) if any Term Loan Commitments with respect to such Tranche remain in effect, the proportion that a Term Lender’s unused Term Loan Commitments with respect to such Tranche bears to the aggregate amount of Term Loan Commitments of all of the Term Lenders for such Tranche as of such date, or (ii) if the Term Loan Commitments with respect to such Tranche have been terminated or have expired, the proportion that the outstanding principal amount of a Term Lender’s Term Loans for such Tranche as of such date bears to the aggregate principal amount of all outstanding Term Loans for such Tranche as of such date.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Protected Person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PUC</w:t>
      </w:r>
      <w:r>
        <w:rPr>
          <w:rFonts w:ascii="Times New Roman" w:cs="Times New Roman" w:eastAsia="Times New Roman" w:hAnsi="Times New Roman"/>
          <w:sz w:val="20"/>
          <w:szCs w:val="20"/>
          <w:color w:val="auto"/>
        </w:rPr>
        <w:t>” means any state, provincial or other local public utility commission, franchising authority, public right of way licensor or similar regulatory agency or body that exercises jurisdiction over the rates, terms or services or the ownership, construction or operation of any Communications System (and its related facilities and access to any public right of way) or over Persons who own, construct or operate a Communications System, in each case by reason of the nature or type of the services, operations or business subject to regulation and not pursuant to laws and regulations of general applicability to Persons conducting business in any such jurisdiction.</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PUC Laws</w:t>
      </w:r>
      <w:r>
        <w:rPr>
          <w:rFonts w:ascii="Times New Roman" w:cs="Times New Roman" w:eastAsia="Times New Roman" w:hAnsi="Times New Roman"/>
          <w:sz w:val="20"/>
          <w:szCs w:val="20"/>
          <w:color w:val="auto"/>
        </w:rPr>
        <w:t>” means all relevant rules, regulations, and published policies of, and all Laws administered by, any PUC asserting jurisdiction over any Loan Party or its Subsidiaries.</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Money Security Interest</w:t>
      </w:r>
      <w:r>
        <w:rPr>
          <w:rFonts w:ascii="Times New Roman" w:cs="Times New Roman" w:eastAsia="Times New Roman" w:hAnsi="Times New Roman"/>
          <w:sz w:val="20"/>
          <w:szCs w:val="20"/>
          <w:color w:val="auto"/>
        </w:rPr>
        <w:t>” means Liens upon tangible personal property securing loans to any Loan Party or Subsidiary of a Loan Party or deferred payments by such Loan Party or Subsidiary for the purchase of such tangible personal property.</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ECP Guarantor</w:t>
      </w:r>
      <w:r>
        <w:rPr>
          <w:rFonts w:ascii="Times New Roman" w:cs="Times New Roman" w:eastAsia="Times New Roman" w:hAnsi="Times New Roman"/>
          <w:sz w:val="20"/>
          <w:szCs w:val="20"/>
          <w:color w:val="auto"/>
        </w:rPr>
        <w:t>” means, in respect of any Swap Obligation, each Loan Party that has total assets exceeding $10,000,000 at the time the relevant Guaranty or grant of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Equity Interests</w:t>
      </w:r>
      <w:r>
        <w:rPr>
          <w:rFonts w:ascii="Times New Roman" w:cs="Times New Roman" w:eastAsia="Times New Roman" w:hAnsi="Times New Roman"/>
          <w:sz w:val="20"/>
          <w:szCs w:val="20"/>
          <w:color w:val="auto"/>
        </w:rPr>
        <w:t>” means any Equity Interests of a Person that are not Disqualified Equity Interests.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Acquisition</w:t>
      </w:r>
      <w:r>
        <w:rPr>
          <w:rFonts w:ascii="Times New Roman" w:cs="Times New Roman" w:eastAsia="Times New Roman" w:hAnsi="Times New Roman"/>
          <w:sz w:val="20"/>
          <w:szCs w:val="20"/>
          <w:color w:val="auto"/>
        </w:rPr>
        <w:t>” means the occurrence of the following conditions:</w:t>
      </w:r>
    </w:p>
    <w:p>
      <w:pPr>
        <w:spacing w:after="0" w:line="220" w:lineRule="exact"/>
        <w:rPr>
          <w:sz w:val="20"/>
          <w:szCs w:val="20"/>
          <w:color w:val="auto"/>
        </w:rPr>
      </w:pPr>
    </w:p>
    <w:p>
      <w:pPr>
        <w:jc w:val="both"/>
        <w:ind w:firstLine="1304"/>
        <w:spacing w:after="0" w:line="249" w:lineRule="auto"/>
        <w:tabs>
          <w:tab w:leader="none" w:pos="19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 Loan Party consummates a Permitted Acquisition for which the purchase price, when aggregated with all other Permitted Acquisitions in the same fiscal quarter and in the fiscal quarter immediately preceding such fiscal quarter, is equal to or in excess of the greater of (i) $100,000,000 and (ii) 100% of EBITDA of the Borrower and the Restricted Subsidiaries for the Test Period; and</w:t>
      </w:r>
    </w:p>
    <w:p>
      <w:pPr>
        <w:spacing w:after="0" w:line="17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Net Leverage Ratio, immediately after giving pro forma effect to any acquisition described in clause (a) above, exceeds 2.75:1.00.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7" w:name="page138"/>
    <w:bookmarkEnd w:id="137"/>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For the avoidance of doubt, upon the effectiveness of an increased Total Net Leverage Ratio pursuant to the proviso of Section 8.1, no acquisition occurring in the applicable fiscal quarters covered by clause (a) above shall count toward any other future Qualifying Acquisition.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means (a) the Administrative Agent, (b) any Lender or (c) the Issuing Lender, as applicable.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D</w:t>
      </w:r>
      <w:r>
        <w:rPr>
          <w:rFonts w:ascii="Times New Roman" w:cs="Times New Roman" w:eastAsia="Times New Roman" w:hAnsi="Times New Roman"/>
          <w:sz w:val="20"/>
          <w:szCs w:val="20"/>
          <w:color w:val="auto"/>
        </w:rPr>
        <w:t>” means Regulation D of the Federal Reserve Board, as in effect from time to time and all official rulings and interpretations thereunder or thereof.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Obligation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Agreements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brokers, trustees, administrators, managers, advisors and representatives (including accountants, auditors and legal counsel) of such Person and of such Person’s Affiliates.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Federal Reserve Board or the Federal Reserve Bank of New York, or a committee officially endorsed or convened by the Federal Reserve Board or the Federal Reserve Bank of New York, or any successor thereto.</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Reportable Event</w:t>
      </w:r>
      <w:r>
        <w:rPr>
          <w:rFonts w:ascii="Times New Roman" w:cs="Times New Roman" w:eastAsia="Times New Roman" w:hAnsi="Times New Roman"/>
          <w:sz w:val="20"/>
          <w:szCs w:val="20"/>
          <w:color w:val="auto"/>
        </w:rPr>
        <w:t>” means any of the events set forth in Section 4043(b) of ERISA or the regulations thereunder, other than any such event for which the 30 day notice requirement under ERISA has been waived in regulations issued by the PBGC.</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Lenders</w:t>
      </w:r>
      <w:r>
        <w:rPr>
          <w:rFonts w:ascii="Times New Roman" w:cs="Times New Roman" w:eastAsia="Times New Roman" w:hAnsi="Times New Roman"/>
          <w:sz w:val="20"/>
          <w:szCs w:val="20"/>
          <w:color w:val="auto"/>
        </w:rPr>
        <w:t>” means, at any time, Lenders (other than Defaulting Lenders and including Voting Participants) having Total Credit Exposures representing more than fifty percent (50%) of the Total Credit Exposures of all Lenders. With respect to economic changes applicable only to one of the Facilities, “Required Lenders” shall be calculated with respect to only the Lenders (other than any Defaulting Lender and including Voting Participants) holding Loans or Commitments of the applicable Facility. The Total Credit Exposure of any Defaulting Lender shall be disregarded in determining Required Lenders at any time.</w:t>
      </w:r>
    </w:p>
    <w:p>
      <w:pPr>
        <w:spacing w:after="0" w:line="17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stockholders, partners or members (or the equivalent Person thereof) of the Borrower or any Subsidiary.</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Subsidiary</w:t>
      </w:r>
      <w:r>
        <w:rPr>
          <w:rFonts w:ascii="Times New Roman" w:cs="Times New Roman" w:eastAsia="Times New Roman" w:hAnsi="Times New Roman"/>
          <w:sz w:val="20"/>
          <w:szCs w:val="20"/>
          <w:color w:val="auto"/>
        </w:rPr>
        <w:t xml:space="preserve">” means, at any time, each direct and indirect Subsidiary of the Borrower that is not then an Unrestricted Subsidiary;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upon the occurrence of an Unrestricted Subsidiary ceasing to be an Unrestricted Subsidiary while such entity remains a Subsidiary of the Borrower, such Subsidiary shall be included in the definition of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8" w:name="page139"/>
    <w:bookmarkEnd w:id="138"/>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Commitment</w:t>
      </w:r>
      <w:r>
        <w:rPr>
          <w:rFonts w:ascii="Times New Roman" w:cs="Times New Roman" w:eastAsia="Times New Roman" w:hAnsi="Times New Roman"/>
          <w:sz w:val="20"/>
          <w:szCs w:val="20"/>
          <w:color w:val="auto"/>
        </w:rPr>
        <w:t xml:space="preserve">” means, with respect to each Lender, its obligation to (a) make revolving loans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and (b) acquire participations in Letters of Credit in an aggregate principal amount at any time outstanding set forth opposite such Lender’s name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or in the Assignment and Assumption pursuant to which such Lender becomes party hereto, as such commitment may be (i) reduced from time to time in accordance with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and (ii) increased pursuant to a Revolving Increase. As of the Closing Date, the aggregate amount of the Revolving A-1 Commitments of all Lenders is $170,000,000.</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Credit Facility</w:t>
      </w:r>
      <w:r>
        <w:rPr>
          <w:rFonts w:ascii="Times New Roman" w:cs="Times New Roman" w:eastAsia="Times New Roman" w:hAnsi="Times New Roman"/>
          <w:sz w:val="20"/>
          <w:szCs w:val="20"/>
          <w:color w:val="auto"/>
        </w:rPr>
        <w:t xml:space="preserve">” means the credit facility established on the Closing Date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as may be modified from time to time pursuant to a Revolving Increase.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Credit Facility Usage</w:t>
      </w:r>
      <w:r>
        <w:rPr>
          <w:rFonts w:ascii="Times New Roman" w:cs="Times New Roman" w:eastAsia="Times New Roman" w:hAnsi="Times New Roman"/>
          <w:sz w:val="20"/>
          <w:szCs w:val="20"/>
          <w:color w:val="auto"/>
        </w:rPr>
        <w:t>” means, at any time, the sum of the outstanding principal amounts of the Revolving A-1 Loans, the outstanding principal amounts of the Swing Line Loans, and the Letter of Credit Obligations.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Loan</w:t>
      </w:r>
      <w:r>
        <w:rPr>
          <w:rFonts w:ascii="Times New Roman" w:cs="Times New Roman" w:eastAsia="Times New Roman" w:hAnsi="Times New Roman"/>
          <w:sz w:val="20"/>
          <w:szCs w:val="20"/>
          <w:color w:val="auto"/>
        </w:rPr>
        <w:t>” means any revolving loan funded pursuant to the Revolving A-1 Loan Commitment.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Loan Lender</w:t>
      </w:r>
      <w:r>
        <w:rPr>
          <w:rFonts w:ascii="Times New Roman" w:cs="Times New Roman" w:eastAsia="Times New Roman" w:hAnsi="Times New Roman"/>
          <w:sz w:val="20"/>
          <w:szCs w:val="20"/>
          <w:color w:val="auto"/>
        </w:rPr>
        <w:t>” means each Lender having a Revolving A-1 Commitment or who has funded or purchased all or a portion of a Revolving A-1 Loan in accordance with the terms hereof.</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Commitments</w:t>
      </w:r>
      <w:r>
        <w:rPr>
          <w:rFonts w:ascii="Times New Roman" w:cs="Times New Roman" w:eastAsia="Times New Roman" w:hAnsi="Times New Roman"/>
          <w:sz w:val="20"/>
          <w:szCs w:val="20"/>
          <w:color w:val="auto"/>
        </w:rPr>
        <w:t>” means, collectively, the Revolving A-1 Commitments and, if and as applicable after the Closing Date, any Incremental Revolving Commitments and “</w:t>
      </w:r>
      <w:r>
        <w:rPr>
          <w:rFonts w:ascii="Times New Roman" w:cs="Times New Roman" w:eastAsia="Times New Roman" w:hAnsi="Times New Roman"/>
          <w:sz w:val="20"/>
          <w:szCs w:val="20"/>
          <w:b w:val="1"/>
          <w:bCs w:val="1"/>
          <w:color w:val="auto"/>
        </w:rPr>
        <w:t>Revolving Commitment</w:t>
      </w:r>
      <w:r>
        <w:rPr>
          <w:rFonts w:ascii="Times New Roman" w:cs="Times New Roman" w:eastAsia="Times New Roman" w:hAnsi="Times New Roman"/>
          <w:sz w:val="20"/>
          <w:szCs w:val="20"/>
          <w:color w:val="auto"/>
        </w:rPr>
        <w:t>” means any such commitment individually.</w:t>
      </w:r>
    </w:p>
    <w:p>
      <w:pPr>
        <w:spacing w:after="0" w:line="16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Exposure</w:t>
      </w:r>
      <w:r>
        <w:rPr>
          <w:rFonts w:ascii="Times New Roman" w:cs="Times New Roman" w:eastAsia="Times New Roman" w:hAnsi="Times New Roman"/>
          <w:sz w:val="20"/>
          <w:szCs w:val="20"/>
          <w:color w:val="auto"/>
        </w:rPr>
        <w:t>” means, as to any Revolving Lender at any time, the aggregate principal amount at such time of its outstanding Revolving Loans and such Revolving Lender’s participation in Letter of Credit Obligations and Swing Line Loans at such time.</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Facilities</w:t>
      </w:r>
      <w:r>
        <w:rPr>
          <w:rFonts w:ascii="Times New Roman" w:cs="Times New Roman" w:eastAsia="Times New Roman" w:hAnsi="Times New Roman"/>
          <w:sz w:val="20"/>
          <w:szCs w:val="20"/>
          <w:color w:val="auto"/>
        </w:rPr>
        <w:t>” means the Revolving A-1 Credit Facility and, if and as applicable after the Closing Date, any Incremental Revolving Facility and “</w:t>
      </w:r>
      <w:r>
        <w:rPr>
          <w:rFonts w:ascii="Times New Roman" w:cs="Times New Roman" w:eastAsia="Times New Roman" w:hAnsi="Times New Roman"/>
          <w:sz w:val="20"/>
          <w:szCs w:val="20"/>
          <w:b w:val="1"/>
          <w:bCs w:val="1"/>
          <w:color w:val="auto"/>
        </w:rPr>
        <w:t>Revolving Credit Facility</w:t>
      </w:r>
      <w:r>
        <w:rPr>
          <w:rFonts w:ascii="Times New Roman" w:cs="Times New Roman" w:eastAsia="Times New Roman" w:hAnsi="Times New Roman"/>
          <w:sz w:val="20"/>
          <w:szCs w:val="20"/>
          <w:color w:val="auto"/>
        </w:rPr>
        <w:t>” means any such facility individually.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Facility Usage</w:t>
      </w:r>
      <w:r>
        <w:rPr>
          <w:rFonts w:ascii="Times New Roman" w:cs="Times New Roman" w:eastAsia="Times New Roman" w:hAnsi="Times New Roman"/>
          <w:sz w:val="20"/>
          <w:szCs w:val="20"/>
          <w:color w:val="auto"/>
        </w:rPr>
        <w:t>” means, at any time, (a) with respect to the Revolving A-1 Loans, the Revolving A-1 Credit Facility Usage and (b) with respect to any Incremental Revolving Loans, the sum of the outstanding principal amounts under the applicable Tranche of Incremental Revolving Loans.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Increase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Lender</w:t>
      </w:r>
      <w:r>
        <w:rPr>
          <w:rFonts w:ascii="Times New Roman" w:cs="Times New Roman" w:eastAsia="Times New Roman" w:hAnsi="Times New Roman"/>
          <w:sz w:val="20"/>
          <w:szCs w:val="20"/>
          <w:color w:val="auto"/>
        </w:rPr>
        <w:t>” means each Lender (including any Incremental Revolving Lender) having a Revolving Commitment or who has funded or purchased all or a portion of a Revolving Loan in accordance with the terms 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w:t>
      </w:r>
      <w:r>
        <w:rPr>
          <w:rFonts w:ascii="Times New Roman" w:cs="Times New Roman" w:eastAsia="Times New Roman" w:hAnsi="Times New Roman"/>
          <w:sz w:val="20"/>
          <w:szCs w:val="20"/>
          <w:color w:val="auto"/>
        </w:rPr>
        <w:t>” means any revolving loan funded pursuant to a Revolving Commitment.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Note</w:t>
      </w:r>
      <w:r>
        <w:rPr>
          <w:rFonts w:ascii="Times New Roman" w:cs="Times New Roman" w:eastAsia="Times New Roman" w:hAnsi="Times New Roman"/>
          <w:sz w:val="20"/>
          <w:szCs w:val="20"/>
          <w:color w:val="auto"/>
        </w:rPr>
        <w:t xml:space="preserve">” means any promissory note of the Borrower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hereto evidencing any Revolving Loans.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RTFC Indebtedness</w:t>
      </w:r>
      <w:r>
        <w:rPr>
          <w:rFonts w:ascii="Times New Roman" w:cs="Times New Roman" w:eastAsia="Times New Roman" w:hAnsi="Times New Roman"/>
          <w:sz w:val="20"/>
          <w:szCs w:val="20"/>
          <w:color w:val="auto"/>
        </w:rPr>
        <w:t>” means the Indebtedness incurred by CAH Holdco and the CAH Holdco Subsidiaries pursuant to the RTFC Loan Documents in favor of Rural Telephone Finance Cooperative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39" w:name="page140"/>
    <w:bookmarkEnd w:id="139"/>
    <w:p>
      <w:pPr>
        <w:jc w:val="both"/>
        <w:spacing w:after="0" w:line="268" w:lineRule="auto"/>
        <w:rPr>
          <w:sz w:val="20"/>
          <w:szCs w:val="20"/>
          <w:color w:val="auto"/>
        </w:rPr>
      </w:pPr>
      <w:r>
        <w:rPr>
          <w:rFonts w:ascii="Times New Roman" w:cs="Times New Roman" w:eastAsia="Times New Roman" w:hAnsi="Times New Roman"/>
          <w:sz w:val="20"/>
          <w:szCs w:val="20"/>
          <w:color w:val="auto"/>
        </w:rPr>
        <w:t>an aggregate principal amount (excluding, for the avoidance of doubt, obligations with respect to interest rate protection and similar agreements) not to exceed $60,000,000.</w:t>
      </w:r>
    </w:p>
    <w:p>
      <w:pPr>
        <w:spacing w:after="0" w:line="1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RTFC Loan Agreement</w:t>
      </w:r>
      <w:r>
        <w:rPr>
          <w:rFonts w:ascii="Times New Roman" w:cs="Times New Roman" w:eastAsia="Times New Roman" w:hAnsi="Times New Roman"/>
          <w:sz w:val="20"/>
          <w:szCs w:val="20"/>
          <w:color w:val="auto"/>
        </w:rPr>
        <w:t>” means that certain Loan Agreement, dated as of July 1, 2016, among CAH Holdco, Caribbean Asset Holdings LLC and Rural Telephone Finance Cooperative.</w:t>
      </w:r>
    </w:p>
    <w:p>
      <w:pPr>
        <w:spacing w:after="0" w:line="152"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RTFC Loan Documents</w:t>
      </w:r>
      <w:r>
        <w:rPr>
          <w:rFonts w:ascii="Times New Roman" w:cs="Times New Roman" w:eastAsia="Times New Roman" w:hAnsi="Times New Roman"/>
          <w:sz w:val="19"/>
          <w:szCs w:val="19"/>
          <w:color w:val="auto"/>
        </w:rPr>
        <w:t>” means, collectively, the RTFC Loan Agreement and the “Other Agreements” (as defined in the RTFC Loan Agreement) and any interest rate protection and similar agreements entered into in connection therewith.</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RUS</w:t>
      </w:r>
      <w:r>
        <w:rPr>
          <w:rFonts w:ascii="Times New Roman" w:cs="Times New Roman" w:eastAsia="Times New Roman" w:hAnsi="Times New Roman"/>
          <w:sz w:val="20"/>
          <w:szCs w:val="20"/>
          <w:color w:val="auto"/>
        </w:rPr>
        <w:t>” means the United States of America acting through the Administrator of the Rural Utilities Service.</w:t>
      </w:r>
    </w:p>
    <w:p>
      <w:pPr>
        <w:spacing w:after="0" w:line="21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Sanctioned Country</w:t>
      </w:r>
      <w:r>
        <w:rPr>
          <w:rFonts w:ascii="Times New Roman" w:cs="Times New Roman" w:eastAsia="Times New Roman" w:hAnsi="Times New Roman"/>
          <w:sz w:val="19"/>
          <w:szCs w:val="19"/>
          <w:color w:val="auto"/>
        </w:rPr>
        <w:t>” means, at any time, a country, territory or sector that is, or whose government is, the subject or target of any Sanctions or that is, or whose government is, the subject of any list-based or territorial or sectorial Sanctions.</w:t>
      </w:r>
    </w:p>
    <w:p>
      <w:pPr>
        <w:spacing w:after="0" w:line="1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any Governmental Authority, (b) any Person operating, organized or resident in a Sanctioned Country, (c) any Person that is otherwise subject to any Sanctions, or (d) any Person, directly or indirectly, 50% or more in the aggregate owned by, otherwise controlled by, or acting for the benefit or on behalf of, any Person or Persons described in clause (a), (b) or (c) of this definition.</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any economic or financial sanctions or trade embargoes imposed, administered or enforced from time to time by any Governmental Authority.</w:t>
      </w:r>
    </w:p>
    <w:p>
      <w:pPr>
        <w:spacing w:after="0" w:line="15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Bank Product</w:t>
      </w:r>
      <w:r>
        <w:rPr>
          <w:rFonts w:ascii="Times New Roman" w:cs="Times New Roman" w:eastAsia="Times New Roman" w:hAnsi="Times New Roman"/>
          <w:sz w:val="20"/>
          <w:szCs w:val="20"/>
          <w:color w:val="auto"/>
        </w:rPr>
        <w:t xml:space="preserve">” means agreements or other arrangements entered into by a Lender or its Affiliate, on the one hand, and any Loan Party, on the other hand at the time such Lender is a party to this Agreement (or, for the avoidance of doubt, at the time such Lender was a Party to the Existing Credit Agreement), under which any Lender or Affiliate of a Lender provides any of the following products or services to any of the Loan Parties: (a) credit cards, (b) credit card processing services, (c) debit cards, (d) purchase cards, (e) ACH transactions, (f) cash management, including controlled disbursement, accounts or services, or (g) foreign currency exchange, and shall include the CoBank Cash Management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constitute a Secured Bank Product if at any time the applicable provider of such bank products or services is not a Lender or an Affiliate of a Lender.</w:t>
      </w:r>
    </w:p>
    <w:p>
      <w:pPr>
        <w:spacing w:after="0" w:line="1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Hedge</w:t>
      </w:r>
      <w:r>
        <w:rPr>
          <w:rFonts w:ascii="Times New Roman" w:cs="Times New Roman" w:eastAsia="Times New Roman" w:hAnsi="Times New Roman"/>
          <w:sz w:val="20"/>
          <w:szCs w:val="20"/>
          <w:color w:val="auto"/>
        </w:rPr>
        <w:t xml:space="preserve">” means an Interest Rate Hedge permitted under this Agreement (a) that is entered into by a Hedge Bank at the time that such Hedge Bank or its Affiliate is a Lender hereunder and (b) with respect to which such Hedge Bank has provided evidence satisfactory to the Administrative Agent that (i) such Interest Rate Hedge is documented in a standard International Swaps and Derivatives Association, Inc. Master Agreement, and (ii) such Interest Rate Hedge provides for the method of calculating the reimbursable amount of the provider’s credit exposure in a reasonable and customary manner;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constitute a Secured Hedge if at any time the applicable provider of such Interest Rate Hedge is not a Lender or an Affiliate of a Lender.</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Obligations”</w:t>
      </w:r>
      <w:r>
        <w:rPr>
          <w:rFonts w:ascii="Times New Roman" w:cs="Times New Roman" w:eastAsia="Times New Roman" w:hAnsi="Times New Roman"/>
          <w:sz w:val="20"/>
          <w:szCs w:val="20"/>
          <w:color w:val="auto"/>
        </w:rPr>
        <w:t xml:space="preserve"> means all Obligations, all Guaranteed Liabilities and all Other Liabilities, but excluding all Excluded Swap Obligations.</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Parties</w:t>
      </w:r>
      <w:r>
        <w:rPr>
          <w:rFonts w:ascii="Times New Roman" w:cs="Times New Roman" w:eastAsia="Times New Roman" w:hAnsi="Times New Roman"/>
          <w:sz w:val="20"/>
          <w:szCs w:val="20"/>
          <w:color w:val="auto"/>
        </w:rPr>
        <w:t>” means, collectively, the Administrative Agent, the Lenders, the Issuing Lender, each Lender (or its Affiliate) that provides any Secured Hedge for so long as such Lender remains a Lender hereunder, each Lender (or its Affiliate) that provides any Secured Bank Product for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0" w:name="page141"/>
    <w:bookmarkEnd w:id="140"/>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long as such Lender remains a Lender hereunder, each Related Party or co-agent or sub-agent appointed by the Administrative Agent from time to time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and, in each case, their respective successors and permitted assigns.</w:t>
      </w:r>
    </w:p>
    <w:p>
      <w:pPr>
        <w:spacing w:after="0" w:line="17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xml:space="preserve">” means the Pledge and Security Agreement, dated as of the </w:t>
      </w:r>
      <w:r>
        <w:rPr>
          <w:rFonts w:ascii="Times New Roman" w:cs="Times New Roman" w:eastAsia="Times New Roman" w:hAnsi="Times New Roman"/>
          <w:sz w:val="20"/>
          <w:szCs w:val="20"/>
          <w:color w:val="FF0000"/>
          <w:strike w:val="1"/>
        </w:rPr>
        <w:t>date hereof</w:t>
      </w:r>
      <w:r>
        <w:rPr>
          <w:rFonts w:ascii="Times New Roman" w:cs="Times New Roman" w:eastAsia="Times New Roman" w:hAnsi="Times New Roman"/>
          <w:sz w:val="20"/>
          <w:szCs w:val="20"/>
          <w:u w:val="single" w:color="auto"/>
          <w:color w:val="0000FF"/>
        </w:rPr>
        <w:t>Closing Date</w:t>
      </w:r>
      <w:r>
        <w:rPr>
          <w:rFonts w:ascii="Times New Roman" w:cs="Times New Roman" w:eastAsia="Times New Roman" w:hAnsi="Times New Roman"/>
          <w:sz w:val="20"/>
          <w:szCs w:val="20"/>
          <w:color w:val="auto"/>
        </w:rPr>
        <w:t>, by each of the Loan Parties in favor of the Administrative Agent.</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a rate per annum equal to the secured overnight financing rate as administered by the SOFR Administrator.</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Solvency Certificate</w:t>
      </w:r>
      <w:r>
        <w:rPr>
          <w:rFonts w:ascii="Times New Roman" w:cs="Times New Roman" w:eastAsia="Times New Roman" w:hAnsi="Times New Roman"/>
          <w:sz w:val="20"/>
          <w:szCs w:val="20"/>
          <w:color w:val="auto"/>
        </w:rPr>
        <w:t xml:space="preserve">” means the certificate of the Loan Parties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means, with respect to any Person on any date of determination, that on such date (a) the sum of the debt (including contingent liabilities) of such Person and its Subsidiaries, taken as a whole, does not exceed the present fair saleable value (on a going concern basis) of the assets of such Person and its Subsidiaries, taken as a whole, (b) the capital of Person and its Subsidiaries, taken as a whole, is not unreasonably small in relation to the business of such Person and its Subsidiaries, taken as a whole, contemplated as of such date, (c) the present fair saleable value of the assets (on a going concern basis) of such Person and its Subsidiaries is greater than the amount that will be required to pay the probable liabilities (including contingent liabilities) of such Person and its Subsidiaries as they become absolute and matured in the ordinary course and (d) such Person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in the ordinary course of business.</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CFC</w:t>
      </w:r>
      <w:r>
        <w:rPr>
          <w:rFonts w:ascii="Times New Roman" w:cs="Times New Roman" w:eastAsia="Times New Roman" w:hAnsi="Times New Roman"/>
          <w:sz w:val="20"/>
          <w:szCs w:val="20"/>
          <w:color w:val="auto"/>
        </w:rPr>
        <w:t>” means any Foreign Subsidiary that is a “controlled foreign corporation” (as defined in Section 957 of the Code).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Equity Contribution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Event of Default</w:t>
      </w:r>
      <w:r>
        <w:rPr>
          <w:rFonts w:ascii="Times New Roman" w:cs="Times New Roman" w:eastAsia="Times New Roman" w:hAnsi="Times New Roman"/>
          <w:sz w:val="20"/>
          <w:szCs w:val="20"/>
          <w:color w:val="auto"/>
        </w:rPr>
        <w:t xml:space="preserve">” means any Event of Default under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(solely with respect to any Specified Representations) or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and any default or event of default under any Acquisition Agreement associated with a Limited Condition Acquisition that would give the Borrower (and/or any of its Affiliates) the right to terminate the Borrower’s (and/or its applicable Affiliate’s) obligations under such Acquisition Agreement or to decline to consummate the Limited Condition Acquisition pursuant to the terms of such Acquisition Agreement as a result of such default or event of default.</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Representations</w:t>
      </w:r>
      <w:r>
        <w:rPr>
          <w:rFonts w:ascii="Times New Roman" w:cs="Times New Roman" w:eastAsia="Times New Roman" w:hAnsi="Times New Roman"/>
          <w:sz w:val="20"/>
          <w:szCs w:val="20"/>
          <w:color w:val="auto"/>
        </w:rPr>
        <w:t xml:space="preserve">” means the representations of the Loan Parties (including, for the avoidance of doubt, any Acquired Businesses being joined as Loan Parties concurrently with the consummation of a Limited Condition Acquisition, and including as a Restricted Subsidiary in any such representations any Acquired Businesses that will be Restricted Subsidiaries after the consummation of a Limited Condition Acquisition) set forth in </w:t>
      </w:r>
      <w:r>
        <w:rPr>
          <w:rFonts w:ascii="Times New Roman" w:cs="Times New Roman" w:eastAsia="Times New Roman" w:hAnsi="Times New Roman"/>
          <w:sz w:val="20"/>
          <w:szCs w:val="20"/>
          <w:u w:val="single" w:color="auto"/>
          <w:color w:val="auto"/>
        </w:rPr>
        <w:t>Sections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5.8(a)(i)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1" w:name="page142"/>
    <w:bookmarkEnd w:id="141"/>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5.15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5.24(d)</w:t>
      </w:r>
      <w:r>
        <w:rPr>
          <w:rFonts w:ascii="Times New Roman" w:cs="Times New Roman" w:eastAsia="Times New Roman" w:hAnsi="Times New Roman"/>
          <w:sz w:val="20"/>
          <w:szCs w:val="20"/>
          <w:color w:val="auto"/>
        </w:rPr>
        <w:t>. Notwithstanding anything to the contrary contained herein, to the extent that any of the Specified Representations are qualified or subject to a “material adverse change” or equivalent term, the definition thereof for purposes of this definition only shall be “Material Adverse Change” or equivalent term as defined in the applicable Acquisition Agreement, for purposes of any representations and warranties made as of the closing of such Limited Condition Acquisition.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Transaction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Standard &amp; Poor’s</w:t>
      </w:r>
      <w:r>
        <w:rPr>
          <w:rFonts w:ascii="Times New Roman" w:cs="Times New Roman" w:eastAsia="Times New Roman" w:hAnsi="Times New Roman"/>
          <w:sz w:val="20"/>
          <w:szCs w:val="20"/>
          <w:color w:val="auto"/>
        </w:rPr>
        <w:t>” means Standard &amp; Poor’s Ratings Services LLC, a Subsidiary of The McGraw-Hill Companies, Inc., or any successor or assignee of the business of such division in the business of rating securities and debt.</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Stimulus Recipient Subsidiary</w:t>
      </w:r>
      <w:r>
        <w:rPr>
          <w:rFonts w:ascii="Times New Roman" w:cs="Times New Roman" w:eastAsia="Times New Roman" w:hAnsi="Times New Roman"/>
          <w:sz w:val="20"/>
          <w:szCs w:val="20"/>
          <w:color w:val="auto"/>
        </w:rPr>
        <w:t>” means a Subsidiary of Borrower or any other Person in whom any Loan Party or any Subsidiary of any Loan Party owns a minority equity interest formed for the purpose of incurring Permitted Stimulus Indebtedness or obtaining a grant from a Stimulus Source Agency and conducting the business contemplated in its application to such Stimulus Source Agency for such Permitted Stimulus Indebtedness or grant.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Stimulus Source Agency</w:t>
      </w:r>
      <w:r>
        <w:rPr>
          <w:rFonts w:ascii="Times New Roman" w:cs="Times New Roman" w:eastAsia="Times New Roman" w:hAnsi="Times New Roman"/>
          <w:sz w:val="20"/>
          <w:szCs w:val="20"/>
          <w:color w:val="auto"/>
        </w:rPr>
        <w:t>” means the FCC, RUS or the NTIA.</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of any Person at any time means any corporation, trust, partnership, any limited liability company or other business entity (a) of which more than 50% of the outstanding voting securities or other interests normally entitled to vote for the election of one or more directors, trustees or other members of the governing body (regardless of any contingency that does or may suspend or dilute the voting rights) is at such time owned, or the management of which is controlled, directly or indirectly through one or more intermediaries, or both, by such Person or one or more of such Person’s Subsidiaries, or (b) that is directly or indirectly controlled by such Person or one or more of such Person’s Subsidiaries.</w:t>
      </w:r>
    </w:p>
    <w:p>
      <w:pPr>
        <w:spacing w:after="0" w:line="16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5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Swing Line Commitment</w:t>
      </w:r>
      <w:r>
        <w:rPr>
          <w:rFonts w:ascii="Times New Roman" w:cs="Times New Roman" w:eastAsia="Times New Roman" w:hAnsi="Times New Roman"/>
          <w:sz w:val="19"/>
          <w:szCs w:val="19"/>
          <w:color w:val="auto"/>
        </w:rPr>
        <w:t xml:space="preserve">” means, with respect to the Swing Line Lender, its obligation to make swing line loans pursuant to </w:t>
      </w:r>
      <w:r>
        <w:rPr>
          <w:rFonts w:ascii="Times New Roman" w:cs="Times New Roman" w:eastAsia="Times New Roman" w:hAnsi="Times New Roman"/>
          <w:sz w:val="19"/>
          <w:szCs w:val="19"/>
          <w:u w:val="single" w:color="auto"/>
          <w:color w:val="auto"/>
        </w:rPr>
        <w:t>Section 2.3</w:t>
      </w:r>
      <w:r>
        <w:rPr>
          <w:rFonts w:ascii="Times New Roman" w:cs="Times New Roman" w:eastAsia="Times New Roman" w:hAnsi="Times New Roman"/>
          <w:sz w:val="19"/>
          <w:szCs w:val="19"/>
          <w:color w:val="auto"/>
        </w:rPr>
        <w:t xml:space="preserve"> in an aggregate principal amount at any time outstanding set forth opposite the Swing Line Lender’s name on </w:t>
      </w:r>
      <w:r>
        <w:rPr>
          <w:rFonts w:ascii="Times New Roman" w:cs="Times New Roman" w:eastAsia="Times New Roman" w:hAnsi="Times New Roman"/>
          <w:sz w:val="19"/>
          <w:szCs w:val="19"/>
          <w:u w:val="single" w:color="auto"/>
          <w:color w:val="auto"/>
        </w:rPr>
        <w:t>Schedule 1.1(B)</w:t>
      </w:r>
      <w:r>
        <w:rPr>
          <w:rFonts w:ascii="Times New Roman" w:cs="Times New Roman" w:eastAsia="Times New Roman" w:hAnsi="Times New Roman"/>
          <w:sz w:val="19"/>
          <w:szCs w:val="19"/>
          <w:color w:val="auto"/>
        </w:rPr>
        <w:t>. As of the Closing Date, the Swing Line Commitment of the Swing Line Lender is $20,000,000.</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Facility</w:t>
      </w:r>
      <w:r>
        <w:rPr>
          <w:rFonts w:ascii="Times New Roman" w:cs="Times New Roman" w:eastAsia="Times New Roman" w:hAnsi="Times New Roman"/>
          <w:sz w:val="20"/>
          <w:szCs w:val="20"/>
          <w:color w:val="auto"/>
        </w:rPr>
        <w:t xml:space="preserve">” means the swing line facility established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Lender</w:t>
      </w:r>
      <w:r>
        <w:rPr>
          <w:rFonts w:ascii="Times New Roman" w:cs="Times New Roman" w:eastAsia="Times New Roman" w:hAnsi="Times New Roman"/>
          <w:sz w:val="20"/>
          <w:szCs w:val="20"/>
          <w:color w:val="auto"/>
        </w:rPr>
        <w:t>” means CoBank, in its individual capacity as the provider of the Swing Line Commitment.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Loan</w:t>
      </w:r>
      <w:r>
        <w:rPr>
          <w:rFonts w:ascii="Times New Roman" w:cs="Times New Roman" w:eastAsia="Times New Roman" w:hAnsi="Times New Roman"/>
          <w:sz w:val="20"/>
          <w:szCs w:val="20"/>
          <w:color w:val="auto"/>
        </w:rPr>
        <w:t>” means any swing line loan funded pursuant to the Swing Line Commitment.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Note</w:t>
      </w:r>
      <w:r>
        <w:rPr>
          <w:rFonts w:ascii="Times New Roman" w:cs="Times New Roman" w:eastAsia="Times New Roman" w:hAnsi="Times New Roman"/>
          <w:sz w:val="20"/>
          <w:szCs w:val="20"/>
          <w:color w:val="auto"/>
        </w:rPr>
        <w:t xml:space="preserve">” means the promissory note of the Borrower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hereto evidencing the Swing Line Loans.</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for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2" w:name="page143"/>
    <w:bookmarkEnd w:id="142"/>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purposes or otherwise upon the insolvency or bankruptcy of such Person, would be characterized as the indebtedness of such Person (without regard to accounting treatment).</w:t>
      </w:r>
    </w:p>
    <w:p>
      <w:pPr>
        <w:spacing w:after="0" w:line="15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Compliance Certificate</w:t>
      </w:r>
      <w:r>
        <w:rPr>
          <w:rFonts w:ascii="Times New Roman" w:cs="Times New Roman" w:eastAsia="Times New Roman" w:hAnsi="Times New Roman"/>
          <w:sz w:val="20"/>
          <w:szCs w:val="20"/>
          <w:color w:val="auto"/>
        </w:rPr>
        <w:t xml:space="preserve">” means a tax certificate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hereto, prepared and delivered in accordance with </w:t>
      </w:r>
      <w:r>
        <w:rPr>
          <w:rFonts w:ascii="Times New Roman" w:cs="Times New Roman" w:eastAsia="Times New Roman" w:hAnsi="Times New Roman"/>
          <w:sz w:val="20"/>
          <w:szCs w:val="20"/>
          <w:u w:val="single" w:color="auto"/>
          <w:color w:val="auto"/>
        </w:rPr>
        <w:t>Section 3.2(g)</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A-1 Loan</w:t>
      </w:r>
      <w:r>
        <w:rPr>
          <w:rFonts w:ascii="Times New Roman" w:cs="Times New Roman" w:eastAsia="Times New Roman" w:hAnsi="Times New Roman"/>
          <w:sz w:val="20"/>
          <w:szCs w:val="20"/>
          <w:color w:val="auto"/>
        </w:rPr>
        <w:t>” means any term loan funded pursuant to the Term A-1 Loan Commitment.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A-1 Loan Commitment</w:t>
      </w:r>
      <w:r>
        <w:rPr>
          <w:rFonts w:ascii="Times New Roman" w:cs="Times New Roman" w:eastAsia="Times New Roman" w:hAnsi="Times New Roman"/>
          <w:sz w:val="20"/>
          <w:szCs w:val="20"/>
          <w:color w:val="auto"/>
        </w:rPr>
        <w:t xml:space="preserve">” means, with respect to each Lender, its obligation to make term loans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on the Closing Date in an aggregate principal amount at any time outstanding set forth opposite such Lender’s name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or in the Assignment and Assumption pursuant to which such Lender becomes party hereto. As of the Closing Date, the aggregate amount of the Term A-1 Loan Commitments of the Lenders is $130,000,000.</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A-1 Loan Facility</w:t>
      </w:r>
      <w:r>
        <w:rPr>
          <w:rFonts w:ascii="Times New Roman" w:cs="Times New Roman" w:eastAsia="Times New Roman" w:hAnsi="Times New Roman"/>
          <w:sz w:val="20"/>
          <w:szCs w:val="20"/>
          <w:color w:val="auto"/>
        </w:rPr>
        <w:t xml:space="preserve">” means the term loan facility established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as may be modified from time to time pursuant to a Term Loan Increase.</w:t>
      </w:r>
    </w:p>
    <w:p>
      <w:pPr>
        <w:spacing w:after="0" w:line="1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Lender</w:t>
      </w:r>
      <w:r>
        <w:rPr>
          <w:rFonts w:ascii="Times New Roman" w:cs="Times New Roman" w:eastAsia="Times New Roman" w:hAnsi="Times New Roman"/>
          <w:sz w:val="20"/>
          <w:szCs w:val="20"/>
          <w:color w:val="auto"/>
        </w:rPr>
        <w:t>” means each Lender (including any Incremental Term Lender) having a Term Loan Commitment with respect to any Tranche of Term Loans or who has funded or purchased all or a portion of any Tranche of Term Loans in accordance with the terms hereof.</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means (i) as of the Closing Date, the Term A-1 Loans and, (ii) after the Closing Date, all Incremental Term Loans, if any.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Commitments</w:t>
      </w:r>
      <w:r>
        <w:rPr>
          <w:rFonts w:ascii="Times New Roman" w:cs="Times New Roman" w:eastAsia="Times New Roman" w:hAnsi="Times New Roman"/>
          <w:sz w:val="20"/>
          <w:szCs w:val="20"/>
          <w:color w:val="auto"/>
        </w:rPr>
        <w:t>” means, collectively, the Term A-1 Loan Commitments and, if and as applicable after the Closing Date, any Incremental Term Loan Commitments and “</w:t>
      </w:r>
      <w:r>
        <w:rPr>
          <w:rFonts w:ascii="Times New Roman" w:cs="Times New Roman" w:eastAsia="Times New Roman" w:hAnsi="Times New Roman"/>
          <w:sz w:val="20"/>
          <w:szCs w:val="20"/>
          <w:b w:val="1"/>
          <w:bCs w:val="1"/>
          <w:color w:val="auto"/>
        </w:rPr>
        <w:t>Term Loan Commitment</w:t>
      </w:r>
      <w:r>
        <w:rPr>
          <w:rFonts w:ascii="Times New Roman" w:cs="Times New Roman" w:eastAsia="Times New Roman" w:hAnsi="Times New Roman"/>
          <w:sz w:val="20"/>
          <w:szCs w:val="20"/>
          <w:color w:val="auto"/>
        </w:rPr>
        <w:t>” means any such commitment individually.</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Facility</w:t>
      </w:r>
      <w:r>
        <w:rPr>
          <w:rFonts w:ascii="Times New Roman" w:cs="Times New Roman" w:eastAsia="Times New Roman" w:hAnsi="Times New Roman"/>
          <w:sz w:val="20"/>
          <w:szCs w:val="20"/>
          <w:color w:val="auto"/>
        </w:rPr>
        <w:t>” means the Term A-1 Loan Facility and, if and as applicable after the Closing Date, any Incremental Term Loan Facilities.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Increase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Note</w:t>
      </w:r>
      <w:r>
        <w:rPr>
          <w:rFonts w:ascii="Times New Roman" w:cs="Times New Roman" w:eastAsia="Times New Roman" w:hAnsi="Times New Roman"/>
          <w:sz w:val="20"/>
          <w:szCs w:val="20"/>
          <w:color w:val="auto"/>
        </w:rPr>
        <w:t xml:space="preserve">” means any promissory note of the Borrower substantially in the form of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hereto evidencing any Term Loans.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Adjustment</w:t>
      </w:r>
      <w:r>
        <w:rPr>
          <w:rFonts w:ascii="Times New Roman" w:cs="Times New Roman" w:eastAsia="Times New Roman" w:hAnsi="Times New Roman"/>
          <w:sz w:val="20"/>
          <w:szCs w:val="20"/>
          <w:color w:val="auto"/>
        </w:rPr>
        <w:t>” means 0.10% per annum.</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Rate</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1304"/>
        <w:spacing w:after="0" w:line="249" w:lineRule="auto"/>
        <w:tabs>
          <w:tab w:leader="none" w:pos="194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Term SOFR Rate Loan, the Term SOFR Reference Rate for a tenor comparable to the applicable Interest Period on the day (such day, the “</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that is two U.S. Government Securities Business Days prior to the first day of such Interest Period, as such rate is published by the Term SOFR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3" w:name="page144"/>
    <w:bookmarkEnd w:id="143"/>
    <w:p>
      <w:pPr>
        <w:jc w:val="both"/>
        <w:spacing w:after="0" w:line="244" w:lineRule="auto"/>
        <w:rPr>
          <w:sz w:val="20"/>
          <w:szCs w:val="20"/>
          <w:color w:val="auto"/>
        </w:rPr>
      </w:pPr>
      <w:r>
        <w:rPr>
          <w:rFonts w:ascii="Times New Roman" w:cs="Times New Roman" w:eastAsia="Times New Roman" w:hAnsi="Times New Roman"/>
          <w:sz w:val="20"/>
          <w:szCs w:val="20"/>
          <w:color w:val="auto"/>
        </w:rPr>
        <w:t>provided, however, that if as of 3:00 p.m. on any Periodic Term SOFR Determination Day the Term SOFR Reference Rate for the applicable tenor has not been published by the Term SOFR Administrator and a Benchmark Transition Event with respect to the Term SOFR Reference Rate has not occurred, then the Term SOFR Rate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w:t>
      </w:r>
    </w:p>
    <w:p>
      <w:pPr>
        <w:spacing w:after="0" w:line="185" w:lineRule="exact"/>
        <w:rPr>
          <w:sz w:val="20"/>
          <w:szCs w:val="20"/>
          <w:color w:val="auto"/>
        </w:rPr>
      </w:pPr>
    </w:p>
    <w:p>
      <w:pPr>
        <w:jc w:val="both"/>
        <w:ind w:firstLine="1304"/>
        <w:spacing w:after="0" w:line="242" w:lineRule="auto"/>
        <w:tabs>
          <w:tab w:leader="none" w:pos="194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b w:val="1"/>
          <w:bCs w:val="1"/>
          <w:color w:val="auto"/>
        </w:rPr>
        <w:t>Base Rate Term SOFR Determination Day</w:t>
      </w:r>
      <w:r>
        <w:rPr>
          <w:rFonts w:ascii="Times New Roman" w:cs="Times New Roman" w:eastAsia="Times New Roman" w:hAnsi="Times New Roman"/>
          <w:sz w:val="20"/>
          <w:szCs w:val="20"/>
          <w:color w:val="auto"/>
        </w:rPr>
        <w:t>”) that is two U.S. Government Securities Business Days prior to such day, as such rate is published by the Term SOFR Administrator; provided, however, that if as of 3:00 p.m. on any Base Rate Term SOFR Determination Day the Term SOFR Reference Rate for the applicable tenor has not been published by the Term SOFR Administrator and a Benchmark Transition Event with respect to the Term SOFR Reference Rate has not occurred, then Term SOFR Rate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Base Rate Term SOFR Determination Day;</w:t>
      </w:r>
    </w:p>
    <w:p>
      <w:pPr>
        <w:spacing w:after="0" w:line="1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Term SOFR Rate determined as provided above (including pursuant to the proviso under clause (a) or clause (b) above) shall ever be less than the Floor, then Term SOFR Rate shall be deemed to be the Floor.</w:t>
      </w:r>
    </w:p>
    <w:p>
      <w:pPr>
        <w:spacing w:after="0" w:line="15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Rate Loan</w:t>
      </w:r>
      <w:r>
        <w:rPr>
          <w:rFonts w:ascii="Times New Roman" w:cs="Times New Roman" w:eastAsia="Times New Roman" w:hAnsi="Times New Roman"/>
          <w:sz w:val="20"/>
          <w:szCs w:val="20"/>
          <w:color w:val="auto"/>
        </w:rPr>
        <w:t>” means a Loan bearing interest at the Term SOFR Rate Option, other than pursuant to clause (c) of the definition of “Alternate Base Rate”. A Term SOFR Rate Loan is a Loan subject to an Interest Period.</w:t>
      </w:r>
    </w:p>
    <w:p>
      <w:pPr>
        <w:spacing w:after="0" w:line="1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Rate Option</w:t>
      </w:r>
      <w:r>
        <w:rPr>
          <w:rFonts w:ascii="Times New Roman" w:cs="Times New Roman" w:eastAsia="Times New Roman" w:hAnsi="Times New Roman"/>
          <w:sz w:val="20"/>
          <w:szCs w:val="20"/>
          <w:color w:val="auto"/>
        </w:rPr>
        <w:t xml:space="preserve">” means the option of the Borrower to have Loans bear interest at the rate and under the terms set forth in </w:t>
      </w:r>
      <w:r>
        <w:rPr>
          <w:rFonts w:ascii="Times New Roman" w:cs="Times New Roman" w:eastAsia="Times New Roman" w:hAnsi="Times New Roman"/>
          <w:sz w:val="20"/>
          <w:szCs w:val="20"/>
          <w:u w:val="single" w:color="auto"/>
          <w:color w:val="auto"/>
        </w:rPr>
        <w:t>Section 2.6(a)(ii)</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means, as of any date of determination, the most recently ended four fiscal quarters for which financials statements have been delivered to the Administrative Agent.</w:t>
      </w:r>
    </w:p>
    <w:p>
      <w:pPr>
        <w:spacing w:after="0" w:line="152"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Credit Exposure</w:t>
      </w:r>
      <w:r>
        <w:rPr>
          <w:rFonts w:ascii="Times New Roman" w:cs="Times New Roman" w:eastAsia="Times New Roman" w:hAnsi="Times New Roman"/>
          <w:sz w:val="20"/>
          <w:szCs w:val="20"/>
          <w:color w:val="auto"/>
        </w:rPr>
        <w:t>” means, as to any Lender at any time, the unused Commitments, Revolving Credit Exposure and outstanding Term Loans of such Lender at such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Net Leverage Ratio</w:t>
      </w:r>
      <w:r>
        <w:rPr>
          <w:rFonts w:ascii="Times New Roman" w:cs="Times New Roman" w:eastAsia="Times New Roman" w:hAnsi="Times New Roman"/>
          <w:sz w:val="20"/>
          <w:szCs w:val="20"/>
          <w:color w:val="auto"/>
        </w:rPr>
        <w:t>” means, as of any date of determination, determined on an aggregate basis, the ratio of</w:t>
      </w:r>
    </w:p>
    <w:p>
      <w:pPr>
        <w:spacing w:after="0" w:line="26" w:lineRule="exact"/>
        <w:rPr>
          <w:sz w:val="20"/>
          <w:szCs w:val="20"/>
          <w:color w:val="auto"/>
        </w:rPr>
      </w:pPr>
    </w:p>
    <w:p>
      <w:pPr>
        <w:jc w:val="both"/>
        <w:ind w:firstLine="8"/>
        <w:spacing w:after="0" w:line="256" w:lineRule="auto"/>
        <w:tabs>
          <w:tab w:leader="none" w:pos="26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Indebtedness of the Borrower and the Restricted Subsidiaries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(solely to the extent of unreimbursed amounts thereunder which are unpaid after 5 Business Days of becoming due and payable),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the definition of Indebtedness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amount of any Indebtedness of any Person (other than the Borrower or any Restricted Subsidiary) of the type described in the foregoing clause (A) that is guaranteed by the Borrower or any Restricted Subsidiary,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(C) the Maximum Netting Amount of unrestricted cash and cash equivalents held by the Loan Parties </w:t>
      </w:r>
      <w:r>
        <w:rPr>
          <w:rFonts w:ascii="Times New Roman" w:cs="Times New Roman" w:eastAsia="Times New Roman" w:hAnsi="Times New Roman"/>
          <w:sz w:val="19"/>
          <w:szCs w:val="19"/>
          <w:u w:val="single" w:color="auto"/>
          <w:color w:val="0000FF"/>
        </w:rPr>
        <w:t>(excluding Funding Program Cash Assets)</w:t>
      </w:r>
      <w:r>
        <w:rPr>
          <w:rFonts w:ascii="Times New Roman" w:cs="Times New Roman" w:eastAsia="Times New Roman" w:hAnsi="Times New Roman"/>
          <w:sz w:val="19"/>
          <w:szCs w:val="19"/>
          <w:color w:val="auto"/>
        </w:rPr>
        <w:t xml:space="preserve"> to (ii) EBITDA of the Borrower and the Restricted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4" w:name="page145"/>
    <w:bookmarkEnd w:id="144"/>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w:t>
      </w:r>
      <w:r>
        <w:rPr>
          <w:rFonts w:ascii="Times New Roman" w:cs="Times New Roman" w:eastAsia="Times New Roman" w:hAnsi="Times New Roman"/>
          <w:sz w:val="20"/>
          <w:szCs w:val="20"/>
          <w:color w:val="auto"/>
        </w:rPr>
        <w:t>” means, with respect to each Class of Loans, (a) (i) the Term A-1 Loans and (ii) all Incremental Term Loans made on the same date pursuant to the terms of the same Incremental Request and Incremental Amendment and (b) (i) all Revolving A-1 Loans and (ii) all Incremental Revolving Loans made pursuant to the terms of the same Incremental Amendment.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Borrower</w:t>
      </w:r>
      <w:r>
        <w:rPr>
          <w:rFonts w:ascii="Times New Roman" w:cs="Times New Roman" w:eastAsia="Times New Roman" w:hAnsi="Times New Roman"/>
          <w:sz w:val="20"/>
          <w:szCs w:val="20"/>
          <w:color w:val="auto"/>
        </w:rPr>
        <w:t>” means the Borrower that is a U.S. Person.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has the meaning set forth in the Security Agreement, subject to the rules of construction set forth in Section 1.2 of the Security Agreement.</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Regulations Authority) or any Person falling within IFPRU 11.6 of the FCA Handbook (as amended from time to time) promulgated by the United Kingdom Financial Conduct Authority, which includes certain credit institutions and investment firms and certain affiliates of such certain credit institutions or investment firms.</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Subsidiary</w:t>
      </w:r>
      <w:r>
        <w:rPr>
          <w:rFonts w:ascii="Times New Roman" w:cs="Times New Roman" w:eastAsia="Times New Roman" w:hAnsi="Times New Roman"/>
          <w:sz w:val="20"/>
          <w:szCs w:val="20"/>
          <w:color w:val="auto"/>
        </w:rPr>
        <w:t xml:space="preserve">” means any Subsidiary of the Borrower which at the time of determination is an Unrestricted Subsidiary (as designated by Borrower pursuant to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xml:space="preserve">) and any direct or indirect Subsidiary of an Unrestricted Subsidiary, except to the extent any such Subsidiary is later designated by Borrower to be a Restricted Subsidiary pursuant to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provided that no Unrestricted Subsidiary shall hold any Material Intellectual Property or any other Material License; provided that notwithstanding the foregoing each of ACS of Anchorage, LLC, ACS of Alaska, LLC, ACS of Fairbanks, LLC, and ACS of the Northland, LLC shall be permitted to hold Material Licenses, so long as no such Material Licenses are transferred from a Restricted Subsidiary.</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Unused Commitment Fees</w:t>
      </w:r>
      <w:r>
        <w:rPr>
          <w:rFonts w:ascii="Times New Roman" w:cs="Times New Roman" w:eastAsia="Times New Roman" w:hAnsi="Times New Roman"/>
          <w:sz w:val="20"/>
          <w:szCs w:val="20"/>
          <w:color w:val="auto"/>
        </w:rPr>
        <w:t>” means, collectively, (a) the Unused Revolving A-1 Commitment Fee and (b) any unused commitment fee applicable to any Incremental Revolving Facility pursuant to the terms of the applicable Incremental Amendment.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Unused Revolving A-1 Commitment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2.9(a)(i)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Public Law 107-56.</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Participant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(a) any Loan Party and (b)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45" w:name="page146"/>
    <w:bookmarkEnd w:id="145"/>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spacing w:after="0" w:line="1" w:lineRule="exact"/>
        <w:rPr>
          <w:sz w:val="20"/>
          <w:szCs w:val="20"/>
          <w:color w:val="auto"/>
        </w:rPr>
      </w:pPr>
    </w:p>
    <w:p>
      <w:pPr>
        <w:jc w:val="both"/>
        <w:ind w:firstLine="8"/>
        <w:spacing w:after="0"/>
        <w:tabs>
          <w:tab w:leader="none" w:pos="28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United Kingdom, any powers of the applicable Resolution Authority under the Bail-In Legislation to cancel, reduce, modify or change the form of a liability of any UK Financial Institution or any contract or instrument under which that liability arise, to convert all or part of that liability into shares, securities or obligations of that Person or any other Person, to provide that any such contract or instrument is to have effect as if a right had been exercised under it or to suspend any obligations in respect of that liability or any of the powers under that Bail-In Legislation that are related to or ancillary to any of those powers.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Yield Differential</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2.5(d)(iii)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b w:val="1"/>
          <w:bCs w:val="1"/>
          <w:u w:val="single" w:color="auto"/>
          <w:color w:val="auto"/>
        </w:rPr>
        <w:t>Construction</w:t>
      </w:r>
      <w:r>
        <w:rPr>
          <w:rFonts w:ascii="Times New Roman" w:cs="Times New Roman" w:eastAsia="Times New Roman" w:hAnsi="Times New Roman"/>
          <w:sz w:val="20"/>
          <w:szCs w:val="20"/>
          <w:color w:val="auto"/>
        </w:rPr>
        <w:t>. Unless the context of this Agreement otherwise clearly requires, the following rules of construction shall apply to this Agreement and each of the other Loan Documents: (a) references to the plural include the singular, the plural, the part and the whole; (b) the words “</w:t>
      </w:r>
      <w:r>
        <w:rPr>
          <w:rFonts w:ascii="Times New Roman" w:cs="Times New Roman" w:eastAsia="Times New Roman" w:hAnsi="Times New Roman"/>
          <w:sz w:val="20"/>
          <w:szCs w:val="20"/>
          <w:i w:val="1"/>
          <w:iCs w:val="1"/>
          <w:color w:val="auto"/>
        </w:rPr>
        <w:t>include</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includes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including</w:t>
      </w:r>
      <w:r>
        <w:rPr>
          <w:rFonts w:ascii="Times New Roman" w:cs="Times New Roman" w:eastAsia="Times New Roman" w:hAnsi="Times New Roman"/>
          <w:sz w:val="20"/>
          <w:szCs w:val="20"/>
          <w:color w:val="auto"/>
        </w:rPr>
        <w:t>” shall be deemed to be followed by the phrase “</w:t>
      </w:r>
      <w:r>
        <w:rPr>
          <w:rFonts w:ascii="Times New Roman" w:cs="Times New Roman" w:eastAsia="Times New Roman" w:hAnsi="Times New Roman"/>
          <w:sz w:val="20"/>
          <w:szCs w:val="20"/>
          <w:i w:val="1"/>
          <w:iCs w:val="1"/>
          <w:color w:val="auto"/>
        </w:rPr>
        <w:t>without limitation</w:t>
      </w:r>
      <w:r>
        <w:rPr>
          <w:rFonts w:ascii="Times New Roman" w:cs="Times New Roman" w:eastAsia="Times New Roman" w:hAnsi="Times New Roman"/>
          <w:sz w:val="20"/>
          <w:szCs w:val="20"/>
          <w:color w:val="auto"/>
        </w:rPr>
        <w:t>”; (c) the words “</w:t>
      </w:r>
      <w:r>
        <w:rPr>
          <w:rFonts w:ascii="Times New Roman" w:cs="Times New Roman" w:eastAsia="Times New Roman" w:hAnsi="Times New Roman"/>
          <w:sz w:val="20"/>
          <w:szCs w:val="20"/>
          <w:i w:val="1"/>
          <w:iCs w:val="1"/>
          <w:color w:val="auto"/>
        </w:rPr>
        <w:t>hereof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herein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hereunder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hereto</w:t>
      </w:r>
      <w:r>
        <w:rPr>
          <w:rFonts w:ascii="Times New Roman" w:cs="Times New Roman" w:eastAsia="Times New Roman" w:hAnsi="Times New Roman"/>
          <w:sz w:val="20"/>
          <w:szCs w:val="20"/>
          <w:color w:val="auto"/>
        </w:rPr>
        <w:t>” and similar terms in this Agreement or any other Loan Document refer to this Agreement or such other Loan Document as a whole; (d) article, section, subsection, clause, schedule and exhibit references are to this Agreement or other Loan Document, as the case may be, unless otherwise specified; (e) reference to any Person includes such Person’s successors and assigns; (f) reference to any agreement, including this Agreement and any other Loan Document together with the schedules and exhibits hereto or thereto, document or instrument means such agreement, document or instrument as amended, extended, modified, supplemented, replaced, substituted for, superseded, renewed, refinanced, refunded, reaffirmed or restated at any time and from time to time; (g) relative to the determination of any period of time, “</w:t>
      </w:r>
      <w:r>
        <w:rPr>
          <w:rFonts w:ascii="Times New Roman" w:cs="Times New Roman" w:eastAsia="Times New Roman" w:hAnsi="Times New Roman"/>
          <w:sz w:val="20"/>
          <w:szCs w:val="20"/>
          <w:i w:val="1"/>
          <w:iCs w:val="1"/>
          <w:color w:val="auto"/>
        </w:rPr>
        <w:t>from</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i w:val="1"/>
          <w:iCs w:val="1"/>
          <w:color w:val="auto"/>
        </w:rPr>
        <w:t>from and including</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i w:val="1"/>
          <w:iCs w:val="1"/>
          <w:color w:val="auto"/>
        </w:rPr>
        <w:t>to</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i w:val="1"/>
          <w:iCs w:val="1"/>
          <w:color w:val="auto"/>
        </w:rPr>
        <w:t>to but excluding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through</w:t>
      </w:r>
      <w:r>
        <w:rPr>
          <w:rFonts w:ascii="Times New Roman" w:cs="Times New Roman" w:eastAsia="Times New Roman" w:hAnsi="Times New Roman"/>
          <w:sz w:val="20"/>
          <w:szCs w:val="20"/>
          <w:color w:val="auto"/>
        </w:rPr>
        <w:t>” means “</w:t>
      </w:r>
      <w:r>
        <w:rPr>
          <w:rFonts w:ascii="Times New Roman" w:cs="Times New Roman" w:eastAsia="Times New Roman" w:hAnsi="Times New Roman"/>
          <w:sz w:val="20"/>
          <w:szCs w:val="20"/>
          <w:i w:val="1"/>
          <w:iCs w:val="1"/>
          <w:color w:val="auto"/>
        </w:rPr>
        <w:t>through and including</w:t>
      </w:r>
      <w:r>
        <w:rPr>
          <w:rFonts w:ascii="Times New Roman" w:cs="Times New Roman" w:eastAsia="Times New Roman" w:hAnsi="Times New Roman"/>
          <w:sz w:val="20"/>
          <w:szCs w:val="20"/>
          <w:color w:val="auto"/>
        </w:rPr>
        <w:t>”; (h) the words “</w:t>
      </w:r>
      <w:r>
        <w:rPr>
          <w:rFonts w:ascii="Times New Roman" w:cs="Times New Roman" w:eastAsia="Times New Roman" w:hAnsi="Times New Roman"/>
          <w:sz w:val="20"/>
          <w:szCs w:val="20"/>
          <w:i w:val="1"/>
          <w:iCs w:val="1"/>
          <w:color w:val="auto"/>
        </w:rPr>
        <w:t>asset</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i w:val="1"/>
          <w:iCs w:val="1"/>
          <w:color w:val="auto"/>
        </w:rPr>
        <w:t>property</w:t>
      </w:r>
      <w:r>
        <w:rPr>
          <w:rFonts w:ascii="Times New Roman" w:cs="Times New Roman" w:eastAsia="Times New Roman" w:hAnsi="Times New Roman"/>
          <w:sz w:val="20"/>
          <w:szCs w:val="20"/>
          <w:color w:val="auto"/>
        </w:rPr>
        <w:t>” shall be construed to have the same meaning and effect and to refer to any and all tangible and intangible assets and properties, including cash, securities, accounts and contract rights; (i) section headings herein and in each other Loan Document are included for convenience and shall not affect the interpretation of this Agreement or such Loan Document; (j) any pronoun shall include the corresponding masculine, feminine and neuter terms; (k) reference to any Law shall refer to such Law as amended, modified, supplemented, renewed, or extended from time to time and to any successor or replacement Law promulgated thereunder or substantially related thereto and to any rules and regulations related thereto; (l) reference to any Governmental Authority includes any similar or successor Governmental Authority; (m) the word “</w:t>
      </w:r>
      <w:r>
        <w:rPr>
          <w:rFonts w:ascii="Times New Roman" w:cs="Times New Roman" w:eastAsia="Times New Roman" w:hAnsi="Times New Roman"/>
          <w:sz w:val="20"/>
          <w:szCs w:val="20"/>
          <w:i w:val="1"/>
          <w:iCs w:val="1"/>
          <w:color w:val="auto"/>
        </w:rPr>
        <w:t>will</w:t>
      </w:r>
      <w:r>
        <w:rPr>
          <w:rFonts w:ascii="Times New Roman" w:cs="Times New Roman" w:eastAsia="Times New Roman" w:hAnsi="Times New Roman"/>
          <w:sz w:val="20"/>
          <w:szCs w:val="20"/>
          <w:color w:val="auto"/>
        </w:rPr>
        <w:t>” shall be construed to have the same meaning and effect as the word “</w:t>
      </w:r>
      <w:r>
        <w:rPr>
          <w:rFonts w:ascii="Times New Roman" w:cs="Times New Roman" w:eastAsia="Times New Roman" w:hAnsi="Times New Roman"/>
          <w:sz w:val="20"/>
          <w:szCs w:val="20"/>
          <w:i w:val="1"/>
          <w:iCs w:val="1"/>
          <w:color w:val="auto"/>
        </w:rPr>
        <w:t>shall</w:t>
      </w:r>
      <w:r>
        <w:rPr>
          <w:rFonts w:ascii="Times New Roman" w:cs="Times New Roman" w:eastAsia="Times New Roman" w:hAnsi="Times New Roman"/>
          <w:sz w:val="20"/>
          <w:szCs w:val="20"/>
          <w:color w:val="auto"/>
        </w:rPr>
        <w:t>”; (n) unless otherwise specified, all references herein to times of day shall be references to Denver, Colorado time; (o) the word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is not exclusive; and (p) the word “</w:t>
      </w:r>
      <w:r>
        <w:rPr>
          <w:rFonts w:ascii="Times New Roman" w:cs="Times New Roman" w:eastAsia="Times New Roman" w:hAnsi="Times New Roman"/>
          <w:sz w:val="20"/>
          <w:szCs w:val="20"/>
          <w:i w:val="1"/>
          <w:iCs w:val="1"/>
          <w:color w:val="auto"/>
        </w:rPr>
        <w:t>year</w:t>
      </w:r>
      <w:r>
        <w:rPr>
          <w:rFonts w:ascii="Times New Roman" w:cs="Times New Roman" w:eastAsia="Times New Roman" w:hAnsi="Times New Roman"/>
          <w:sz w:val="20"/>
          <w:szCs w:val="20"/>
          <w:color w:val="auto"/>
        </w:rPr>
        <w:t>” shall refer to, (i) in the case of a leap year, to a year of three hundred sixty-six (366) days and, (ii) otherwise, a year of three hundred sixty-five (365) days.</w:t>
      </w:r>
    </w:p>
    <w:p>
      <w:pPr>
        <w:spacing w:after="0" w:line="18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b w:val="1"/>
          <w:bCs w:val="1"/>
          <w:u w:val="single" w:color="auto"/>
          <w:color w:val="auto"/>
        </w:rPr>
        <w:t>Accounting Principles</w:t>
      </w:r>
      <w:r>
        <w:rPr>
          <w:rFonts w:ascii="Times New Roman" w:cs="Times New Roman" w:eastAsia="Times New Roman" w:hAnsi="Times New Roman"/>
          <w:sz w:val="20"/>
          <w:szCs w:val="20"/>
          <w:color w:val="auto"/>
        </w:rPr>
        <w:t xml:space="preserve">. Except as otherwise provided in this Agreement, all computations and determinations as to accounting or financial matters (including financial ratios and other financial covenants) and all financial statements to be delivered pursuant to this Agreement shall be made and prepared in accordance with GAAP (including principles of consolidation where appropriate), applied on a consistent basis and, except as provided herein, in a manner consistent with that used in preparing audited financial statements in accordance with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and all accounting or financial terms have the meanings ascribed to such terms by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all accounting terms used in any financial ratio or financial covenant (and any definitions used in any financial ratio or financial covenant) have the meaning given to such terms (and defined terms) under GAAP as in effect on the Closing Date applied on a basis consistent with those used in preparing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46" w:name="page147"/>
    <w:bookmarkEnd w:id="146"/>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referred to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In the event of any change after the Closing Date in GAAP, and if such change would affect the computation of any financial ratio or financial covenant set forth herein, then the parties hereto agree to endeavor, in good faith, to agree upon an amendment to this Agreement that would adjust such financial ratio or financial covenants in a manner that would preserve the original intent thereof, but would allow compliance therewith to be determined in accordance with the financial statements of the Loan Parties at that time, provided that until so amended such financial ratio or financial covenant shall continue to be computed in accordance with GAAP prior to such change therein. Notwithstanding the foregoing, for purposes of determining compliance with any ratio or covenant (including the computation of any financial ratio, financial covenant or component thereof) contained herein, Indebtedness of any Loan Party and its Subsidiaries shall be deemed to be carried at 100% of the outstanding principal amount thereof, and the effects of FASB ASC 825 and FASB ASC 470-20 on financial liabilities shall be disregarded. Notwithstanding anything to the contrary contained in Section 1.1 or in the definition of “Capital Lease”, all calculations, ratios, covenants or restrictions hereunder or under any other Loan Documents shall not give effect to the accounting for leases pursuant to GAAP resulting from the adoption of Financial Accounting Standards Board Accounting Standards Update No. 2016-02, Leases (Topic 842) (“FAS 842”). To the extent FAS 842 would require treating any lease (or similar arrangement conveying the right to use) as a Capital Lease but such lease (or similar arrangement) would not have been required to be so treated as a Capital Lease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b w:val="1"/>
          <w:bCs w:val="1"/>
          <w:u w:val="single" w:color="auto"/>
          <w:color w:val="auto"/>
        </w:rPr>
        <w:t>Rounding</w:t>
      </w:r>
      <w:r>
        <w:rPr>
          <w:rFonts w:ascii="Times New Roman" w:cs="Times New Roman" w:eastAsia="Times New Roman" w:hAnsi="Times New Roman"/>
          <w:sz w:val="20"/>
          <w:szCs w:val="20"/>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b w:val="1"/>
          <w:bCs w:val="1"/>
          <w:u w:val="single" w:color="auto"/>
          <w:color w:val="auto"/>
        </w:rPr>
        <w:t>Letter of Credit Amounts</w:t>
      </w:r>
      <w:r>
        <w:rPr>
          <w:rFonts w:ascii="Times New Roman" w:cs="Times New Roman" w:eastAsia="Times New Roman" w:hAnsi="Times New Roman"/>
          <w:sz w:val="20"/>
          <w:szCs w:val="20"/>
          <w:color w:val="auto"/>
        </w:rPr>
        <w:t>. Unless otherwise specified, all references herein to the amount of a Letter of Credit at any time shall be deemed to mean the maximum face amount of such Letter of Credit after giving effect to all increases thereof contemplated by such Letter of Credit or the Letter of Credit Request therefor (at the time specified therefor in such applicable Letter of Credit or Letter of Credit Request and as such amount may be reduced by (a) any permanent reduction of such Letter of Credit or (b) any amount which is drawn, reimbursed and no longer available under such Letter of Credit).</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b w:val="1"/>
          <w:bCs w:val="1"/>
          <w:u w:val="single" w:color="auto"/>
          <w:color w:val="auto"/>
        </w:rPr>
        <w:t>Covenant Compliance Generally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Currency Conversion</w:t>
      </w:r>
      <w:r>
        <w:rPr>
          <w:rFonts w:ascii="Times New Roman" w:cs="Times New Roman" w:eastAsia="Times New Roman" w:hAnsi="Times New Roman"/>
          <w:sz w:val="20"/>
          <w:szCs w:val="20"/>
          <w:color w:val="auto"/>
        </w:rPr>
        <w:t xml:space="preserve">. For purposes of determining compliance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any amount in a currency other than Dollars will be converted to Dollars in a manner consistent with GAAP and the most recent annual financial statements delivered pursuant to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Notwithstanding the foregoing, for purposes of determining compliance with </w:t>
      </w:r>
      <w:r>
        <w:rPr>
          <w:rFonts w:ascii="Times New Roman" w:cs="Times New Roman" w:eastAsia="Times New Roman" w:hAnsi="Times New Roman"/>
          <w:sz w:val="20"/>
          <w:szCs w:val="20"/>
          <w:u w:val="single" w:color="auto"/>
          <w:color w:val="auto"/>
        </w:rPr>
        <w:t>Articles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with respect to any covenant with respect to the amount of Indebtedness or Investment in a currency other than Dollars, no breach of any basket contained therein shall be deemed to have occurred solely as a result of changes in rates of exchange occurring after the time such Indebtedness or Investment is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result of any changes in rates of exchange occurring after the time such Indebtedness or Investment is incurred shall otherwise apply in all other cases, including determining whether any additional Indebtedness or Investment may be incurred at any time in accordance with </w:t>
      </w:r>
      <w:r>
        <w:rPr>
          <w:rFonts w:ascii="Times New Roman" w:cs="Times New Roman" w:eastAsia="Times New Roman" w:hAnsi="Times New Roman"/>
          <w:sz w:val="20"/>
          <w:szCs w:val="20"/>
          <w:u w:val="single" w:color="auto"/>
          <w:color w:val="auto"/>
        </w:rPr>
        <w:t>Articles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and for purposes of calculating financial ratios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7" w:name="page148"/>
    <w:bookmarkEnd w:id="147"/>
    <w:p>
      <w:pPr>
        <w:jc w:val="both"/>
        <w:ind w:firstLine="1304"/>
        <w:spacing w:after="0" w:line="242" w:lineRule="auto"/>
        <w:tabs>
          <w:tab w:leader="none" w:pos="19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Notwithstanding anything to the contrary contained herein, for purposes of calculating the Total Net Leverage Ratio, EBITDA or any other financial ratio, test or basket or determining compliance with any covenant or other provision under this Agreement or any other Loan Document that requires such calculation of such financial ratio, test or basket or such determination of compliance with any covenant or other provision be made on a pro forma basis, in each case, on any specified date (the “</w:t>
      </w:r>
      <w:r>
        <w:rPr>
          <w:rFonts w:ascii="Times New Roman" w:cs="Times New Roman" w:eastAsia="Times New Roman" w:hAnsi="Times New Roman"/>
          <w:sz w:val="20"/>
          <w:szCs w:val="20"/>
          <w:b w:val="1"/>
          <w:bCs w:val="1"/>
          <w:color w:val="auto"/>
        </w:rPr>
        <w:t>Calculation Date</w:t>
      </w:r>
      <w:r>
        <w:rPr>
          <w:rFonts w:ascii="Times New Roman" w:cs="Times New Roman" w:eastAsia="Times New Roman" w:hAnsi="Times New Roman"/>
          <w:sz w:val="20"/>
          <w:szCs w:val="20"/>
          <w:color w:val="auto"/>
        </w:rPr>
        <w:t>”), that calculation or determination, as the case may be, shall be made after giving effect to the consummation of any permitted Investment, Disposition, Restricted Payment, Acquisition, Borrowing, incurrence of Indebtedness (and use of proceeds), effectiveness of any Incremental Facility or other like transaction (each, a “</w:t>
      </w:r>
      <w:r>
        <w:rPr>
          <w:rFonts w:ascii="Times New Roman" w:cs="Times New Roman" w:eastAsia="Times New Roman" w:hAnsi="Times New Roman"/>
          <w:sz w:val="20"/>
          <w:szCs w:val="20"/>
          <w:b w:val="1"/>
          <w:bCs w:val="1"/>
          <w:color w:val="auto"/>
        </w:rPr>
        <w:t>Specified Transaction</w:t>
      </w:r>
      <w:r>
        <w:rPr>
          <w:rFonts w:ascii="Times New Roman" w:cs="Times New Roman" w:eastAsia="Times New Roman" w:hAnsi="Times New Roman"/>
          <w:sz w:val="20"/>
          <w:szCs w:val="20"/>
          <w:color w:val="auto"/>
        </w:rPr>
        <w:t>”) that were consummated or that otherwise occurred, in each case, (x) during the applicable Test Period most recently ended prior to such Calculation Date or (y) after the last day of such Test Period and on or prior to the Calculation Date, in each case, as if such Specified Transaction had occurred on the first day of the Test Period most recently ended prior to the Calculation Date.</w:t>
      </w:r>
    </w:p>
    <w:p>
      <w:pPr>
        <w:spacing w:after="0" w:line="188"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Condition Acquisitions</w:t>
      </w:r>
      <w:r>
        <w:rPr>
          <w:rFonts w:ascii="Times New Roman" w:cs="Times New Roman" w:eastAsia="Times New Roman" w:hAnsi="Times New Roman"/>
          <w:sz w:val="20"/>
          <w:szCs w:val="20"/>
          <w:color w:val="auto"/>
        </w:rPr>
        <w:t xml:space="preserve">. In the case of the classification of an Acquisition as a Permitted Acquisition or the consummation of any other Specified Transactions in connection with a Limited Condition Acquisition, at the Borrower’s option, the calculation of the relevant financial ratios, tests and baskets and the condition that there be no Default or Event of Default (other than a Specified Event of Default, which shall not exist on the date that such Limited Condition Acquisition is consummated) shall be determined as of the date the Acquisition Agreement of such Limited Condition Acquisition is entered into and calculated as if the Acquisition and other pro forma events in connection therewith were consummated on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Borrower has made such an election, in connection with the calculation of any financial ratios, tests or baskets with respect to the classification of an Acquisition as a Permitted Acquisition or the consummation of any other Specified Transactions on or following such date and prior to the earlier of the date on which such Limited Condition Acquisition is consummated or the Acquisition Agreement of such Limited Condition Acquisition is terminated, any such financial ratio, test or basket shall be calculated on a pro forma basis assuming such Limited Condition Acquisition and other pro forma events in connection therewith (including any incurrence of Indebtedness) have been consummated.</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b w:val="1"/>
          <w:bCs w:val="1"/>
          <w:u w:val="single" w:color="auto"/>
          <w:color w:val="auto"/>
        </w:rPr>
        <w:t>Holidays</w:t>
      </w:r>
      <w:r>
        <w:rPr>
          <w:rFonts w:ascii="Times New Roman" w:cs="Times New Roman" w:eastAsia="Times New Roman" w:hAnsi="Times New Roman"/>
          <w:sz w:val="20"/>
          <w:szCs w:val="20"/>
          <w:color w:val="auto"/>
        </w:rPr>
        <w:t xml:space="preserve">. Whenever payment of a Loan to be made or taken hereunder shall be due on a day that is not a Business Day such payment shall be due on the next Business Day (except as provided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and such extension of time shall be included in computing interest and fees, except that the Loans shall be due on the Business Day preceding the Maturity Date if the Maturity Date is not a Business Day. Whenever any payment or action to be made or taken hereunder (other than payment of the Loans) shall be stated to be due on a day that is not a Business Day, such payment or action shall be made or taken on the next following Business Day, and such extension of time shall not be included in computing interest or fees, if any, in connection with such payment or action.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b w:val="1"/>
          <w:bCs w:val="1"/>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w:t>
      </w:r>
    </w:p>
    <w:p>
      <w:pPr>
        <w:spacing w:after="0" w:line="26" w:lineRule="exact"/>
        <w:rPr>
          <w:sz w:val="20"/>
          <w:szCs w:val="20"/>
          <w:color w:val="auto"/>
        </w:rPr>
      </w:pPr>
    </w:p>
    <w:p>
      <w:pPr>
        <w:jc w:val="both"/>
        <w:ind w:firstLine="8"/>
        <w:spacing w:after="0"/>
        <w:tabs>
          <w:tab w:leader="none" w:pos="297"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in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to a combination, merger, consolidation, Disposition, dissolution, liquidation, transfer or similar term shall be deemed to apply to a Division, or an allocation of assets to a series of limited liability companies (or the unwinding of such a Division or allocation) as if it were a combination, merger, consolidation, Disposition, dissolution, transfer or similar term, as applicable, to of or with a separate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0"/>
          <w:szCs w:val="20"/>
          <w:b w:val="1"/>
          <w:bCs w:val="1"/>
          <w:color w:val="auto"/>
        </w:rPr>
        <w:t>II.  CREDIT FACILITIES</w:t>
      </w:r>
    </w:p>
    <w:p>
      <w:pPr>
        <w:spacing w:after="0" w:line="21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b w:val="1"/>
          <w:bCs w:val="1"/>
          <w:u w:val="single" w:color="auto"/>
          <w:color w:val="auto"/>
        </w:rPr>
        <w:t>Term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9" w:lineRule="auto"/>
        <w:tabs>
          <w:tab w:leader="none" w:pos="1944"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A-1 Loan Commitments</w:t>
      </w:r>
      <w:r>
        <w:rPr>
          <w:rFonts w:ascii="Times New Roman" w:cs="Times New Roman" w:eastAsia="Times New Roman" w:hAnsi="Times New Roman"/>
          <w:sz w:val="19"/>
          <w:szCs w:val="19"/>
          <w:color w:val="auto"/>
        </w:rPr>
        <w:t xml:space="preserve">. Subject to the terms and conditions hereof, and relying upon the representations and warranties of the Loan Parties set forth herein and in the other Loan Documents, each Term A-1 Loan Lender severally agrees to make the Term A-1 Loan to the Borrower on the Closing Date in such principal amount as the Borrower shall request up to, but not exceeding the lesser of (i) such Term A-1 Loan Lender’s Term A-1 Loan Commitment or (ii) such Term A-1 Loan Lender’s Pro Rata Share of the aggregate principal amount of Term A-1 Loans to be funded on the Closing Date. The request by the Borrower for the Term A-1 Loan shall be deemed to be a representation by the Borrower that it shall be in compliance with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both before and after giving effect to the requested Term A-1 Loan.</w:t>
      </w:r>
    </w:p>
    <w:p>
      <w:pPr>
        <w:spacing w:after="0" w:line="172" w:lineRule="exact"/>
        <w:rPr>
          <w:rFonts w:ascii="Times New Roman" w:cs="Times New Roman" w:eastAsia="Times New Roman" w:hAnsi="Times New Roman"/>
          <w:sz w:val="19"/>
          <w:szCs w:val="19"/>
          <w:color w:val="auto"/>
        </w:rPr>
      </w:pPr>
    </w:p>
    <w:p>
      <w:pPr>
        <w:jc w:val="both"/>
        <w:ind w:firstLine="1304"/>
        <w:spacing w:after="0" w:line="242" w:lineRule="auto"/>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A-1 Loan Request</w:t>
      </w:r>
      <w:r>
        <w:rPr>
          <w:rFonts w:ascii="Times New Roman" w:cs="Times New Roman" w:eastAsia="Times New Roman" w:hAnsi="Times New Roman"/>
          <w:sz w:val="20"/>
          <w:szCs w:val="20"/>
          <w:color w:val="auto"/>
        </w:rPr>
        <w:t>. The Borrower shall request the Term A-1 Loan Lenders to make the Term A-1 Loans by delivering to the Administrative Agent, not later than 11:00 a.m., (i) three (3) U.S. Government Securities Business Days prior to the Closing Date with respect to Term SOFR Rate Loans (or such shorter period of time as the Administrative Agent may agree in its sole discretion); and (ii) one (1) Business Day prior to the Closing Date with respect to Base Rate Loans (or such shorter period of time as the Administrative Agent may agree in its sole discretion), a duly completed Loan Request. The Loan Request with respect to the Term A-1 Loan shall be subject to the occurrence of the Closing Date but otherwise shall be irrevocable and shall specify the aggregate amount of the proposed Term A-1 Loans comprising each Borrowing, and, if applicable, the Interest Period, which amounts shall be in (x) integral multiples of $500,000 and not less than $1,000,000 for each Borrowing under the Term SOFR Rate Option and (y) integral multiples of $100,000 and not less than $500,000 for each Borrowing under the Base Rate Option.</w:t>
      </w:r>
    </w:p>
    <w:p>
      <w:pPr>
        <w:spacing w:after="0" w:line="192"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Lenders’ Obligations with Respect to Term A-1 Loans</w:t>
      </w:r>
      <w:r>
        <w:rPr>
          <w:rFonts w:ascii="Times New Roman" w:cs="Times New Roman" w:eastAsia="Times New Roman" w:hAnsi="Times New Roman"/>
          <w:sz w:val="20"/>
          <w:szCs w:val="20"/>
          <w:color w:val="auto"/>
        </w:rPr>
        <w:t xml:space="preserve">. The failure of any Term A-1 Loan Lender to make a Term Loan shall not relieve any other Term A-1 Loan Lender of its obligations to make a Term A-1 Loan nor shall it impose any additional liability on any other Lender hereunder. The Term A-1 Loan Lenders shall have no obligation to make the Term A-1 Loans after the Closing Date. The Term A-1 Loan Commitments are not revolving commitments, and the Borrower shall not have the right to repay and reborrow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Term A-1 Loans</w:t>
      </w:r>
      <w:r>
        <w:rPr>
          <w:rFonts w:ascii="Times New Roman" w:cs="Times New Roman" w:eastAsia="Times New Roman" w:hAnsi="Times New Roman"/>
          <w:sz w:val="20"/>
          <w:szCs w:val="20"/>
          <w:color w:val="auto"/>
        </w:rPr>
        <w:t xml:space="preserve">. In addition to any prepayments or repayments made pursuant to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the Borrower shall repay the aggregate outstanding principal balance of the Term A-1 Loan in quarterly principal payments on the last day of each fiscal quarter for the periods and in the amounts set forth in the following table (as the same may be reduced from time to time as a result of mandatory or voluntary prepayments from time to time in accordance with the terms hereof):</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4980" w:type="dxa"/>
            <w:vAlign w:val="bottom"/>
            <w:tcBorders>
              <w:top w:val="single" w:sz="8" w:color="010101"/>
              <w:left w:val="single" w:sz="8" w:color="010101"/>
              <w:right w:val="single" w:sz="8" w:color="010101"/>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Quarterly Payment Dates</w:t>
            </w:r>
          </w:p>
        </w:tc>
        <w:tc>
          <w:tcPr>
            <w:tcW w:w="1560" w:type="dxa"/>
            <w:vAlign w:val="bottom"/>
            <w:tcBorders>
              <w:top w:val="single" w:sz="8" w:color="010101"/>
            </w:tcBorders>
          </w:tcPr>
          <w:p>
            <w:pPr>
              <w:spacing w:after="0"/>
              <w:rPr>
                <w:sz w:val="22"/>
                <w:szCs w:val="22"/>
                <w:color w:val="auto"/>
              </w:rPr>
            </w:pPr>
          </w:p>
        </w:tc>
        <w:tc>
          <w:tcPr>
            <w:tcW w:w="3380" w:type="dxa"/>
            <w:vAlign w:val="bottom"/>
            <w:tcBorders>
              <w:top w:val="single" w:sz="8" w:color="010101"/>
              <w:right w:val="single" w:sz="8" w:color="010101"/>
            </w:tcBorders>
            <w:gridSpan w:val="2"/>
          </w:tcPr>
          <w:p>
            <w:pPr>
              <w:jc w:val="center"/>
              <w:ind w:right="1580"/>
              <w:spacing w:after="0"/>
              <w:rPr>
                <w:sz w:val="20"/>
                <w:szCs w:val="20"/>
                <w:color w:val="auto"/>
              </w:rPr>
            </w:pPr>
            <w:r>
              <w:rPr>
                <w:rFonts w:ascii="Times New Roman" w:cs="Times New Roman" w:eastAsia="Times New Roman" w:hAnsi="Times New Roman"/>
                <w:sz w:val="20"/>
                <w:szCs w:val="20"/>
                <w:color w:val="auto"/>
                <w:w w:val="99"/>
              </w:rPr>
              <w:t>Quarterly Repayments</w:t>
            </w:r>
          </w:p>
        </w:tc>
      </w:tr>
      <w:tr>
        <w:trPr>
          <w:trHeight w:val="88"/>
        </w:trPr>
        <w:tc>
          <w:tcPr>
            <w:tcW w:w="1500" w:type="dxa"/>
            <w:vAlign w:val="bottom"/>
            <w:tcBorders>
              <w:left w:val="single" w:sz="8" w:color="010101"/>
              <w:bottom w:val="single" w:sz="8" w:color="010101"/>
            </w:tcBorders>
          </w:tcPr>
          <w:p>
            <w:pPr>
              <w:spacing w:after="0"/>
              <w:rPr>
                <w:sz w:val="7"/>
                <w:szCs w:val="7"/>
                <w:color w:val="auto"/>
              </w:rPr>
            </w:pPr>
          </w:p>
        </w:tc>
        <w:tc>
          <w:tcPr>
            <w:tcW w:w="2000" w:type="dxa"/>
            <w:vAlign w:val="bottom"/>
            <w:tcBorders>
              <w:top w:val="single" w:sz="8" w:color="auto"/>
              <w:bottom w:val="single" w:sz="8" w:color="010101"/>
            </w:tcBorders>
          </w:tcPr>
          <w:p>
            <w:pPr>
              <w:spacing w:after="0"/>
              <w:rPr>
                <w:sz w:val="7"/>
                <w:szCs w:val="7"/>
                <w:color w:val="auto"/>
              </w:rPr>
            </w:pPr>
          </w:p>
        </w:tc>
        <w:tc>
          <w:tcPr>
            <w:tcW w:w="1480" w:type="dxa"/>
            <w:vAlign w:val="bottom"/>
            <w:tcBorders>
              <w:bottom w:val="single" w:sz="8" w:color="010101"/>
              <w:right w:val="single" w:sz="8" w:color="010101"/>
            </w:tcBorders>
          </w:tcPr>
          <w:p>
            <w:pPr>
              <w:spacing w:after="0"/>
              <w:rPr>
                <w:sz w:val="7"/>
                <w:szCs w:val="7"/>
                <w:color w:val="auto"/>
              </w:rPr>
            </w:pPr>
          </w:p>
        </w:tc>
        <w:tc>
          <w:tcPr>
            <w:tcW w:w="1560" w:type="dxa"/>
            <w:vAlign w:val="bottom"/>
            <w:tcBorders>
              <w:bottom w:val="single" w:sz="8" w:color="010101"/>
            </w:tcBorders>
          </w:tcPr>
          <w:p>
            <w:pPr>
              <w:spacing w:after="0"/>
              <w:rPr>
                <w:sz w:val="7"/>
                <w:szCs w:val="7"/>
                <w:color w:val="auto"/>
              </w:rPr>
            </w:pPr>
          </w:p>
        </w:tc>
        <w:tc>
          <w:tcPr>
            <w:tcW w:w="1800" w:type="dxa"/>
            <w:vAlign w:val="bottom"/>
            <w:tcBorders>
              <w:top w:val="single" w:sz="8" w:color="auto"/>
              <w:bottom w:val="single" w:sz="8" w:color="010101"/>
            </w:tcBorders>
          </w:tcPr>
          <w:p>
            <w:pPr>
              <w:spacing w:after="0"/>
              <w:rPr>
                <w:sz w:val="7"/>
                <w:szCs w:val="7"/>
                <w:color w:val="auto"/>
              </w:rPr>
            </w:pPr>
          </w:p>
        </w:tc>
        <w:tc>
          <w:tcPr>
            <w:tcW w:w="1580" w:type="dxa"/>
            <w:vAlign w:val="bottom"/>
            <w:tcBorders>
              <w:bottom w:val="single" w:sz="8" w:color="010101"/>
              <w:right w:val="single" w:sz="8" w:color="010101"/>
            </w:tcBorders>
          </w:tcPr>
          <w:p>
            <w:pPr>
              <w:spacing w:after="0"/>
              <w:rPr>
                <w:sz w:val="7"/>
                <w:szCs w:val="7"/>
                <w:color w:val="auto"/>
              </w:rPr>
            </w:pPr>
          </w:p>
        </w:tc>
      </w:tr>
      <w:tr>
        <w:trPr>
          <w:trHeight w:val="296"/>
        </w:trPr>
        <w:tc>
          <w:tcPr>
            <w:tcW w:w="4980" w:type="dxa"/>
            <w:vAlign w:val="bottom"/>
            <w:tcBorders>
              <w:left w:val="single" w:sz="8" w:color="010101"/>
              <w:right w:val="single" w:sz="8" w:color="010101"/>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December 31, 2023 – June 30, 2025</w:t>
            </w:r>
          </w:p>
        </w:tc>
        <w:tc>
          <w:tcPr>
            <w:tcW w:w="4940" w:type="dxa"/>
            <w:vAlign w:val="bottom"/>
            <w:tcBorders>
              <w:right w:val="single" w:sz="8" w:color="010101"/>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$812,500 (2.5% per annum)</w:t>
            </w:r>
          </w:p>
        </w:tc>
      </w:tr>
      <w:tr>
        <w:trPr>
          <w:trHeight w:val="62"/>
        </w:trPr>
        <w:tc>
          <w:tcPr>
            <w:tcW w:w="1500" w:type="dxa"/>
            <w:vAlign w:val="bottom"/>
            <w:tcBorders>
              <w:left w:val="single" w:sz="8" w:color="010101"/>
              <w:bottom w:val="single" w:sz="8" w:color="010101"/>
            </w:tcBorders>
          </w:tcPr>
          <w:p>
            <w:pPr>
              <w:spacing w:after="0"/>
              <w:rPr>
                <w:sz w:val="5"/>
                <w:szCs w:val="5"/>
                <w:color w:val="auto"/>
              </w:rPr>
            </w:pPr>
          </w:p>
        </w:tc>
        <w:tc>
          <w:tcPr>
            <w:tcW w:w="2000" w:type="dxa"/>
            <w:vAlign w:val="bottom"/>
            <w:tcBorders>
              <w:bottom w:val="single" w:sz="8" w:color="010101"/>
            </w:tcBorders>
          </w:tcPr>
          <w:p>
            <w:pPr>
              <w:spacing w:after="0"/>
              <w:rPr>
                <w:sz w:val="5"/>
                <w:szCs w:val="5"/>
                <w:color w:val="auto"/>
              </w:rPr>
            </w:pPr>
          </w:p>
        </w:tc>
        <w:tc>
          <w:tcPr>
            <w:tcW w:w="1480" w:type="dxa"/>
            <w:vAlign w:val="bottom"/>
            <w:tcBorders>
              <w:bottom w:val="single" w:sz="8" w:color="010101"/>
              <w:right w:val="single" w:sz="8" w:color="010101"/>
            </w:tcBorders>
          </w:tcPr>
          <w:p>
            <w:pPr>
              <w:spacing w:after="0"/>
              <w:rPr>
                <w:sz w:val="5"/>
                <w:szCs w:val="5"/>
                <w:color w:val="auto"/>
              </w:rPr>
            </w:pPr>
          </w:p>
        </w:tc>
        <w:tc>
          <w:tcPr>
            <w:tcW w:w="1560" w:type="dxa"/>
            <w:vAlign w:val="bottom"/>
            <w:tcBorders>
              <w:bottom w:val="single" w:sz="8" w:color="010101"/>
            </w:tcBorders>
          </w:tcPr>
          <w:p>
            <w:pPr>
              <w:spacing w:after="0"/>
              <w:rPr>
                <w:sz w:val="5"/>
                <w:szCs w:val="5"/>
                <w:color w:val="auto"/>
              </w:rPr>
            </w:pPr>
          </w:p>
        </w:tc>
        <w:tc>
          <w:tcPr>
            <w:tcW w:w="1800" w:type="dxa"/>
            <w:vAlign w:val="bottom"/>
            <w:tcBorders>
              <w:bottom w:val="single" w:sz="8" w:color="010101"/>
            </w:tcBorders>
          </w:tcPr>
          <w:p>
            <w:pPr>
              <w:spacing w:after="0"/>
              <w:rPr>
                <w:sz w:val="5"/>
                <w:szCs w:val="5"/>
                <w:color w:val="auto"/>
              </w:rPr>
            </w:pPr>
          </w:p>
        </w:tc>
        <w:tc>
          <w:tcPr>
            <w:tcW w:w="1580" w:type="dxa"/>
            <w:vAlign w:val="bottom"/>
            <w:tcBorders>
              <w:bottom w:val="single" w:sz="8" w:color="010101"/>
              <w:right w:val="single" w:sz="8" w:color="010101"/>
            </w:tcBorders>
          </w:tcPr>
          <w:p>
            <w:pPr>
              <w:spacing w:after="0"/>
              <w:rPr>
                <w:sz w:val="5"/>
                <w:szCs w:val="5"/>
                <w:color w:val="auto"/>
              </w:rPr>
            </w:pPr>
          </w:p>
        </w:tc>
      </w:tr>
      <w:tr>
        <w:trPr>
          <w:trHeight w:val="337"/>
        </w:trPr>
        <w:tc>
          <w:tcPr>
            <w:tcW w:w="4980" w:type="dxa"/>
            <w:vAlign w:val="bottom"/>
            <w:tcBorders>
              <w:left w:val="single" w:sz="8" w:color="010101"/>
              <w:right w:val="single" w:sz="8" w:color="010101"/>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September 30, 2025 – June 30, 2026</w:t>
            </w:r>
          </w:p>
        </w:tc>
        <w:tc>
          <w:tcPr>
            <w:tcW w:w="4940" w:type="dxa"/>
            <w:vAlign w:val="bottom"/>
            <w:tcBorders>
              <w:right w:val="single" w:sz="8" w:color="010101"/>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9"/>
              </w:rPr>
              <w:t>$1,625,000 (5% per annum)</w:t>
            </w:r>
          </w:p>
        </w:tc>
      </w:tr>
      <w:tr>
        <w:trPr>
          <w:trHeight w:val="102"/>
        </w:trPr>
        <w:tc>
          <w:tcPr>
            <w:tcW w:w="1500" w:type="dxa"/>
            <w:vAlign w:val="bottom"/>
            <w:tcBorders>
              <w:left w:val="single" w:sz="8" w:color="010101"/>
              <w:bottom w:val="single" w:sz="8" w:color="010101"/>
            </w:tcBorders>
          </w:tcPr>
          <w:p>
            <w:pPr>
              <w:spacing w:after="0"/>
              <w:rPr>
                <w:sz w:val="8"/>
                <w:szCs w:val="8"/>
                <w:color w:val="auto"/>
              </w:rPr>
            </w:pPr>
          </w:p>
        </w:tc>
        <w:tc>
          <w:tcPr>
            <w:tcW w:w="2000" w:type="dxa"/>
            <w:vAlign w:val="bottom"/>
            <w:tcBorders>
              <w:bottom w:val="single" w:sz="8" w:color="010101"/>
            </w:tcBorders>
          </w:tcPr>
          <w:p>
            <w:pPr>
              <w:spacing w:after="0"/>
              <w:rPr>
                <w:sz w:val="8"/>
                <w:szCs w:val="8"/>
                <w:color w:val="auto"/>
              </w:rPr>
            </w:pPr>
          </w:p>
        </w:tc>
        <w:tc>
          <w:tcPr>
            <w:tcW w:w="1480" w:type="dxa"/>
            <w:vAlign w:val="bottom"/>
            <w:tcBorders>
              <w:bottom w:val="single" w:sz="8" w:color="010101"/>
              <w:right w:val="single" w:sz="8" w:color="010101"/>
            </w:tcBorders>
          </w:tcPr>
          <w:p>
            <w:pPr>
              <w:spacing w:after="0"/>
              <w:rPr>
                <w:sz w:val="8"/>
                <w:szCs w:val="8"/>
                <w:color w:val="auto"/>
              </w:rPr>
            </w:pPr>
          </w:p>
        </w:tc>
        <w:tc>
          <w:tcPr>
            <w:tcW w:w="1560" w:type="dxa"/>
            <w:vAlign w:val="bottom"/>
            <w:tcBorders>
              <w:bottom w:val="single" w:sz="8" w:color="010101"/>
            </w:tcBorders>
          </w:tcPr>
          <w:p>
            <w:pPr>
              <w:spacing w:after="0"/>
              <w:rPr>
                <w:sz w:val="8"/>
                <w:szCs w:val="8"/>
                <w:color w:val="auto"/>
              </w:rPr>
            </w:pPr>
          </w:p>
        </w:tc>
        <w:tc>
          <w:tcPr>
            <w:tcW w:w="1800" w:type="dxa"/>
            <w:vAlign w:val="bottom"/>
            <w:tcBorders>
              <w:bottom w:val="single" w:sz="8" w:color="010101"/>
            </w:tcBorders>
          </w:tcPr>
          <w:p>
            <w:pPr>
              <w:spacing w:after="0"/>
              <w:rPr>
                <w:sz w:val="8"/>
                <w:szCs w:val="8"/>
                <w:color w:val="auto"/>
              </w:rPr>
            </w:pPr>
          </w:p>
        </w:tc>
        <w:tc>
          <w:tcPr>
            <w:tcW w:w="1580" w:type="dxa"/>
            <w:vAlign w:val="bottom"/>
            <w:tcBorders>
              <w:bottom w:val="single" w:sz="8" w:color="010101"/>
              <w:right w:val="single" w:sz="8" w:color="010101"/>
            </w:tcBorders>
          </w:tcPr>
          <w:p>
            <w:pPr>
              <w:spacing w:after="0"/>
              <w:rPr>
                <w:sz w:val="8"/>
                <w:szCs w:val="8"/>
                <w:color w:val="auto"/>
              </w:rPr>
            </w:pPr>
          </w:p>
        </w:tc>
      </w:tr>
      <w:tr>
        <w:trPr>
          <w:trHeight w:val="337"/>
        </w:trPr>
        <w:tc>
          <w:tcPr>
            <w:tcW w:w="4980" w:type="dxa"/>
            <w:vAlign w:val="bottom"/>
            <w:tcBorders>
              <w:left w:val="single" w:sz="8" w:color="010101"/>
              <w:right w:val="single" w:sz="8" w:color="010101"/>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September 30, 2026 – June 30, 2029</w:t>
            </w:r>
          </w:p>
        </w:tc>
        <w:tc>
          <w:tcPr>
            <w:tcW w:w="4940" w:type="dxa"/>
            <w:vAlign w:val="bottom"/>
            <w:tcBorders>
              <w:right w:val="single" w:sz="8" w:color="010101"/>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8"/>
              </w:rPr>
              <w:t>$2,437,500 (7.5% per annum)</w:t>
            </w:r>
          </w:p>
        </w:tc>
      </w:tr>
      <w:tr>
        <w:trPr>
          <w:trHeight w:val="102"/>
        </w:trPr>
        <w:tc>
          <w:tcPr>
            <w:tcW w:w="1500" w:type="dxa"/>
            <w:vAlign w:val="bottom"/>
            <w:tcBorders>
              <w:left w:val="single" w:sz="8" w:color="010101"/>
              <w:bottom w:val="single" w:sz="8" w:color="010101"/>
            </w:tcBorders>
          </w:tcPr>
          <w:p>
            <w:pPr>
              <w:spacing w:after="0"/>
              <w:rPr>
                <w:sz w:val="8"/>
                <w:szCs w:val="8"/>
                <w:color w:val="auto"/>
              </w:rPr>
            </w:pPr>
          </w:p>
        </w:tc>
        <w:tc>
          <w:tcPr>
            <w:tcW w:w="2000" w:type="dxa"/>
            <w:vAlign w:val="bottom"/>
            <w:tcBorders>
              <w:bottom w:val="single" w:sz="8" w:color="010101"/>
            </w:tcBorders>
          </w:tcPr>
          <w:p>
            <w:pPr>
              <w:spacing w:after="0"/>
              <w:rPr>
                <w:sz w:val="8"/>
                <w:szCs w:val="8"/>
                <w:color w:val="auto"/>
              </w:rPr>
            </w:pPr>
          </w:p>
        </w:tc>
        <w:tc>
          <w:tcPr>
            <w:tcW w:w="1480" w:type="dxa"/>
            <w:vAlign w:val="bottom"/>
            <w:tcBorders>
              <w:bottom w:val="single" w:sz="8" w:color="010101"/>
              <w:right w:val="single" w:sz="8" w:color="010101"/>
            </w:tcBorders>
          </w:tcPr>
          <w:p>
            <w:pPr>
              <w:spacing w:after="0"/>
              <w:rPr>
                <w:sz w:val="8"/>
                <w:szCs w:val="8"/>
                <w:color w:val="auto"/>
              </w:rPr>
            </w:pPr>
          </w:p>
        </w:tc>
        <w:tc>
          <w:tcPr>
            <w:tcW w:w="1560" w:type="dxa"/>
            <w:vAlign w:val="bottom"/>
            <w:tcBorders>
              <w:bottom w:val="single" w:sz="8" w:color="010101"/>
            </w:tcBorders>
          </w:tcPr>
          <w:p>
            <w:pPr>
              <w:spacing w:after="0"/>
              <w:rPr>
                <w:sz w:val="8"/>
                <w:szCs w:val="8"/>
                <w:color w:val="auto"/>
              </w:rPr>
            </w:pPr>
          </w:p>
        </w:tc>
        <w:tc>
          <w:tcPr>
            <w:tcW w:w="1800" w:type="dxa"/>
            <w:vAlign w:val="bottom"/>
            <w:tcBorders>
              <w:bottom w:val="single" w:sz="8" w:color="010101"/>
            </w:tcBorders>
          </w:tcPr>
          <w:p>
            <w:pPr>
              <w:spacing w:after="0"/>
              <w:rPr>
                <w:sz w:val="8"/>
                <w:szCs w:val="8"/>
                <w:color w:val="auto"/>
              </w:rPr>
            </w:pPr>
          </w:p>
        </w:tc>
        <w:tc>
          <w:tcPr>
            <w:tcW w:w="1580" w:type="dxa"/>
            <w:vAlign w:val="bottom"/>
            <w:tcBorders>
              <w:bottom w:val="single" w:sz="8" w:color="010101"/>
              <w:right w:val="single" w:sz="8" w:color="010101"/>
            </w:tcBorders>
          </w:tcPr>
          <w:p>
            <w:pPr>
              <w:spacing w:after="0"/>
              <w:rPr>
                <w:sz w:val="8"/>
                <w:szCs w:val="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49" w:name="page150"/>
    <w:bookmarkEnd w:id="149"/>
    <w:p>
      <w:pPr>
        <w:spacing w:after="0" w:line="268" w:lineRule="auto"/>
        <w:rPr>
          <w:sz w:val="20"/>
          <w:szCs w:val="20"/>
          <w:color w:val="auto"/>
        </w:rPr>
      </w:pPr>
      <w:r>
        <w:rPr>
          <w:rFonts w:ascii="Times New Roman" w:cs="Times New Roman" w:eastAsia="Times New Roman" w:hAnsi="Times New Roman"/>
          <w:sz w:val="20"/>
          <w:szCs w:val="20"/>
          <w:color w:val="auto"/>
        </w:rPr>
        <w:t>Notwithstanding anything herein to the contrary, the entire outstanding principal balance of the Term A-1 Loans shall be due and payable in full in cash on the Maturity Date with respect to the Term A-1 Loan Facility.</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b w:val="1"/>
          <w:bCs w:val="1"/>
          <w:u w:val="single" w:color="auto"/>
          <w:color w:val="auto"/>
        </w:rPr>
        <w:t>Revolving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A-1 Commitments</w:t>
      </w:r>
      <w:r>
        <w:rPr>
          <w:rFonts w:ascii="Times New Roman" w:cs="Times New Roman" w:eastAsia="Times New Roman" w:hAnsi="Times New Roman"/>
          <w:sz w:val="20"/>
          <w:szCs w:val="20"/>
          <w:color w:val="auto"/>
        </w:rPr>
        <w:t xml:space="preserve">. Subject to the terms and conditions hereof and relying upon the representations and warranties of the Loan Parties set forth herein and in the other Loan Documents, each Revolving A-1 Loan Lender severally agrees to make Revolving A-1 Loans to the Borrower at any time or from time to time on or after the Closing Date to, but not including, the Maturity Date with respect to the Revolving A-1 Credit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each such Revolving A-1 Loan, (i) the aggregate principal amount of such Revolving A-1 Loan Lender’s Revolving A-1 Loans shall not exceed its Available Revolving A-1 Commitment with respect to its Revolving A-1 Commitment and (ii) the Revolving A-1 Credit Facility Usage shall not exceed the Revolving A-1 Commitments. Each request by the Borrower for a Revolving A-1 Loan shall be deemed to be a representation by the Borrower that it shall be in compliance with the proviso at the end of the preceding sentence and with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after giving effect to the requested Revolving A-1 Loan. Within such limits of time and amount and subject to the other provisions of this Agreement, the Borrower may borrow, repay and reborrow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A-1 Loan Requests</w:t>
      </w:r>
      <w:r>
        <w:rPr>
          <w:rFonts w:ascii="Times New Roman" w:cs="Times New Roman" w:eastAsia="Times New Roman" w:hAnsi="Times New Roman"/>
          <w:sz w:val="20"/>
          <w:szCs w:val="20"/>
          <w:color w:val="auto"/>
        </w:rPr>
        <w:t>. Except as otherwise provided herein, the Borrower may from time to time prior to the Maturity Date request the Revolving A-1 Loan Lenders to make Revolving A-1 Loans by delivering to the Administrative Agent, not later than 11:00 a.m., (i) three (3) U.S. Government Securities Business Days prior to the Borrowing Date with respect to Term SOFR Rate Loans (or such shorter period of time as the Administrative Agent may agree in its sole discretion); and (ii) one (1) Business Day prior to the Borrowing Date with respect to Base Rate Loans (or such shorter period of time as the Administrative Agent may agree in its sole discretion), a duly completed Loan Request. Each such Loan Request shall be irrevocable and shall specify the aggregate amount of the proposed Revolving A-1 Loans comprising each Borrowing, and, if applicable, the Interest Period, which amounts shall be in (x) integral multiples of $100,000 and not less than $250,000 for each Borrowing under the Term SOFR Rate Option and (y) integral multiples of $100,000 and not less than $250,000 for each Borrowing under the Base Rate Option.</w:t>
      </w:r>
    </w:p>
    <w:p>
      <w:pPr>
        <w:spacing w:after="0" w:line="192"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Lenders’ Obligations with Respect to Revolving A-1 Loans</w:t>
      </w:r>
      <w:r>
        <w:rPr>
          <w:rFonts w:ascii="Times New Roman" w:cs="Times New Roman" w:eastAsia="Times New Roman" w:hAnsi="Times New Roman"/>
          <w:sz w:val="20"/>
          <w:szCs w:val="20"/>
          <w:color w:val="auto"/>
        </w:rPr>
        <w:t xml:space="preserve">. Each Revolving A-1 Loan Lender shall be obligated to participate in each request for Revolving A-1 Loans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in accordance with its Pro Rata Share. The obligations of each Revolving A-1 Loan Lender hereunder are several. The failure of any Revolving A-1 Loan Lender to perform its obligations hereunder shall not affect the Obligations of the Borrower to any other party nor shall any other party be liable for the failure of such Revolving A-1 Loan Lender to perform its obligations hereunder. Other than Revolving Loans in repayment of Swing Line Loans in accordance with </w:t>
      </w:r>
      <w:r>
        <w:rPr>
          <w:rFonts w:ascii="Times New Roman" w:cs="Times New Roman" w:eastAsia="Times New Roman" w:hAnsi="Times New Roman"/>
          <w:sz w:val="20"/>
          <w:szCs w:val="20"/>
          <w:u w:val="single" w:color="auto"/>
          <w:color w:val="auto"/>
        </w:rPr>
        <w:t>Section 2.3(e)</w:t>
      </w:r>
      <w:r>
        <w:rPr>
          <w:rFonts w:ascii="Times New Roman" w:cs="Times New Roman" w:eastAsia="Times New Roman" w:hAnsi="Times New Roman"/>
          <w:sz w:val="20"/>
          <w:szCs w:val="20"/>
          <w:color w:val="auto"/>
        </w:rPr>
        <w:t xml:space="preserve"> and/or Reimbursement Obligations in accordance with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the Revolving A-1 Loan Lenders shall have no obligation to make Revolving A-1 Loans hereunder on or after the Maturity Date with respect to the Revolving A-1 Credit Facility.</w:t>
      </w:r>
    </w:p>
    <w:p>
      <w:pPr>
        <w:spacing w:after="0" w:line="18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Revolving A-1 Loans</w:t>
      </w:r>
      <w:r>
        <w:rPr>
          <w:rFonts w:ascii="Times New Roman" w:cs="Times New Roman" w:eastAsia="Times New Roman" w:hAnsi="Times New Roman"/>
          <w:sz w:val="20"/>
          <w:szCs w:val="20"/>
          <w:color w:val="auto"/>
        </w:rPr>
        <w:t>. Notwithstanding anything herein or in any other Loan Document to the contrary, the Borrower shall repay the entire outstanding principal amount of Revolving A-1 Loans, together with all outstanding interest thereon and unpaid fees with respect thereto, on the Maturity Date with respect to the Revolving A-1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0" w:name="page151"/>
    <w:bookmarkEnd w:id="15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b w:val="1"/>
          <w:bCs w:val="1"/>
          <w:u w:val="single" w:color="auto"/>
          <w:color w:val="auto"/>
        </w:rPr>
        <w:t>Swing Line Loans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304"/>
        <w:spacing w:after="0" w:line="241" w:lineRule="auto"/>
        <w:tabs>
          <w:tab w:leader="none" w:pos="194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Commitments</w:t>
      </w:r>
      <w:r>
        <w:rPr>
          <w:rFonts w:ascii="Times New Roman" w:cs="Times New Roman" w:eastAsia="Times New Roman" w:hAnsi="Times New Roman"/>
          <w:sz w:val="20"/>
          <w:szCs w:val="20"/>
          <w:color w:val="auto"/>
        </w:rPr>
        <w:t xml:space="preserve">. Subject to the terms and conditions hereof and relying upon the agreements of the Revolving A-1 Loan Lenders set forth in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the Swing Line Lender shall make Swing Line Loans to the Borrower at any time or from time to time after the Closing Date to, but not including, the Maturity Date with respect to the Revolving A-1 Credit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such Swing Line Loan, (i) the aggregate amount of Swing Line Loans shall not exceed the Swing Line Commitment, and (ii) the </w:t>
      </w:r>
      <w:r>
        <w:rPr>
          <w:rFonts w:ascii="Times New Roman" w:cs="Times New Roman" w:eastAsia="Times New Roman" w:hAnsi="Times New Roman"/>
          <w:sz w:val="20"/>
          <w:szCs w:val="20"/>
          <w:u w:val="single" w:color="auto"/>
          <w:color w:val="auto"/>
        </w:rPr>
        <w:t>Revolving</w:t>
      </w:r>
      <w:r>
        <w:rPr>
          <w:rFonts w:ascii="Times New Roman" w:cs="Times New Roman" w:eastAsia="Times New Roman" w:hAnsi="Times New Roman"/>
          <w:sz w:val="20"/>
          <w:szCs w:val="20"/>
          <w:color w:val="auto"/>
        </w:rPr>
        <w:t xml:space="preserve"> A-1 Credit Facility Usage shall not exceed the Revolving A-1 Commitments. Each request by the Borrower for a Swing Line Loan shall be deemed to be a representation by the Borrower that it is in compliance with the proviso at the end of the preceding sentence and with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after giving effect to the requested Swing Line Loan. Within such limits of time and amount and subject to the other provisions of this Agreement, the Borrower may borrow, repay and reborrow Swing Line Loans in accordance with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The Borrower shall not use the proceeds of any Swing Line Loan to refinance any outstanding Swing Line Loan. If at any time the aggregate principal balance of the Swing Line Loans then outstanding exceeds the Swing Line Commitment, the Borrower shall be deemed to have requested the Revolving A-1 Loan Lenders to make Revolving A-1 Loans in the amount of the difference in the manner and pursuant to the terms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and such Revolving A-1 Loans shall be allocated on a pro rata basis to each Revolving A-1 Loan Lender based on its Pro Rata Share of its Revolving A-1 Commitment.</w:t>
      </w:r>
    </w:p>
    <w:p>
      <w:pPr>
        <w:spacing w:after="0" w:line="19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Cash </w:t>
      </w:r>
      <w:r>
        <w:rPr>
          <w:rFonts w:ascii="Times New Roman" w:cs="Times New Roman" w:eastAsia="Times New Roman" w:hAnsi="Times New Roman"/>
          <w:sz w:val="20"/>
          <w:szCs w:val="20"/>
          <w:u w:val="single" w:color="auto"/>
          <w:color w:val="auto"/>
        </w:rPr>
        <w:t>Management Arrangements</w:t>
      </w:r>
      <w:r>
        <w:rPr>
          <w:rFonts w:ascii="Times New Roman" w:cs="Times New Roman" w:eastAsia="Times New Roman" w:hAnsi="Times New Roman"/>
          <w:sz w:val="20"/>
          <w:szCs w:val="20"/>
          <w:color w:val="auto"/>
        </w:rPr>
        <w:t>. The Borrower and the Swing Line Lender may enter into a cash management agreement (including the CoBank Cash Management Agreement) providing for the automatic advance by the Swing Line Lender of Swing Line Loans under the conditions set forth in such agreement, which conditions shall be in addition to the conditions set forth herein and which shall be in form and substance reasonably acceptable to the Administrative Agent.</w:t>
      </w:r>
    </w:p>
    <w:p>
      <w:pPr>
        <w:spacing w:after="0" w:line="18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 Requests</w:t>
      </w:r>
      <w:r>
        <w:rPr>
          <w:rFonts w:ascii="Times New Roman" w:cs="Times New Roman" w:eastAsia="Times New Roman" w:hAnsi="Times New Roman"/>
          <w:sz w:val="20"/>
          <w:szCs w:val="20"/>
          <w:color w:val="auto"/>
        </w:rPr>
        <w:t>. Except as otherwise provided herein, the Borrower may from time to time prior to the Maturity Date with respect to the Revolving A-1 Credit Facility request that the Swing Line Lender make Swing Line Loans by delivery to the Swing Line Lender (with a copy to the Administrative Agent) not later than 12:00 noon (or such later time as the applicable cash management agreement, if any, may permit or otherwise as the Swing Line Lender in its sole discretion may agree) on the proposed Borrowing Date of a duly completed and executed Loan Request, by telephonic request promptly followed by a duly completed and executed Loan Request, or by such other method of request as may be provided for in any applicable cash management agreement. Each such request shall be irrevocable and shall specify the proposed Borrowing Date and the principal amount of such Swing Line Loan. Minimum borrowing amounts shall not apply to Swing Line Loans, except as provided for in any applicable cash management agreement. Promptly after receipt of any such request for a Swing Line Loan, the Swing Line Lender will confirm with the Administrative Agent that the Administrative Agent received a copy of the same and, if not, provide the Administrative Agent with information regarding the requested Swing Line Loan.</w:t>
      </w:r>
    </w:p>
    <w:p>
      <w:pPr>
        <w:spacing w:after="0" w:line="187"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Making Swing Line Loans</w:t>
      </w:r>
      <w:r>
        <w:rPr>
          <w:rFonts w:ascii="Times New Roman" w:cs="Times New Roman" w:eastAsia="Times New Roman" w:hAnsi="Times New Roman"/>
          <w:sz w:val="20"/>
          <w:szCs w:val="20"/>
          <w:color w:val="auto"/>
        </w:rPr>
        <w:t xml:space="preserve">. So long as the Swing Line Lender elects to make a requested Swing Line Loan and so long as the Swing Line Lender has not received timely telephonic or written notice from the Administrative Agent that one or more conditions precedent to the making of a Credit Extension under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have not been satisfied, the Swing Line Lender, after receipt by it of a Loan Request in accordance with </w:t>
      </w:r>
      <w:r>
        <w:rPr>
          <w:rFonts w:ascii="Times New Roman" w:cs="Times New Roman" w:eastAsia="Times New Roman" w:hAnsi="Times New Roman"/>
          <w:sz w:val="20"/>
          <w:szCs w:val="20"/>
          <w:u w:val="single" w:color="auto"/>
          <w:color w:val="auto"/>
        </w:rPr>
        <w:t>Section 2.3(c)</w:t>
      </w:r>
      <w:r>
        <w:rPr>
          <w:rFonts w:ascii="Times New Roman" w:cs="Times New Roman" w:eastAsia="Times New Roman" w:hAnsi="Times New Roman"/>
          <w:sz w:val="20"/>
          <w:szCs w:val="20"/>
          <w:color w:val="auto"/>
        </w:rPr>
        <w:t xml:space="preserve">, if it elects to make such Swing Line Loan in its sole discretion, shall fund such Swing Line Loan to the Borrower in Dollars and immediately available funds at the Principal Office prior to 2:00 p.m. or as otherwise agreed in any applicable cash management agreement on the Borrowing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at any time that the CoBank Cash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51" w:name="page152"/>
    <w:bookmarkEnd w:id="151"/>
    <w:p>
      <w:pPr>
        <w:spacing w:after="0" w:line="268" w:lineRule="auto"/>
        <w:rPr>
          <w:sz w:val="20"/>
          <w:szCs w:val="20"/>
          <w:color w:val="auto"/>
        </w:rPr>
      </w:pPr>
      <w:r>
        <w:rPr>
          <w:rFonts w:ascii="Times New Roman" w:cs="Times New Roman" w:eastAsia="Times New Roman" w:hAnsi="Times New Roman"/>
          <w:sz w:val="20"/>
          <w:szCs w:val="20"/>
          <w:color w:val="auto"/>
        </w:rPr>
        <w:t xml:space="preserve">Agreement is in effect, the Swing Line Lender may waive, in its sole discretion, any one or more of the conditions precedent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with respect to the making of any Swing Line Loan.</w:t>
      </w:r>
    </w:p>
    <w:p>
      <w:pPr>
        <w:spacing w:after="0" w:line="160" w:lineRule="exact"/>
        <w:rPr>
          <w:sz w:val="20"/>
          <w:szCs w:val="20"/>
          <w:color w:val="auto"/>
        </w:rPr>
      </w:pPr>
    </w:p>
    <w:p>
      <w:pPr>
        <w:jc w:val="both"/>
        <w:ind w:firstLine="1304"/>
        <w:spacing w:after="0" w:line="241"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Borrowings to Repay Swing Line Loans</w:t>
      </w:r>
      <w:r>
        <w:rPr>
          <w:rFonts w:ascii="Times New Roman" w:cs="Times New Roman" w:eastAsia="Times New Roman" w:hAnsi="Times New Roman"/>
          <w:sz w:val="20"/>
          <w:szCs w:val="20"/>
          <w:color w:val="auto"/>
        </w:rPr>
        <w:t xml:space="preserve">. The Swing Line Lender may, at its option, exercisable at any time for any reason whatsoever, request that the Administrative Agent demand repayment of the Swing Line Loans. Upon such request, the Administrative Agent shall demand repayment of the Swing Line Loans, and each Revolving A-1 Loan Lender shall make a Revolving A-1 Loan based on such Lender’s Pro Rata Share of the Revolving A-1 Commitments in an amount equal to such Lender’s Pro Rata Share of the aggregate principal amount of the outstanding Swing Line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if the Swing Line Lender has so requested, accrued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Revolving A-1 Loan Lender shall be obligated in any event to make Revolving A-1 Loans in excess of its Available Revolving A-1 Commitment. Revolving A-1 Loans made pursuant to the preceding sentence shall bear interest at the Base Rate Option and shall be deemed to have been properly requested in accordance with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without regard to any of the requirements of that provision. Each Revolving A-1 Loan Lender acknowledges and agrees that its obligations to fund Swing Line Loans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2.3(e)</w:t>
      </w:r>
      <w:r>
        <w:rPr>
          <w:rFonts w:ascii="Times New Roman" w:cs="Times New Roman" w:eastAsia="Times New Roman" w:hAnsi="Times New Roman"/>
          <w:sz w:val="20"/>
          <w:szCs w:val="20"/>
          <w:color w:val="auto"/>
        </w:rPr>
        <w:t xml:space="preserve"> and/or to acquire participations pursuant to </w:t>
      </w:r>
      <w:r>
        <w:rPr>
          <w:rFonts w:ascii="Times New Roman" w:cs="Times New Roman" w:eastAsia="Times New Roman" w:hAnsi="Times New Roman"/>
          <w:sz w:val="20"/>
          <w:szCs w:val="20"/>
          <w:u w:val="single" w:color="auto"/>
          <w:color w:val="auto"/>
        </w:rPr>
        <w:t>Section 2.3(f)</w:t>
      </w:r>
      <w:r>
        <w:rPr>
          <w:rFonts w:ascii="Times New Roman" w:cs="Times New Roman" w:eastAsia="Times New Roman" w:hAnsi="Times New Roman"/>
          <w:sz w:val="20"/>
          <w:szCs w:val="20"/>
          <w:color w:val="auto"/>
        </w:rPr>
        <w:t xml:space="preserve"> in respect of Swing Line Loans are absolute and unconditional and shall not be affected by any circumstance whatsoever, including the occurrence and continuance of a Default or an Event of Default or any failure by the Borrower to satisfy any of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The Administrative Agent shall provide notice to the Revolving A-1 Loan Lenders that such Revolving A-1 Loans are to be made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of the apportionment among the Revolving A-1 Loan Lenders, and the Revolving A-1 Loan Lenders shall be unconditionally obligated to fund such Revolving A-1 Loans (whether or not the conditions specified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are then satisfied) by the time requested by the Swing Line Lender and designated in such notice from the Administrative Agent, which shall not be earlier than 2:00 p.m. on the Business Day next after the date the Revolving A-1 Loan Lenders receive such notice from the Administrative Agent.</w:t>
      </w:r>
    </w:p>
    <w:p>
      <w:pPr>
        <w:spacing w:after="0" w:line="188"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Risk Participations in Swing Line Loans</w:t>
      </w:r>
      <w:r>
        <w:rPr>
          <w:rFonts w:ascii="Times New Roman" w:cs="Times New Roman" w:eastAsia="Times New Roman" w:hAnsi="Times New Roman"/>
          <w:sz w:val="20"/>
          <w:szCs w:val="20"/>
          <w:color w:val="auto"/>
        </w:rPr>
        <w:t>. Immediately upon the making of each Swing Line Loan, each Revolving A-1 Loan Lender shall be deemed to, and hereby irrevocably and unconditionally agrees to, purchase from the Swing Line Lender, without recourse or warranty, an undivided interest and participation in such Swing Line Loan based on such Lender’s Pro Rata Share of the Revolving A-1 Commitments in an amount equal to such Revolving A-1 Loan Lender’s Pro Rata Share of the principal amount of such Swing Line Loan, and such interest and participation may be recovered from such Revolving A-1 Loan Lender together with interest thereon at the Alternate Base Rate for each day during the period commencing on the date of demand and ending on the date such amount is received (subject to the limitation in clause (e) above that no Revolving Lender shall be obligated in any event to make Revolving A-1 Loans in excess of its Available Revolving A-1 Commitment).</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Repayment of Swing Line Loans. On the Maturity Date with respect to the Revolving A-1 Credit Facility, if not sooner demanded, the Borrower shall repay in full the outstanding principal amount of the Swing Line Loans, together will all accrued and unpaid interest and any applicable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-328295</wp:posOffset>
            </wp:positionV>
            <wp:extent cx="11315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2" w:name="page153"/>
    <w:bookmarkEnd w:id="15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b w:val="1"/>
          <w:bCs w:val="1"/>
          <w:u w:val="single" w:color="auto"/>
          <w:color w:val="auto"/>
        </w:rPr>
        <w:t>Incremental Facilities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304"/>
        <w:spacing w:after="0" w:line="244" w:lineRule="auto"/>
        <w:tabs>
          <w:tab w:leader="none" w:pos="19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xml:space="preserve">. Following the Closing Date, the Borrower may at any time or from time to time prior to the latest Maturity Date then in effect, by written notice from the Borrower to the Administrative Agent (an “Incremental </w:t>
      </w:r>
      <w:r>
        <w:rPr>
          <w:rFonts w:ascii="Times New Roman" w:cs="Times New Roman" w:eastAsia="Times New Roman" w:hAnsi="Times New Roman"/>
          <w:sz w:val="20"/>
          <w:szCs w:val="20"/>
          <w:b w:val="1"/>
          <w:bCs w:val="1"/>
          <w:color w:val="auto"/>
        </w:rPr>
        <w:t>Request</w:t>
      </w:r>
      <w:r>
        <w:rPr>
          <w:rFonts w:ascii="Times New Roman" w:cs="Times New Roman" w:eastAsia="Times New Roman" w:hAnsi="Times New Roman"/>
          <w:sz w:val="20"/>
          <w:szCs w:val="20"/>
          <w:color w:val="auto"/>
        </w:rPr>
        <w:t>”), request to (i) establish one or more additional Tranches of Term Loans under this Agreement (each, an “</w:t>
      </w:r>
      <w:r>
        <w:rPr>
          <w:rFonts w:ascii="Times New Roman" w:cs="Times New Roman" w:eastAsia="Times New Roman" w:hAnsi="Times New Roman"/>
          <w:sz w:val="20"/>
          <w:szCs w:val="20"/>
          <w:b w:val="1"/>
          <w:bCs w:val="1"/>
          <w:color w:val="auto"/>
        </w:rPr>
        <w:t>Incremental Term Loan Facility</w:t>
      </w:r>
      <w:r>
        <w:rPr>
          <w:rFonts w:ascii="Times New Roman" w:cs="Times New Roman" w:eastAsia="Times New Roman" w:hAnsi="Times New Roman"/>
          <w:sz w:val="20"/>
          <w:szCs w:val="20"/>
          <w:color w:val="auto"/>
        </w:rPr>
        <w:t>”), (ii) increase on one or more occasions any then-existing Term Loan Commitments (each, a “</w:t>
      </w:r>
      <w:r>
        <w:rPr>
          <w:rFonts w:ascii="Times New Roman" w:cs="Times New Roman" w:eastAsia="Times New Roman" w:hAnsi="Times New Roman"/>
          <w:sz w:val="20"/>
          <w:szCs w:val="20"/>
          <w:b w:val="1"/>
          <w:bCs w:val="1"/>
          <w:color w:val="auto"/>
        </w:rPr>
        <w:t>Term Loan Increase</w:t>
      </w:r>
      <w:r>
        <w:rPr>
          <w:rFonts w:ascii="Times New Roman" w:cs="Times New Roman" w:eastAsia="Times New Roman" w:hAnsi="Times New Roman"/>
          <w:sz w:val="20"/>
          <w:szCs w:val="20"/>
          <w:color w:val="auto"/>
        </w:rPr>
        <w:t>”), (iii) increase on one or more occasions any then-existing Revolving Commitments (each, a “</w:t>
      </w:r>
      <w:r>
        <w:rPr>
          <w:rFonts w:ascii="Times New Roman" w:cs="Times New Roman" w:eastAsia="Times New Roman" w:hAnsi="Times New Roman"/>
          <w:sz w:val="20"/>
          <w:szCs w:val="20"/>
          <w:b w:val="1"/>
          <w:bCs w:val="1"/>
          <w:color w:val="auto"/>
        </w:rPr>
        <w:t>Revolving Increase</w:t>
      </w:r>
      <w:r>
        <w:rPr>
          <w:rFonts w:ascii="Times New Roman" w:cs="Times New Roman" w:eastAsia="Times New Roman" w:hAnsi="Times New Roman"/>
          <w:sz w:val="20"/>
          <w:szCs w:val="20"/>
          <w:color w:val="auto"/>
        </w:rPr>
        <w:t>”), or (iv) establish one or more additional incremental revolving facilities (each, an “</w:t>
      </w:r>
      <w:r>
        <w:rPr>
          <w:rFonts w:ascii="Times New Roman" w:cs="Times New Roman" w:eastAsia="Times New Roman" w:hAnsi="Times New Roman"/>
          <w:sz w:val="20"/>
          <w:szCs w:val="20"/>
          <w:b w:val="1"/>
          <w:bCs w:val="1"/>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Revolving Facility</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Requests</w:t>
      </w:r>
      <w:r>
        <w:rPr>
          <w:rFonts w:ascii="Times New Roman" w:cs="Times New Roman" w:eastAsia="Times New Roman" w:hAnsi="Times New Roman"/>
          <w:sz w:val="20"/>
          <w:szCs w:val="20"/>
          <w:color w:val="auto"/>
        </w:rPr>
        <w:t xml:space="preserve">. Each Incremental Request from the Borrower pursuant to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shall specify (i) the amount of the Incremental Facility requested (which such Incremental Facility shall not, together with all other Incremental Facilities made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exceed the Maximum Incremental Amount, and shall be in a minimum principal amount of $25,000,000), (ii) the requested closing or funding date, as applicable, of the proposed Incremental Facility (which shall be not less than thirty (30) days from the date of delivery of the Incremental Request (or such shorter period of time as to which the Administrative Agent may agree in its sole discretion)), (iii) the Interest Rate Option(s) and the Applicable Margin(s) to be applicable to all Incremental Loans if requesting an Additional Incremental Facility, (iv) the amortization, if any, for all Incremental Loans if requesting an Additional Incremental Facility, and (v) the amount of any upfront or closing fees to be paid by the Borrower to the Incremental Lenders providing the Incremental Facility requested.</w:t>
      </w:r>
    </w:p>
    <w:p>
      <w:pPr>
        <w:spacing w:after="0" w:line="192" w:lineRule="exact"/>
        <w:rPr>
          <w:rFonts w:ascii="Times New Roman" w:cs="Times New Roman" w:eastAsia="Times New Roman" w:hAnsi="Times New Roman"/>
          <w:sz w:val="20"/>
          <w:szCs w:val="20"/>
          <w:color w:val="auto"/>
        </w:rPr>
      </w:pPr>
    </w:p>
    <w:p>
      <w:pPr>
        <w:jc w:val="both"/>
        <w:ind w:firstLine="1304"/>
        <w:spacing w:after="0"/>
        <w:tabs>
          <w:tab w:leader="none" w:pos="1944"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Upon receipt of an Incremental Request from the Borrower, the Administrative Agent shall offer the Lenders the opportunity to participate in the requested Incremental Facility in such amounts that would allow such Lender to maintain its percentage of the Total Credit Exposures of all Lenders. Each Lender that fails to respond to such a notice in writing in a form acceptable to the Administrative Agent within the period of time provided therein shall be deemed to have elected not to participate in such Incremental Facility. No Lender shall have any obligation to fund Loans pursuant to, or commit to provide, any Incremental Facility, and any decision by a Lender to fund Loans pursuant to, or commit to provide, any Incremental Facility shall be made in its sole discretion independently from any other Lender. If in response to the offer to participate in any Incremental Facility made by the Administrative Agent, the Administrative Agent receives commitments from Lenders in excess of the requested Incremental Facility, the Administrative Agent shall have the right, in its sole discretion, to reduce and reallocate (within the minimum and maximum amounts specified by each such Lender in its notice to the Administrative Agent) the shares of the Incremental Facility of the Lenders willing to fund (or commit to fund) such Incremental Facility so that the total committed Incremental Facility equals the requested Incremental Facility. If the Administrative Agent has not received commitments from Lenders in an amount equal to or greater than the requested Incremental Facility within ten (10) Business Days of receipt of an Incremental Request from the Borrower, at the Borrower’s election, the portion of the Borrower’s Incremental Request which remains uncommitted may be offered to new lenders which are Eligible Assignees and which are reasonably acceptable to the Borrower and the Administrative Agent (each such lender, an “</w:t>
      </w:r>
      <w:r>
        <w:rPr>
          <w:rFonts w:ascii="Times New Roman" w:cs="Times New Roman" w:eastAsia="Times New Roman" w:hAnsi="Times New Roman"/>
          <w:sz w:val="20"/>
          <w:szCs w:val="20"/>
          <w:b w:val="1"/>
          <w:bCs w:val="1"/>
          <w:color w:val="auto"/>
        </w:rPr>
        <w:t>Additional Incremental Lender</w:t>
      </w:r>
      <w:r>
        <w:rPr>
          <w:rFonts w:ascii="Times New Roman" w:cs="Times New Roman" w:eastAsia="Times New Roman" w:hAnsi="Times New Roman"/>
          <w:sz w:val="20"/>
          <w:szCs w:val="20"/>
          <w:color w:val="auto"/>
        </w:rPr>
        <w:t>”). If the Administrative Agent receives commitments from Additional Incremental Lenders in excess of the remaining uncommitted portion of the requested Incremental Facility, the Borrower and the Administrative Agent shall reduce and reallocate (within the minimum and maximum amounts specified by each such Lender in its notice to the Administrative Agent) the shares of the Incremental Facility of the Additional Incremental Lenders willing to fund (or commit to fund) such Incremental Facility so that the total committed Incremental Facility equals the requested Incremental Facility. If the Administrative Agent does not receive commitments from Lenders or Additional Incremental Lenders in an amount sufficient to fund the requested Incremental Facility,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53" w:name="page154"/>
    <w:bookmarkEnd w:id="153"/>
    <w:p>
      <w:pPr>
        <w:jc w:val="both"/>
        <w:spacing w:after="0" w:line="253" w:lineRule="auto"/>
        <w:rPr>
          <w:sz w:val="20"/>
          <w:szCs w:val="20"/>
          <w:color w:val="auto"/>
        </w:rPr>
      </w:pPr>
      <w:r>
        <w:rPr>
          <w:rFonts w:ascii="Times New Roman" w:cs="Times New Roman" w:eastAsia="Times New Roman" w:hAnsi="Times New Roman"/>
          <w:sz w:val="20"/>
          <w:szCs w:val="20"/>
          <w:color w:val="auto"/>
        </w:rPr>
        <w:t>Administrative Agent shall so notify the Borrower and the request for such Incremental Facility shall be deemed automatically rescinded; provided that the Borrower may submit a replacement Incremental Request setting forth different terms for the requested Incremental Facility.</w:t>
      </w:r>
    </w:p>
    <w:p>
      <w:pPr>
        <w:spacing w:after="0" w:line="176" w:lineRule="exact"/>
        <w:rPr>
          <w:sz w:val="20"/>
          <w:szCs w:val="20"/>
          <w:color w:val="auto"/>
        </w:rPr>
      </w:pPr>
    </w:p>
    <w:p>
      <w:pPr>
        <w:jc w:val="both"/>
        <w:ind w:firstLine="1304"/>
        <w:spacing w:after="0" w:line="241" w:lineRule="auto"/>
        <w:tabs>
          <w:tab w:leader="none" w:pos="194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All Incremental Commitments shall become Commitments (or in the case of a Term Loan Increase or a Revolving Increase to be provided by an existing Lender with an existing Term Loan Commitment or an existing Revolving Commitment, respectively, as applicable, an increase in such Lender’s applicable existing Commitment) under this Agreement pursuant to an amendment (an “</w:t>
      </w:r>
      <w:r>
        <w:rPr>
          <w:rFonts w:ascii="Times New Roman" w:cs="Times New Roman" w:eastAsia="Times New Roman" w:hAnsi="Times New Roman"/>
          <w:sz w:val="20"/>
          <w:szCs w:val="20"/>
          <w:b w:val="1"/>
          <w:bCs w:val="1"/>
          <w:color w:val="auto"/>
        </w:rPr>
        <w:t>Incremental</w:t>
      </w:r>
      <w:r>
        <w:rPr>
          <w:rFonts w:ascii="Times New Roman" w:cs="Times New Roman" w:eastAsia="Times New Roman" w:hAnsi="Times New Roman"/>
          <w:sz w:val="20"/>
          <w:szCs w:val="20"/>
          <w:color w:val="auto"/>
        </w:rPr>
        <w:t xml:space="preserve"> Amendment”) to this Agreement and, as appropriate, the other Loan Documents, executed by each Borrower, each Incremental Lender providing such Incremental Commitments and the Administrative Agent. The Incremental Amendment may, without the consent of any other Lender,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Each such Incremental Amendment shall specify the terms of the Incremental Facility (including the conditions to effectiveness of such Incremental Amendment and any other documentation entered into in connection therewith and to the making of any loans or other extensions of credit thereunder (including as to (x) when such conditions must be satisfied (as between execution of such Incremental Amendment and incurrence of loans or other extensions of credit thereunder) and (y) the scope of any representations and warranties to be made)), which shall be as agreed among the Borrower and the applicable Incremental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shall exist at the time of or result immediately before or immediately after giving effect to any such Incremental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to the extent the proceeds of an Incremental Term Loan Facility are used to finance a Limited Condition Acquisition, compliance with the foregoing shall, at the Borrower’s election, be tested as of the date of execution and effectiveness of the Acquisition Agreement for such Limited Condition Acquisition in lieu of the date of consummation of such Limited Condition Acquisition;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the foregoing proviso, no Specified Event of Default shall exist at the time or result after giving effect to such Limited Condition Acquisition on the closing date of such Limited Condition Acquisition.</w:t>
      </w:r>
    </w:p>
    <w:p>
      <w:pPr>
        <w:spacing w:after="0" w:line="185" w:lineRule="exact"/>
        <w:rPr>
          <w:rFonts w:ascii="Times New Roman" w:cs="Times New Roman" w:eastAsia="Times New Roman" w:hAnsi="Times New Roman"/>
          <w:sz w:val="20"/>
          <w:szCs w:val="20"/>
          <w:color w:val="auto"/>
        </w:rPr>
      </w:pPr>
    </w:p>
    <w:p>
      <w:pPr>
        <w:ind w:right="20" w:firstLine="1952"/>
        <w:spacing w:after="0" w:line="269" w:lineRule="auto"/>
        <w:tabs>
          <w:tab w:leader="none" w:pos="259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scheduled maturity date of any Loan under an Incremental Term Loan Commitment shall be no earlier than the Maturity Date of any existing Term Loan outstanding as of such date;</w:t>
      </w:r>
    </w:p>
    <w:p>
      <w:pPr>
        <w:spacing w:after="0" w:line="159"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applicable effective yield (including interest rate margins, any interest rate floors, original issue discount and upfront fees (based on the shorter of a four-year average life to maturity and actual average life to maturity), but excluding arrangement, structuring, underwriting, consent, commitment and similar fees that are not payable by any Borrower generally to all lenders) for any Incremental Commitment exceeds by more than 0.75% the applicable effective yield for the Existing Facilities for the applicable Class (the amount of such excess above 0.75% being referred to herein as the “</w:t>
      </w:r>
      <w:r>
        <w:rPr>
          <w:rFonts w:ascii="Times New Roman" w:cs="Times New Roman" w:eastAsia="Times New Roman" w:hAnsi="Times New Roman"/>
          <w:sz w:val="20"/>
          <w:szCs w:val="20"/>
          <w:b w:val="1"/>
          <w:bCs w:val="1"/>
          <w:color w:val="auto"/>
        </w:rPr>
        <w:t>Yield Differential</w:t>
      </w:r>
      <w:r>
        <w:rPr>
          <w:rFonts w:ascii="Times New Roman" w:cs="Times New Roman" w:eastAsia="Times New Roman" w:hAnsi="Times New Roman"/>
          <w:sz w:val="20"/>
          <w:szCs w:val="20"/>
          <w:color w:val="auto"/>
        </w:rPr>
        <w:t xml:space="preserve">”), the applicable effective yield with respect to the applicable Existing Facilities, as the case may be, shall automatically be increased by the Yield Differential, effective as of the incurrence of such Incremental Commitment (it being agreed that any increase to the effective yield of an Existing Facility required as a result of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and attributable to a difference between any rate floor applicable to an Incremental Commitment and any rate floor applicable to the applicable Existing Facility shall be effected solely through an increase in the corresponding rate floor applicable to the Existing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4" w:name="page155"/>
    <w:bookmarkEnd w:id="154"/>
    <w:p>
      <w:pPr>
        <w:jc w:val="both"/>
        <w:ind w:firstLine="1952"/>
        <w:spacing w:after="0" w:line="253" w:lineRule="auto"/>
        <w:tabs>
          <w:tab w:leader="none" w:pos="25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of any Incremental Term Loan Facility shall be equal to or greater than the weighted average life of each existing Term Loan Facility outstanding as of such date, determined as of the initial funding date of such Incremental Loan;</w:t>
      </w:r>
    </w:p>
    <w:p>
      <w:pPr>
        <w:spacing w:after="0" w:line="176"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Revolving Increase or Term Loan Increase shall be on the same terms (including covenants, maturity date and interest rate) as the equivalent Existing Facility;</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pricing, upfront, arrangement, structuring, underwriting, ticking, consent, amendment and other fees, any Incremental Revolving Facility shall be on the same terms (including covenants and maturity date) as the equivalent Existing Facility;</w:t>
      </w:r>
    </w:p>
    <w:p>
      <w:pPr>
        <w:spacing w:after="0" w:line="174"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1"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any Incremental Facility, the Loan Parties shall be in pro forma compliance with the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in no event shall the proceeds of any Incremental Facility be netted in calculating such financial covenant (except to the extent actually utilized to repay Indebtedness), and (y) solely to the extent the proceeds of an Incremental Term Loan Commitment are used or to be used to finance a Limited Condition Acquisition, at the Borrower’s election, such financial covenant shall be tested as of the date of execution and effectiveness of the Acquisition Agreement for such Limited Condition Acquisition in lieu of the date of consummation of such Limited Condition Acquisition;</w:t>
      </w:r>
    </w:p>
    <w:p>
      <w:pPr>
        <w:spacing w:after="0" w:line="185"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Incremental Term Loan Facility shall share mandatory and voluntary prepayments ratably with the equivalent Existing Facilities;</w:t>
      </w:r>
    </w:p>
    <w:p>
      <w:pPr>
        <w:spacing w:after="0" w:line="159"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Loan Parties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this Agreement shall then be true and correct, except such representations and warranties that are not qualified in this Agreement by reference to materiality or a Material Adverse Change shall then be true and correct in all material respects as of such date (except for any such representation and warranty that by its terms is made only as of an earlier date, which representation and warranty shall remain true and correct in all material respects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to the extent the proceeds of an Incremental Term Loan Facility are used to finance a Limited Condition Acquisition, at the Borrower’s election, compliance with the foregoing shall be tested as of the date of execution and effectiveness of the Acquisition Agreement for such Limited Condition Acquisition in lieu of the date of consummation of such Limited Condition Acquisition;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the foregoing proviso, the Specified Representations shall be true and correct as of the closing date of such Limited Condition Acquisition, except such representations and warranties that are not qualified in this Agreement by reference to materiality or a Material Adverse Change (or similar term as defined in the applicable Acquisition Agreement) shall then be true and correct in all material respects as of such date (except for any such representation and warranty that by its terms is made only as of an earlier date, which representation and warranty shall remain true and correct in all material respects as of such earlier date); and</w:t>
      </w:r>
    </w:p>
    <w:p>
      <w:pPr>
        <w:spacing w:after="0" w:line="19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in the foregoing clauses (i) through (ix), any representation, covenant or event of default applicable to an Incremental Facility that is more restrictive than the equivalent representation, covenant or Event of Default set forth in this Agreement or any other Loan Document (other than any such terms applicable to an Incremental Facility that apply only to periods after the latest Maturity Date) shall be deemed to be applicable to the Existing Facilities.</w:t>
      </w:r>
    </w:p>
    <w:p>
      <w:pPr>
        <w:spacing w:after="0" w:line="18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Revolving Credit Exposure</w:t>
      </w:r>
      <w:r>
        <w:rPr>
          <w:rFonts w:ascii="Times New Roman" w:cs="Times New Roman" w:eastAsia="Times New Roman" w:hAnsi="Times New Roman"/>
          <w:sz w:val="20"/>
          <w:szCs w:val="20"/>
          <w:color w:val="auto"/>
        </w:rPr>
        <w:t>. With respect to any Tranche of Revolving Loans affected by the implementation of any Revolving Increase, the Borrower shall in coordination with the Administrative Agent repay outstanding Revolving Loans in such Tranche of certain Revolving Lenders and obtain additional Revolving Loans in such Tranche from other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5" w:name="page156"/>
    <w:bookmarkEnd w:id="155"/>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Lenders (both existing and new), in each case, to the extent necessary so that all Revolving Lenders participate in outstanding Revolving Loans in such Tranche ratably, on the basis of their respective Pro Rata Share of the applicable Revolving Commitments, after giving effect to the increase in the aggregate Revolving Commitments effected by implementation of such Revolving Increase. Each Revolving Lender (both existing and new) participating in a Revolving Increase with respect to the Revolving A-1 Commitments (i) will be deemed to have purchased a participation in each then outstanding Letter of Credit equal to its Pro Rata Share of such Letter of Credit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and the participation of each other Revolving Lender in such Letter of Credit shall be adjusted accordingly, (ii) will acquire (and will pay to the Administrative Agent, for the account of each other applicable Revolving Lender, in immediately available funds, an amount equal to) its Pro Rata Share of all outstanding Participation Advances and (iii) will be deemed to have purchased a participation in each then outstanding Swing Line Loan equal to its Pro Rata Share of such Swing Line Loan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the participation of each other Revolving Lender in such Swing Line Loan shall be adjusted accordingly. The Administrative Agent and the Lenders hereby agree that the minimum borrowing, pro rata borrowing and pro rata payment requirements contained elsewhere in this Agreement shall not apply to the transactions effected pursuant to this </w:t>
      </w:r>
      <w:r>
        <w:rPr>
          <w:rFonts w:ascii="Times New Roman" w:cs="Times New Roman" w:eastAsia="Times New Roman" w:hAnsi="Times New Roman"/>
          <w:sz w:val="20"/>
          <w:szCs w:val="20"/>
          <w:u w:val="single" w:color="auto"/>
          <w:color w:val="auto"/>
        </w:rPr>
        <w:t>Section 2.5(e)</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jc w:val="both"/>
        <w:ind w:firstLine="1304"/>
        <w:spacing w:after="0" w:line="249" w:lineRule="auto"/>
        <w:tabs>
          <w:tab w:leader="none" w:pos="1944"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Administrative Agent shall record relevant information regarding each Incremental Facility (including information with respect to Additional Incremental Lenders) in the Register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11.7(c)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failure to make any such recordation, or any error in such recordation, shall not affect the Borrower’s obligations in respect of any Incremental Commitment or Incremental Facility.</w:t>
      </w:r>
    </w:p>
    <w:p>
      <w:pPr>
        <w:spacing w:after="0" w:line="1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b w:val="1"/>
          <w:bCs w:val="1"/>
          <w:u w:val="single" w:color="auto"/>
          <w:color w:val="auto"/>
        </w:rPr>
        <w:t>Interest Rate Provisions</w:t>
      </w:r>
      <w:r>
        <w:rPr>
          <w:rFonts w:ascii="Times New Roman" w:cs="Times New Roman" w:eastAsia="Times New Roman" w:hAnsi="Times New Roman"/>
          <w:sz w:val="20"/>
          <w:szCs w:val="20"/>
          <w:color w:val="auto"/>
        </w:rPr>
        <w:t xml:space="preserve">. The Borrower shall pay interest in respect of the outstanding unpaid principal amount of the Loans, it being understood that, subject to the provisions of this Agreement, the Borrower may select different Interest Rate Options and different Interest Periods to apply to different Borrowings at any time outstanding and may convert to or renew one or more Interest Rate Options with respect to all or any portion of any Borrowing (subject to minimum amounts set forth in </w:t>
      </w:r>
      <w:r>
        <w:rPr>
          <w:rFonts w:ascii="Times New Roman" w:cs="Times New Roman" w:eastAsia="Times New Roman" w:hAnsi="Times New Roman"/>
          <w:sz w:val="20"/>
          <w:szCs w:val="20"/>
          <w:u w:val="single" w:color="auto"/>
          <w:color w:val="auto"/>
        </w:rPr>
        <w:t>Sections 2.1(b)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be at any one time outstanding more than five (5) Borrowings of Term SOFR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 Default or an Event of Default has occurred and is continuing, (x) the Borrower may not request, convert to, or renew any Term SOFR Rate Loans, and (y) immediately upon the occurrence and during the continuation of an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or immediately after written demand by the Administrative Agent (or by the Required Lenders to the Administrative Agent) after the occurrence and during the continuation of any other Event of Default, any Term SOFR Rate Loans will convert to Base Rate Loans. If at any time the designated rate applicable to any Loan made by any Lender exceeds the Maximum Rate, the rate of interest on such Lender’s Loan shall be limited to such Lender’s Maximum Rate.</w:t>
      </w:r>
    </w:p>
    <w:p>
      <w:pPr>
        <w:spacing w:after="0" w:line="191" w:lineRule="exact"/>
        <w:rPr>
          <w:sz w:val="20"/>
          <w:szCs w:val="20"/>
          <w:color w:val="auto"/>
        </w:rPr>
      </w:pPr>
    </w:p>
    <w:p>
      <w:pPr>
        <w:jc w:val="both"/>
        <w:ind w:firstLine="1304"/>
        <w:spacing w:after="0" w:line="249" w:lineRule="auto"/>
        <w:tabs>
          <w:tab w:leader="none" w:pos="1944"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 Options</w:t>
      </w:r>
      <w:r>
        <w:rPr>
          <w:rFonts w:ascii="Times New Roman" w:cs="Times New Roman" w:eastAsia="Times New Roman" w:hAnsi="Times New Roman"/>
          <w:sz w:val="20"/>
          <w:szCs w:val="20"/>
          <w:color w:val="auto"/>
        </w:rPr>
        <w:t xml:space="preserve">. Swing Line Loans and all other Obligations not constituting Term Loans or Revolving Loans shall bear interest calculated based upon the Base Rate Option. Subject to the limitations set forth in </w:t>
      </w:r>
      <w:r>
        <w:rPr>
          <w:rFonts w:ascii="Times New Roman" w:cs="Times New Roman" w:eastAsia="Times New Roman" w:hAnsi="Times New Roman"/>
          <w:sz w:val="20"/>
          <w:szCs w:val="20"/>
          <w:u w:val="single" w:color="auto"/>
          <w:color w:val="auto"/>
        </w:rPr>
        <w:t>Sections 3.4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the Borrower shall have the right to select from the following Interest Rate Options applicable to the Term Loans and Revolving Loans:</w:t>
      </w:r>
    </w:p>
    <w:p>
      <w:pPr>
        <w:spacing w:after="0" w:line="175" w:lineRule="exact"/>
        <w:rPr>
          <w:rFonts w:ascii="Times New Roman" w:cs="Times New Roman" w:eastAsia="Times New Roman" w:hAnsi="Times New Roman"/>
          <w:sz w:val="20"/>
          <w:szCs w:val="20"/>
          <w:color w:val="auto"/>
        </w:rPr>
      </w:pPr>
    </w:p>
    <w:p>
      <w:pPr>
        <w:ind w:firstLine="1952"/>
        <w:spacing w:after="0" w:line="273" w:lineRule="auto"/>
        <w:tabs>
          <w:tab w:leader="none" w:pos="2592"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Base Rate Option</w:t>
      </w:r>
      <w:r>
        <w:rPr>
          <w:rFonts w:ascii="Times New Roman" w:cs="Times New Roman" w:eastAsia="Times New Roman" w:hAnsi="Times New Roman"/>
          <w:sz w:val="20"/>
          <w:szCs w:val="20"/>
          <w:color w:val="auto"/>
        </w:rPr>
        <w:t>: An option to pay interest at a fluctuating rate per annum equal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Alternate Base Rate in effect as of any date of determination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as of such date; or</w:t>
      </w:r>
    </w:p>
    <w:p>
      <w:pPr>
        <w:spacing w:after="0" w:line="151"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 SOFR Rate Option</w:t>
      </w:r>
      <w:r>
        <w:rPr>
          <w:rFonts w:ascii="Times New Roman" w:cs="Times New Roman" w:eastAsia="Times New Roman" w:hAnsi="Times New Roman"/>
          <w:sz w:val="20"/>
          <w:szCs w:val="20"/>
          <w:color w:val="auto"/>
        </w:rPr>
        <w:t>: An option to pay interest at a fluctuating rate per annum equal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Adjusted Term SOFR Rate with respect to the applicable Interest Period and as in effect as of any date of determination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6" w:name="page157"/>
    <w:bookmarkEnd w:id="156"/>
    <w:p>
      <w:pPr>
        <w:jc w:val="both"/>
        <w:ind w:firstLine="1304"/>
        <w:spacing w:after="0" w:line="244" w:lineRule="auto"/>
        <w:tabs>
          <w:tab w:leader="none" w:pos="19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Day Count Basis</w:t>
      </w:r>
      <w:r>
        <w:rPr>
          <w:rFonts w:ascii="Times New Roman" w:cs="Times New Roman" w:eastAsia="Times New Roman" w:hAnsi="Times New Roman"/>
          <w:sz w:val="20"/>
          <w:szCs w:val="20"/>
          <w:color w:val="auto"/>
        </w:rPr>
        <w:t xml:space="preserve">. Interest and fees shall be calculated on the basis of a 360-day year for the actual number of days elapsed (which results in more interest or fees, as the case may be, being paid than if calculated on the basis of a 365-day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with respect to Base Rate Loans incurring interest based on the </w:t>
      </w:r>
      <w:r>
        <w:rPr>
          <w:rFonts w:ascii="Times New Roman" w:cs="Times New Roman" w:eastAsia="Times New Roman" w:hAnsi="Times New Roman"/>
          <w:sz w:val="20"/>
          <w:szCs w:val="20"/>
          <w:u w:val="single" w:color="auto"/>
          <w:color w:val="auto"/>
        </w:rPr>
        <w:t>Prime</w:t>
      </w:r>
      <w:r>
        <w:rPr>
          <w:rFonts w:ascii="Times New Roman" w:cs="Times New Roman" w:eastAsia="Times New Roman" w:hAnsi="Times New Roman"/>
          <w:sz w:val="20"/>
          <w:szCs w:val="20"/>
          <w:color w:val="auto"/>
        </w:rPr>
        <w:t xml:space="preserve"> Rate shall be calculated on the basis of a 365/366-day year. The date of funding or conversion of a Term SOFR Rate Loan to a Base Rate Loan and the first day of an Interest Period shall be included in the calculation of interest. The date of payment of any Loan and the last day of an Interest Period shall be excluded from the calculation of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 Loan is repaid on the same day that it is made, one (1) day’s interest shall be charged.</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xml:space="preserve">. In connection with the use or administration of the Term SOFR Rate and the Adjusted Term SOFR Rate </w:t>
      </w:r>
      <w:r>
        <w:rPr>
          <w:rFonts w:ascii="Times New Roman" w:cs="Times New Roman" w:eastAsia="Times New Roman" w:hAnsi="Times New Roman"/>
          <w:sz w:val="20"/>
          <w:szCs w:val="20"/>
          <w:u w:val="single" w:color="auto"/>
          <w:color w:val="auto"/>
        </w:rPr>
        <w:t>and</w:t>
      </w:r>
      <w:r>
        <w:rPr>
          <w:rFonts w:ascii="Times New Roman" w:cs="Times New Roman" w:eastAsia="Times New Roman" w:hAnsi="Times New Roman"/>
          <w:sz w:val="20"/>
          <w:szCs w:val="20"/>
          <w:color w:val="auto"/>
        </w:rPr>
        <w:t xml:space="preserve"> clause (c) of the definition of Alternate Base Rate,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Borrowers and the Lenders of the effectiveness of any Benchmark Replacement Conforming Changes in connection with the use or administration of the Term SOFR Rate, and the Adjusted Term SOFR Rate or clause (c) of the definition of the Alternate Base Rate.</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 xml:space="preserve">2.7 </w:t>
      </w:r>
      <w:r>
        <w:rPr>
          <w:rFonts w:ascii="Times New Roman" w:cs="Times New Roman" w:eastAsia="Times New Roman" w:hAnsi="Times New Roman"/>
          <w:sz w:val="19"/>
          <w:szCs w:val="19"/>
          <w:b w:val="1"/>
          <w:bCs w:val="1"/>
          <w:u w:val="single" w:color="auto"/>
          <w:color w:val="auto"/>
        </w:rPr>
        <w:t>Interest Periods</w:t>
      </w:r>
      <w:r>
        <w:rPr>
          <w:rFonts w:ascii="Times New Roman" w:cs="Times New Roman" w:eastAsia="Times New Roman" w:hAnsi="Times New Roman"/>
          <w:sz w:val="19"/>
          <w:szCs w:val="19"/>
          <w:color w:val="auto"/>
        </w:rPr>
        <w:t xml:space="preserve">. In order to convert a Base Rate Loan (other than Swing Line Loans) or Term SOFR Rate Loan or continue a Term SOFR Rate Loan, the Borrower shall deliver to the Administrative Agent a duly completed, written request therefor substantially in the form of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b w:val="1"/>
          <w:bCs w:val="1"/>
          <w:color w:val="auto"/>
        </w:rPr>
        <w:t>Conversion or Continuation Notice</w:t>
      </w:r>
      <w:r>
        <w:rPr>
          <w:rFonts w:ascii="Times New Roman" w:cs="Times New Roman" w:eastAsia="Times New Roman" w:hAnsi="Times New Roman"/>
          <w:sz w:val="19"/>
          <w:szCs w:val="19"/>
          <w:color w:val="auto"/>
        </w:rPr>
        <w:t>”) not later than 11:00 a.m. (i) with respect to a conversion to or continuation of a Term SOFR Rate Loan, at least three (3) U.S. Government Securities Business Days prior to the proposed effective date of such conversion or continuation and (ii) with respect to a conversion to a Base Rate Loan, at least one (1) Business Day prior to the proposed effective date of such conversion. The Conversion or Continuation Notice shall specify (i) which Borrowings (including the principal amount thereof) are subject to such request, and, in the case of any Term SOFR Rate Loan to be converted or continued, the last day of the current Interest Period therefor, (ii) the proposed effective date of such conversion or continuation (which shall be a Business Day),</w:t>
      </w:r>
    </w:p>
    <w:p>
      <w:pPr>
        <w:spacing w:after="0" w:line="2" w:lineRule="exact"/>
        <w:rPr>
          <w:sz w:val="20"/>
          <w:szCs w:val="20"/>
          <w:color w:val="auto"/>
        </w:rPr>
      </w:pPr>
    </w:p>
    <w:p>
      <w:pPr>
        <w:jc w:val="both"/>
        <w:ind w:firstLine="8"/>
        <w:spacing w:after="0" w:line="241" w:lineRule="auto"/>
        <w:tabs>
          <w:tab w:leader="none" w:pos="35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Borrower is requesting a continuation of Term SOFR Rate Loans or a conversion of Borrowings from one interest rate option to another interest rate option, and (iv) if a continuation of or conversion to Term SOFR Rate Loans is requested, the requested Interest Period with respect thereto. In addition, the following provisions shall apply to any continuation of or conversion of any Borrowings:</w:t>
      </w:r>
    </w:p>
    <w:p>
      <w:pPr>
        <w:spacing w:after="0" w:line="188"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Amount of Loans</w:t>
      </w:r>
      <w:r>
        <w:rPr>
          <w:rFonts w:ascii="Times New Roman" w:cs="Times New Roman" w:eastAsia="Times New Roman" w:hAnsi="Times New Roman"/>
          <w:sz w:val="20"/>
          <w:szCs w:val="20"/>
          <w:color w:val="auto"/>
        </w:rPr>
        <w:t xml:space="preserve">. After giving effect to such conversion or continuation, each Borrowing of Term A-1 Loans, Revolving A-1 Loans and Incremental Loans shall be in an amount no less than the applicable minimum amount for Term A-1 Loans as set forth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for Revolving A-1 Loans as set forth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or for Incremental Loans as set forth in </w:t>
      </w:r>
      <w:r>
        <w:rPr>
          <w:rFonts w:ascii="Times New Roman" w:cs="Times New Roman" w:eastAsia="Times New Roman" w:hAnsi="Times New Roman"/>
          <w:sz w:val="20"/>
          <w:szCs w:val="20"/>
          <w:u w:val="single" w:color="auto"/>
          <w:color w:val="auto"/>
        </w:rPr>
        <w:t>Section 2.5(b)</w:t>
      </w:r>
      <w:r>
        <w:rPr>
          <w:rFonts w:ascii="Times New Roman" w:cs="Times New Roman" w:eastAsia="Times New Roman" w:hAnsi="Times New Roman"/>
          <w:sz w:val="20"/>
          <w:szCs w:val="20"/>
          <w:color w:val="auto"/>
        </w:rPr>
        <w:t xml:space="preserve"> and in the applicable Incremental Amendment.</w:t>
      </w:r>
    </w:p>
    <w:p>
      <w:pPr>
        <w:spacing w:after="0" w:line="17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Commencement of Interest Period</w:t>
      </w:r>
      <w:r>
        <w:rPr>
          <w:rFonts w:ascii="Times New Roman" w:cs="Times New Roman" w:eastAsia="Times New Roman" w:hAnsi="Times New Roman"/>
          <w:sz w:val="20"/>
          <w:szCs w:val="20"/>
          <w:color w:val="auto"/>
        </w:rPr>
        <w:t>. In the case of any borrowing of, conversion to or continuation of any Term SOFR Rate Loan, the Interest Period shall commence on the date of advance or continuation of, or conversion to, any Term SOFR Rate Loan and, in the case of immediately successive Interest Periods, each successive Interest Period shall commence on the date on which the immediately preceding Interest Period expires. Upon a conversion from a Term SOFR Rate Loan to a Base Rate Loan, interest at the Base Rate Option shall commence on the last day of the existing Interest Period.</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Selection of Interest Rate Options</w:t>
      </w:r>
      <w:r>
        <w:rPr>
          <w:rFonts w:ascii="Times New Roman" w:cs="Times New Roman" w:eastAsia="Times New Roman" w:hAnsi="Times New Roman"/>
          <w:sz w:val="20"/>
          <w:szCs w:val="20"/>
          <w:color w:val="auto"/>
        </w:rPr>
        <w:t>. If the Borrower elects to continue a Term SOFR Rate Loan but fails to select a new Interest Period to apply thereto, then a one month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7" w:name="page158"/>
    <w:bookmarkEnd w:id="15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Period automatically shall apply. If the Borrower fails to duly request the continuation of any Borrowing consisting of Term SOFR Rate Loans on or before the date specified and otherwise in accordance with the provisions of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then such Term SOFR Rate Loan automatically shall be converted to a Base Rate Loan, interest at the Base Rate Option shall commence on the last day of the existing Interest Period.</w:t>
      </w:r>
    </w:p>
    <w:p>
      <w:pPr>
        <w:spacing w:after="0" w:line="17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b w:val="1"/>
          <w:bCs w:val="1"/>
          <w:u w:val="single" w:color="auto"/>
          <w:color w:val="auto"/>
        </w:rPr>
        <w:t>Making of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Notifications and Payments</w:t>
      </w:r>
      <w:r>
        <w:rPr>
          <w:rFonts w:ascii="Times New Roman" w:cs="Times New Roman" w:eastAsia="Times New Roman" w:hAnsi="Times New Roman"/>
          <w:sz w:val="20"/>
          <w:szCs w:val="20"/>
          <w:color w:val="auto"/>
        </w:rPr>
        <w:t xml:space="preserve">. The Administrative Agent shall, promptly after receipt by it of a Loan Request, notify the applicable Lenders of such Class of Loan of its receipt of such Loan Request specifying the information provided by the Borrower and the apportionment among the Lenders of the requested Loan as determined by the Administrative Agent in accordance with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as applicable. Each applicable Lender shall remit the principal amount of their Pro Rata Share of the applicable Loan to the Administrative Agent such that the Administrative Agent is able to, and the Administrative Agent shall, to the extent the Lenders have made funds available to it for such purpose and subject to the terms and conditions of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as applicable, fund such Loan to the Borrower in Dollars and immediately available funds to the account of each applicable Borrower specified in the Loan Request prior to 2:00 p.m. on the proposed Borrowing Date.</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Treatment of Lenders</w:t>
      </w:r>
      <w:r>
        <w:rPr>
          <w:rFonts w:ascii="Times New Roman" w:cs="Times New Roman" w:eastAsia="Times New Roman" w:hAnsi="Times New Roman"/>
          <w:sz w:val="20"/>
          <w:szCs w:val="20"/>
          <w:color w:val="auto"/>
        </w:rPr>
        <w:t xml:space="preserve">. The borrowing of any Tranche or any Class of Loan, as applicable, shall be allocated to each Lender of such Tranche or such Class of Loan, as applicable, according to its Pro Rata Share thereof, and each selection of, conversion to or renewal of any Interest Rate Option and each payment or prepayment by the Borrower with respect to principal and interest due from the Borrower hereunder to the Lenders with respect to the applicable Tranche or Class of Commitments and Loan, as applicable, shall (except as otherwise may be provided with respect to a Defaulting Lender and except as provided in </w:t>
      </w:r>
      <w:r>
        <w:rPr>
          <w:rFonts w:ascii="Times New Roman" w:cs="Times New Roman" w:eastAsia="Times New Roman" w:hAnsi="Times New Roman"/>
          <w:sz w:val="20"/>
          <w:szCs w:val="20"/>
          <w:u w:val="single" w:color="auto"/>
          <w:color w:val="auto"/>
        </w:rPr>
        <w:t>Section 2.5(e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be payable ratably among the Lenders of such Tranche or Class of Loan, as applicable, entitled to such payment in accordance with the amount of principal and interest then due or payable to such Lenders as set forth in this Agreement.</w:t>
      </w:r>
    </w:p>
    <w:p>
      <w:pPr>
        <w:spacing w:after="0" w:line="189"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Presumptions by the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Borrowing Date that such Lender will not make available to the Administrative Agent such Lender’s Pro Rata Share of any Loan, the Administrative Agent may assume that such Lender has made such Pro Rata Share available on such date in accordance with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as the case may be, and may, in reliance upon such assumption, make available to the Borrower a corresponding amount. In such event, if a Lender has not in fact made its share of such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the Borrower, the interest rate then applicable to Base Rate Loans. If such Lender pays its share of the applicable Loan to the Administrative Agent, then the amount so paid shall constitute such Lender’s Loan. Any payment by the Borrower shall be without prejudice to any claim the Borrower may have against a Lender that shall have failed to make such payment to the Administrative Agent. If the Borrower and such Lender pay such interest for the same period, the Administrative Agent promptly shall remit to the Borrower the amount of interest paid by the Borrower for such overlapping period. Nothing in this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or elsewhere in this Agreement or the other Loan Documents, including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8" w:name="page159"/>
    <w:bookmarkEnd w:id="158"/>
    <w:p>
      <w:pPr>
        <w:jc w:val="both"/>
        <w:spacing w:after="0" w:line="253" w:lineRule="auto"/>
        <w:rPr>
          <w:sz w:val="20"/>
          <w:szCs w:val="20"/>
          <w:color w:val="auto"/>
        </w:rPr>
      </w:pPr>
      <w:r>
        <w:rPr>
          <w:rFonts w:ascii="Times New Roman" w:cs="Times New Roman" w:eastAsia="Times New Roman" w:hAnsi="Times New Roman"/>
          <w:sz w:val="20"/>
          <w:szCs w:val="20"/>
          <w:color w:val="auto"/>
        </w:rPr>
        <w:t>deemed to require the Administrative Agent (or any other Lender) to advance funds on behalf of any Lender or to relieve any Lender from its obligation to fulfill its commitments hereunder or to prejudice any rights that the Administrative Agent or the Borrower may have against any Lender as a result of any default by such Lender hereunder.</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b w:val="1"/>
          <w:bCs w:val="1"/>
          <w:u w:val="single" w:color="auto"/>
          <w:color w:val="auto"/>
        </w:rPr>
        <w:t>Fees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960" w:hanging="656"/>
        <w:spacing w:after="0"/>
        <w:tabs>
          <w:tab w:leader="none" w:pos="1960"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Unused Commitment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2"/>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Accruing from the Closing Date through the Maturity Date with respect to the Revolving A-1 Credit Facility, the Borrower agrees to pay to the Administrative Agent for the account of each Revolving A-1 Loan Lender according to its Pro Rata Share of the Revolving A-1 Credit Facility, a nonrefundable unused commitment fee (each an “</w:t>
      </w:r>
      <w:r>
        <w:rPr>
          <w:rFonts w:ascii="Times New Roman" w:cs="Times New Roman" w:eastAsia="Times New Roman" w:hAnsi="Times New Roman"/>
          <w:sz w:val="20"/>
          <w:szCs w:val="20"/>
          <w:b w:val="1"/>
          <w:bCs w:val="1"/>
          <w:color w:val="auto"/>
        </w:rPr>
        <w:t>Unused Revolving A-1 Commitment Fee</w:t>
      </w:r>
      <w:r>
        <w:rPr>
          <w:rFonts w:ascii="Times New Roman" w:cs="Times New Roman" w:eastAsia="Times New Roman" w:hAnsi="Times New Roman"/>
          <w:sz w:val="20"/>
          <w:szCs w:val="20"/>
          <w:color w:val="auto"/>
        </w:rPr>
        <w:t xml:space="preserve">”) equal to (x) the Applicable Unused Revolving A-1 Commitment Fee Rate (computed on the basis of a year of 360 days, as the case may be, and actual days elapsed)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(y) the average daily result of (A) the Revolving A-1 Commitments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(B) the sum of the Revolving A-1 Loans and the portion of the Letter of Credit Obligations allocated to the Revolving A-1 Loan Lenders on a pro rata basis;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with respect to the Unused Revolving A-1 Commitment Fee for the account of the Swing Line Lender, such fee shall be equal to</w:t>
      </w:r>
    </w:p>
    <w:p>
      <w:pPr>
        <w:spacing w:after="0" w:line="2" w:lineRule="exact"/>
        <w:rPr>
          <w:rFonts w:ascii="Times New Roman" w:cs="Times New Roman" w:eastAsia="Times New Roman" w:hAnsi="Times New Roman"/>
          <w:sz w:val="20"/>
          <w:szCs w:val="20"/>
          <w:color w:val="auto"/>
        </w:rPr>
      </w:pPr>
    </w:p>
    <w:p>
      <w:pPr>
        <w:jc w:val="both"/>
        <w:ind w:firstLine="8"/>
        <w:spacing w:after="0"/>
        <w:tabs>
          <w:tab w:leader="none" w:pos="29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Unused Revolving A-1 Commitment Fee Rate (computed on the basis of a year of 360 days, as the case may be, and actual days elapsed) multiplied by (y) the average daily difference between (A) the Revolving A-1 Commitments and (B) the Revolving A-1 Credit Facility Usage (for the avoidance of doubt, as to Swing Line Lender only, Swing Line Loans will reduce the Unused Revolving A-1 Commitment Fee);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Unused Revolving A-1 Commitment Fee accrued with respect to the Revolving A-1 Commitment of a Defaulting Lender during the period prior to the time such Lender became a Defaulting Lender and unpaid at such time shall not be payable by the Borrower so long as such Lender shall be a Defaulting Lender except to the extent that such Unused Revolving A-1 Commitment Fee shall otherwise have been due and payable by the Borrower prior to such time;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 Unused Revolving A-1 Commitment Fee shall accrue with respect to the Revolving A-1 Commitment of a Defaulting Lender so long as such Lender shall be a Defaulting Lender. Subject to the provisos in the directly preceding sentence, all Unused Revolving A-1 Commitment Fees shall be payable in arrears on each Interest Payment Date.</w:t>
      </w:r>
    </w:p>
    <w:p>
      <w:pPr>
        <w:spacing w:after="0" w:line="188"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20" w:firstLine="1952"/>
        <w:spacing w:after="0" w:line="269" w:lineRule="auto"/>
        <w:tabs>
          <w:tab w:leader="none" w:pos="2592" w:val="left"/>
        </w:tabs>
        <w:numPr>
          <w:ilvl w:val="2"/>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Unused Commitment Fee with respect to any Incremental Revolving Facility shall accrue and be calculated in accordance with the terms set forth in the applicable Incremental Amendment.</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Fees</w:t>
      </w:r>
      <w:r>
        <w:rPr>
          <w:rFonts w:ascii="Times New Roman" w:cs="Times New Roman" w:eastAsia="Times New Roman" w:hAnsi="Times New Roman"/>
          <w:sz w:val="19"/>
          <w:szCs w:val="19"/>
          <w:color w:val="auto"/>
        </w:rPr>
        <w:t>. The Borrower agrees to pay to the Administrative Agent such other fees as agreed in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 xml:space="preserve">Fee </w:t>
      </w:r>
      <w:r>
        <w:rPr>
          <w:rFonts w:ascii="Times New Roman" w:cs="Times New Roman" w:eastAsia="Times New Roman" w:hAnsi="Times New Roman"/>
          <w:sz w:val="20"/>
          <w:szCs w:val="20"/>
          <w:u w:val="single" w:color="auto"/>
          <w:color w:val="auto"/>
        </w:rPr>
        <w:t>Letter</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b w:val="1"/>
          <w:bCs w:val="1"/>
          <w:u w:val="single" w:color="auto"/>
          <w:color w:val="auto"/>
        </w:rPr>
        <w:t>Notes</w:t>
      </w:r>
      <w:r>
        <w:rPr>
          <w:rFonts w:ascii="Times New Roman" w:cs="Times New Roman" w:eastAsia="Times New Roman" w:hAnsi="Times New Roman"/>
          <w:sz w:val="20"/>
          <w:szCs w:val="20"/>
          <w:color w:val="auto"/>
        </w:rPr>
        <w:t xml:space="preserve">. The obligation of the Borrower to repay the aggregate unpaid principal amount of the Revolving Loans, Swing Line Loans and Term Loans made to them by each Lender, together with interest thereon, shall, at the request of the applicable Lender, be evidenced by a Revolving Note, Swing Line Note or Term Loan Note, as the case may be, dated the Closing Date, the effective date, or the date of such request, as applicable, payable to such Lender in a face amount equal to the Revolving Commitment, Swing Line Commitment or Term Loan Commitment, as applicable, of such Lender. The Borrower hereby unconditionally promises to pay, to each </w:t>
      </w:r>
      <w:r>
        <w:rPr>
          <w:rFonts w:ascii="Times New Roman" w:cs="Times New Roman" w:eastAsia="Times New Roman" w:hAnsi="Times New Roman"/>
          <w:sz w:val="20"/>
          <w:szCs w:val="20"/>
          <w:b w:val="1"/>
          <w:bCs w:val="1"/>
          <w:u w:val="single" w:color="auto"/>
          <w:color w:val="auto"/>
        </w:rPr>
        <w:t>of</w:t>
      </w:r>
      <w:r>
        <w:rPr>
          <w:rFonts w:ascii="Times New Roman" w:cs="Times New Roman" w:eastAsia="Times New Roman" w:hAnsi="Times New Roman"/>
          <w:sz w:val="20"/>
          <w:szCs w:val="20"/>
          <w:color w:val="auto"/>
        </w:rPr>
        <w:t xml:space="preserve"> the Lenders, the Administrative Agent, the Issuing Lender and the Swing Line Lender, as applicable, the Loans and other Obligations as provided in this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59" w:name="page160"/>
    <w:bookmarkEnd w:id="159"/>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 xml:space="preserve">Letter </w:t>
      </w:r>
      <w:r>
        <w:rPr>
          <w:rFonts w:ascii="Times New Roman" w:cs="Times New Roman" w:eastAsia="Times New Roman" w:hAnsi="Times New Roman"/>
          <w:sz w:val="19"/>
          <w:szCs w:val="19"/>
          <w:b w:val="1"/>
          <w:bCs w:val="1"/>
          <w:color w:val="auto"/>
        </w:rPr>
        <w:t>of Credit Subfacility</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-8890</wp:posOffset>
            </wp:positionV>
            <wp:extent cx="11245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199" w:lineRule="exact"/>
        <w:rPr>
          <w:sz w:val="20"/>
          <w:szCs w:val="20"/>
          <w:color w:val="auto"/>
        </w:rPr>
      </w:pPr>
    </w:p>
    <w:p>
      <w:pPr>
        <w:jc w:val="both"/>
        <w:ind w:firstLine="1304"/>
        <w:spacing w:after="0"/>
        <w:tabs>
          <w:tab w:leader="none" w:pos="194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Letters of Credit</w:t>
      </w:r>
      <w:r>
        <w:rPr>
          <w:rFonts w:ascii="Times New Roman" w:cs="Times New Roman" w:eastAsia="Times New Roman" w:hAnsi="Times New Roman"/>
          <w:sz w:val="20"/>
          <w:szCs w:val="20"/>
          <w:color w:val="auto"/>
        </w:rPr>
        <w:t xml:space="preserve">. Subject to the terms and conditions of this Agreement and the other Loan Documents, including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and in reliance upon the representations and warranties set forth in this Agreement and the other Loan Documents and in reliance on the agreements of the Revolving A-1 Loan Lenders set forth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the Issuing Lender agrees to issue standby letters of credit (the “</w:t>
      </w:r>
      <w:r>
        <w:rPr>
          <w:rFonts w:ascii="Times New Roman" w:cs="Times New Roman" w:eastAsia="Times New Roman" w:hAnsi="Times New Roman"/>
          <w:sz w:val="20"/>
          <w:szCs w:val="20"/>
          <w:b w:val="1"/>
          <w:bCs w:val="1"/>
          <w:color w:val="auto"/>
        </w:rPr>
        <w:t>Letters of Credit</w:t>
      </w:r>
      <w:r>
        <w:rPr>
          <w:rFonts w:ascii="Times New Roman" w:cs="Times New Roman" w:eastAsia="Times New Roman" w:hAnsi="Times New Roman"/>
          <w:sz w:val="20"/>
          <w:szCs w:val="20"/>
          <w:color w:val="auto"/>
        </w:rPr>
        <w:t>”) for the account of the Borrower or any Subsidiary thereof on any Business Day from the Closing Date through but not including the Letter of Credit Expiration Date. The Borrower may at any time prior to the Letter of Credit Expiration Date request the issuance of a Letter of Credit, or an amendment or extension of a Letter of Credit, by delivering to the Issuing Lender (with a copy to the Administrative Agent) a completed application and agreement for letters of credit, or request for such amendment or extension, as applicable, in such form as the Issuing Lender may specify from time to time (each a “</w:t>
      </w:r>
      <w:r>
        <w:rPr>
          <w:rFonts w:ascii="Times New Roman" w:cs="Times New Roman" w:eastAsia="Times New Roman" w:hAnsi="Times New Roman"/>
          <w:sz w:val="20"/>
          <w:szCs w:val="20"/>
          <w:b w:val="1"/>
          <w:bCs w:val="1"/>
          <w:color w:val="auto"/>
        </w:rPr>
        <w:t>Letter of Credit Request</w:t>
      </w:r>
      <w:r>
        <w:rPr>
          <w:rFonts w:ascii="Times New Roman" w:cs="Times New Roman" w:eastAsia="Times New Roman" w:hAnsi="Times New Roman"/>
          <w:sz w:val="20"/>
          <w:szCs w:val="20"/>
          <w:color w:val="auto"/>
        </w:rPr>
        <w:t xml:space="preserve">”) by no later than 11:00 a.m. at least five (5) Business Days, or such shorter period as may be agreed to by the Issuing Lender, in advance of the proposed date of issuance, amendment or extension. Promptly after receipt of any Letter of Credit Request, the Issuing Lender shall confirm with the Administrative Agent (in writing) that the Administrative Agent has received a copy of such Letter of Credit Request and if not, the Issuing Lender will provide the Administrative Agent with a copy thereof. Unless the Issuing Lender has received notice from any Lender, the Administrative Agent or any Loan Party, at least one day prior to the requested date of issuance, amendment or extension of the applicable Letter of Credit, that one or more applicable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satisfied, then the Issuing Lender will issue a Letter of Credit or agree to such amendment or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Letter of Credit shall (A) have a maximum maturity of twelve (12) months from the date of issuance (but may contain renewal terms satisfactory to the Issuing Lender), and (B) in no event expire later than the Letter of Credit Expiration Date (unless Cash Collateralized or otherwise backstopped in a manner acceptable to the Issuing Lender prior to such Letter of Credit Expiration Date);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at no time shall (i) the Letter of Credit Obligations exceed the Letter of Credit Sublimit or (ii) the Revolving A-1 Credit Facility Usage exceed the Revolving A-1 Commitments. Each request by the Borrower for the issuance, amendment or extension of a Letter of Credit shall be deemed to be a representation by the Borrower that it shall be in compliance with the preceding sentence and with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after giving effect to the requested issuance, amendment or extension of such Letter of Credit. Promptly after its delivery of any Letter of Credit or any amendment to a Letter of Credit to the beneficiary thereof, the Issuing Lender will also deliver to the Borrower and the Administrative Agent a true and complete copy of such Letter of Credit or amendment. The Borrower unconditionally guarantees all obligations of any other Loan Party with respect to Letters of Credit issued by the Issuing Lender for the account of such Loan Party.</w:t>
      </w:r>
    </w:p>
    <w:p>
      <w:pPr>
        <w:spacing w:after="0" w:line="202"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The Borrower shall pay to the Administrative Agent for the ratable account of the Revolving A-1 Loan Lenders a fee (the “</w:t>
      </w:r>
      <w:r>
        <w:rPr>
          <w:rFonts w:ascii="Times New Roman" w:cs="Times New Roman" w:eastAsia="Times New Roman" w:hAnsi="Times New Roman"/>
          <w:sz w:val="20"/>
          <w:szCs w:val="20"/>
          <w:b w:val="1"/>
          <w:bCs w:val="1"/>
          <w:color w:val="auto"/>
        </w:rPr>
        <w:t>Letter of Credit Fee</w:t>
      </w:r>
      <w:r>
        <w:rPr>
          <w:rFonts w:ascii="Times New Roman" w:cs="Times New Roman" w:eastAsia="Times New Roman" w:hAnsi="Times New Roman"/>
          <w:sz w:val="20"/>
          <w:szCs w:val="20"/>
          <w:color w:val="auto"/>
        </w:rPr>
        <w:t>”) equal to the Applicable Letter of Credit Fee Rate (computed on the basis of a year of 360 days and actual days elapsed), which fee shall be computed on the daily average Letter of Credit Obligations and shall be payable quarterly in arrears on each Interest Payment Date and on the Maturity Date. The Borrower shall also pay to the Issuing Lender for the Issuing Lender’s sole account a fronting fee in an amount equal to 0.125% per annum of the face amount of each Letter of Credit, as well as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Disbursements, Reimbursement</w:t>
      </w:r>
      <w:r>
        <w:rPr>
          <w:rFonts w:ascii="Times New Roman" w:cs="Times New Roman" w:eastAsia="Times New Roman" w:hAnsi="Times New Roman"/>
          <w:sz w:val="20"/>
          <w:szCs w:val="20"/>
          <w:color w:val="auto"/>
        </w:rPr>
        <w:t>. Immediately upon the issuance of each Letter of Credit, each Revolving A-1 Loan Lender shall be deemed to, and hereby irrevocably and unconditionally agrees to, purchase from the Issuing Lender a participation in such Letter of Credit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60" w:name="page161"/>
    <w:bookmarkEnd w:id="160"/>
    <w:p>
      <w:pPr>
        <w:jc w:val="both"/>
        <w:spacing w:after="0" w:line="253" w:lineRule="auto"/>
        <w:rPr>
          <w:sz w:val="20"/>
          <w:szCs w:val="20"/>
          <w:color w:val="auto"/>
        </w:rPr>
      </w:pPr>
      <w:r>
        <w:rPr>
          <w:rFonts w:ascii="Times New Roman" w:cs="Times New Roman" w:eastAsia="Times New Roman" w:hAnsi="Times New Roman"/>
          <w:sz w:val="20"/>
          <w:szCs w:val="20"/>
          <w:color w:val="auto"/>
        </w:rPr>
        <w:t>each drawing thereunder, without recourse or warranty, in an amount equal to such Revolving A-1 Loan Lender’s Pro Rata Share of the maximum amount available to be drawn under such Letter of Credit and the amount of such drawing, respectively.</w:t>
      </w:r>
    </w:p>
    <w:p>
      <w:pPr>
        <w:spacing w:after="0" w:line="176" w:lineRule="exact"/>
        <w:rPr>
          <w:sz w:val="20"/>
          <w:szCs w:val="20"/>
          <w:color w:val="auto"/>
        </w:rPr>
      </w:pPr>
    </w:p>
    <w:p>
      <w:pPr>
        <w:jc w:val="both"/>
        <w:ind w:firstLine="1952"/>
        <w:spacing w:after="0" w:line="241" w:lineRule="auto"/>
        <w:tabs>
          <w:tab w:leader="none" w:pos="259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request for a drawing under a Letter of Credit by the beneficiary or transferee thereof, the Issuing Lender will promptly notify the Borrower and the Administrative Agent thereof. Provided that it shall have received such notice, the Borrower shall reimburse (such obligation to reimburse the Issuing Lender shall sometimes be referred to as a “</w:t>
      </w:r>
      <w:r>
        <w:rPr>
          <w:rFonts w:ascii="Times New Roman" w:cs="Times New Roman" w:eastAsia="Times New Roman" w:hAnsi="Times New Roman"/>
          <w:sz w:val="20"/>
          <w:szCs w:val="20"/>
          <w:b w:val="1"/>
          <w:bCs w:val="1"/>
          <w:color w:val="auto"/>
        </w:rPr>
        <w:t>Reimbursement Obligation</w:t>
      </w:r>
      <w:r>
        <w:rPr>
          <w:rFonts w:ascii="Times New Roman" w:cs="Times New Roman" w:eastAsia="Times New Roman" w:hAnsi="Times New Roman"/>
          <w:sz w:val="20"/>
          <w:szCs w:val="20"/>
          <w:color w:val="auto"/>
        </w:rPr>
        <w:t>”) the Issuing Lender prior to 12:00 noon on each date that an amount is paid by the Issuing Lender under any Letter of Credit (each such date, a “</w:t>
      </w:r>
      <w:r>
        <w:rPr>
          <w:rFonts w:ascii="Times New Roman" w:cs="Times New Roman" w:eastAsia="Times New Roman" w:hAnsi="Times New Roman"/>
          <w:sz w:val="20"/>
          <w:szCs w:val="20"/>
          <w:b w:val="1"/>
          <w:bCs w:val="1"/>
          <w:color w:val="auto"/>
        </w:rPr>
        <w:t>Drawing Date</w:t>
      </w:r>
      <w:r>
        <w:rPr>
          <w:rFonts w:ascii="Times New Roman" w:cs="Times New Roman" w:eastAsia="Times New Roman" w:hAnsi="Times New Roman"/>
          <w:sz w:val="20"/>
          <w:szCs w:val="20"/>
          <w:color w:val="auto"/>
        </w:rPr>
        <w:t xml:space="preserve">”), or if such notice was received after 11:00 a.m. on a Drawing Date, then by 10:00 a.m. on the Business Day immediately following such Drawing Date, by paying to the Administrative Agent for the account of the Issuing Lender an amount equal to the amount so paid by the Issuing Lender. In the event the Borrower fails to reimburse the Issuing Lender (through the Administrative Agent) for the full amount of any drawing under any Letter of Credit by date and time required in accordance with the foregoing sentence, then the Administrative Agent will promptly notify each Revolving A-1 Loan Lender thereof, and the Borrower shall be deemed to have requested that Revolving A-1 Loans be made by the Revolving A-1 Loan Lenders under the Base Rate Option to be disbursed on the Business Day immediately following the Drawing Date, subject to the amount of the unutilized portion of the Revolving A-1 Commitments and subject to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other than any notice requirements. Any notice given by the Administrative Agent or the Issuing Lender pursuant to this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 xml:space="preserve"> shall be in writing.</w:t>
      </w:r>
    </w:p>
    <w:p>
      <w:pPr>
        <w:spacing w:after="0" w:line="194"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9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A-1 Loan Lender shall upon the Business Day immediately following a Drawing Date with respect to which notice was delivered by the Administrative Agent in accordance with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 xml:space="preserve"> make funds available to the Administrative Agent for the account of the Issuing Lender based on such Revolving A-1 Loan Lender’s Pro Rata Share of the Revolving A-1 Commitments in an amount equal to its Pro Rata Share of the amount of the drawing. So long as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have been satisfied or waived in accordance with this Agreement, each Revolving A-1 Loan Lender that makes such funds available shall be deemed to have made a Revolving A-1 Loan at the Base Rate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have not been satisfied or waived in accordance with this Agreement, each Revolving A-1 Loan Lender shall remain obligated to fund its Pro Rata Share of such unreimbursed amount and such amount (each a “</w:t>
      </w:r>
      <w:r>
        <w:rPr>
          <w:rFonts w:ascii="Times New Roman" w:cs="Times New Roman" w:eastAsia="Times New Roman" w:hAnsi="Times New Roman"/>
          <w:sz w:val="20"/>
          <w:szCs w:val="20"/>
          <w:b w:val="1"/>
          <w:bCs w:val="1"/>
          <w:color w:val="auto"/>
        </w:rPr>
        <w:t>Participation Advance</w:t>
      </w:r>
      <w:r>
        <w:rPr>
          <w:rFonts w:ascii="Times New Roman" w:cs="Times New Roman" w:eastAsia="Times New Roman" w:hAnsi="Times New Roman"/>
          <w:sz w:val="20"/>
          <w:szCs w:val="20"/>
          <w:color w:val="auto"/>
        </w:rPr>
        <w:t xml:space="preserve">”) shall be deemed to be a payment in respect of its participation in the applicable Letter of Credit Borrowing resulting from such drawing in accordance with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If any Revolving A-1 Loan Lender so notified fails to make available to the Administrative Agent for the account of the Issuing Lender the amount of such Revolving A-1 Loan Lender’s Pro Rata Share of such amount based on its Pro Rata Share of the Revolving A-1 Commitments by no later than Noon on such date, then interest shall accrue on such Revolving A-1 Loan Lender’s obligation to make such payment, from such Business Day to the date on which such Lender makes such payment (i) at a rate per annum equal to the Federal Funds Effective Rate during the first three (3) days following the date such amount was due and (ii) at a rate per annum equal to the rate applicable to Base Rate Loans thereafter. The Administrative Agent and the Issuing Lender will promptly give notice (as described in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 xml:space="preserve"> 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clause (ii).</w:t>
      </w:r>
    </w:p>
    <w:p>
      <w:pPr>
        <w:spacing w:after="0" w:line="187"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drawing that is not fully reimbursed by the Borrower and is not refinanced by Revolving A-1 Loans in accordance with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 xml:space="preserve"> because of the Borrower’s failure to satisfy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the Borrower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1" w:name="page162"/>
    <w:bookmarkEnd w:id="161"/>
    <w:p>
      <w:pPr>
        <w:jc w:val="both"/>
        <w:spacing w:after="0" w:line="250" w:lineRule="auto"/>
        <w:rPr>
          <w:sz w:val="20"/>
          <w:szCs w:val="20"/>
          <w:color w:val="auto"/>
        </w:rPr>
      </w:pPr>
      <w:r>
        <w:rPr>
          <w:rFonts w:ascii="Times New Roman" w:cs="Times New Roman" w:eastAsia="Times New Roman" w:hAnsi="Times New Roman"/>
          <w:sz w:val="20"/>
          <w:szCs w:val="20"/>
          <w:color w:val="auto"/>
        </w:rPr>
        <w:t>deemed to have incurred from the Issuing Lender a borrowing (each, a “</w:t>
      </w:r>
      <w:r>
        <w:rPr>
          <w:rFonts w:ascii="Times New Roman" w:cs="Times New Roman" w:eastAsia="Times New Roman" w:hAnsi="Times New Roman"/>
          <w:sz w:val="20"/>
          <w:szCs w:val="20"/>
          <w:b w:val="1"/>
          <w:bCs w:val="1"/>
          <w:color w:val="auto"/>
        </w:rPr>
        <w:t>Letter of Credit Borrowing</w:t>
      </w:r>
      <w:r>
        <w:rPr>
          <w:rFonts w:ascii="Times New Roman" w:cs="Times New Roman" w:eastAsia="Times New Roman" w:hAnsi="Times New Roman"/>
          <w:sz w:val="20"/>
          <w:szCs w:val="20"/>
          <w:color w:val="auto"/>
        </w:rPr>
        <w:t>”) in an amount equal to the unreimbursed portion of such drawing. Such Letter of Credit Borrowing shall be due and payable on demand (together with interest) and shall bear interest at the rate per annum applicable to the Revolving A-1 Loans under the Base Rate Option.</w:t>
      </w:r>
    </w:p>
    <w:p>
      <w:pPr>
        <w:spacing w:after="0" w:line="179" w:lineRule="exact"/>
        <w:rPr>
          <w:sz w:val="20"/>
          <w:szCs w:val="20"/>
          <w:color w:val="auto"/>
        </w:rPr>
      </w:pPr>
    </w:p>
    <w:p>
      <w:pPr>
        <w:ind w:left="1960" w:hanging="656"/>
        <w:spacing w:after="0"/>
        <w:tabs>
          <w:tab w:leader="none" w:pos="19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 Advances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(and only upon) receipt by the Administrative Agent for the account of the Issuing Lender of immediately available funds from the Borrower (A) in reimbursement of any payment made by the Issuing Lender under the Letter of Credit with respect to which any Lender has made a Participation Advance to the Administrative Agent, or (B) in payment of interest on such a payment made by the Issuing Lender under such a Letter of Credit, the Administrative Agent on behalf of the Issuing Lender will pay to each Revolving A-1 Loan Lender, in the same funds as those received by the Administrative Agent, the amount of such Revolving A-1 Loan Lender’s Pro Rata Share of such funds based on its Pro Rata Share of the Revolving A-1 Commitments, except the Administrative Agent shall retain for the account of the Issuing Lender the amount of the Pro Rata Share of such funds of any Revolving A-1 Loan Lender that did not make a Participation Advance in respect of such payment by the Issuing Lender.</w:t>
      </w:r>
    </w:p>
    <w:p>
      <w:pPr>
        <w:spacing w:after="0" w:line="185"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 reimbursement of a payment made under the Letter of Credit or interest or fee thereon, each Revolving A-1 Loan Lender shall, on demand of the Administrative Agent, forthwith return to the Administrative Agent for the account of the Issuing Lender the amount of its Pro Rata Share based on its Pro Rata Share of the Revolving A-1 Commitments of any amounts so returned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such demand is made to the date such amounts are returned by such Revolving A-1 Loan Lender to the Administrative Agent, at a rate per annum equal to the Federal Funds Effective Rate in effect from time to time.</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its gross negligence or willful misconduct as determined by a final decision by a court of competent jurisdiction, the Issuing Lender shall not be liable for any error, negligence and/or mistakes, whether of omission or commission, in following any Loan Party’s instructions or those contained in the Letters of Credit or any modifications, amendments or supplements thereto.</w:t>
      </w:r>
    </w:p>
    <w:p>
      <w:pPr>
        <w:spacing w:after="0" w:line="18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Determinations to Honor Drawing Requests</w:t>
      </w:r>
      <w:r>
        <w:rPr>
          <w:rFonts w:ascii="Times New Roman" w:cs="Times New Roman" w:eastAsia="Times New Roman" w:hAnsi="Times New Roman"/>
          <w:sz w:val="20"/>
          <w:szCs w:val="20"/>
          <w:color w:val="auto"/>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17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Participation and Reimbursement Obligations</w:t>
      </w:r>
      <w:r>
        <w:rPr>
          <w:rFonts w:ascii="Times New Roman" w:cs="Times New Roman" w:eastAsia="Times New Roman" w:hAnsi="Times New Roman"/>
          <w:sz w:val="20"/>
          <w:szCs w:val="20"/>
          <w:color w:val="auto"/>
        </w:rPr>
        <w:t xml:space="preserve">. Each Revolving A-1 Loan Lender’s obligation in accordance with this Agreement to make the Revolving A-1 Loans or Participation Advances, as contemplated by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as a result of a drawing under a Letter of Credit, and the Obligations of the Borrower to reimburse the Issuing Lender upon a draw under a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62" w:name="page163"/>
    <w:bookmarkEnd w:id="162"/>
    <w:p>
      <w:pPr>
        <w:ind w:right="20"/>
        <w:spacing w:after="0" w:line="268" w:lineRule="auto"/>
        <w:rPr>
          <w:sz w:val="20"/>
          <w:szCs w:val="20"/>
          <w:color w:val="auto"/>
        </w:rPr>
      </w:pPr>
      <w:r>
        <w:rPr>
          <w:rFonts w:ascii="Times New Roman" w:cs="Times New Roman" w:eastAsia="Times New Roman" w:hAnsi="Times New Roman"/>
          <w:sz w:val="20"/>
          <w:szCs w:val="20"/>
          <w:color w:val="auto"/>
        </w:rPr>
        <w:t xml:space="preserve">of Credit, shall be absolute, unconditional and irrevocable, and shall be performed strictly in accordance with the terms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under all circumstances, including the following circumstances:</w:t>
      </w:r>
    </w:p>
    <w:p>
      <w:pPr>
        <w:spacing w:after="0" w:line="161" w:lineRule="exact"/>
        <w:rPr>
          <w:sz w:val="20"/>
          <w:szCs w:val="20"/>
          <w:color w:val="auto"/>
        </w:rPr>
      </w:pPr>
    </w:p>
    <w:p>
      <w:pPr>
        <w:jc w:val="both"/>
        <w:ind w:firstLine="1952"/>
        <w:spacing w:after="0" w:line="249" w:lineRule="auto"/>
        <w:tabs>
          <w:tab w:leader="none" w:pos="25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set-off, counterclaim, recoupment, defense or other right that such Revolving A-1 Loan Lender may have against the Issuing Lender or any of its Affiliates, the Borrower or any other Person for any reason whatsoever, or that any Loan Party may have against the Issuing Lender or any of its Affiliates, any Lender or any other Person for any reason whatsoever;</w:t>
      </w:r>
    </w:p>
    <w:p>
      <w:pPr>
        <w:spacing w:after="0" w:line="179"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failure of any Loan Party or any other Person to comply, in connection with a Letter of Credit Borrowing, with the conditions set forth in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or as otherwise set forth in this Agreement for the making of a Revolving A-1 Loan, it being acknowledged that such conditions are not required for the making of a Letter of Credit Borrowing and the obligation of the Revolving A-1 Loan Lenders to make Participation Advances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any Letter of Credit;</w:t>
      </w:r>
    </w:p>
    <w:p>
      <w:pPr>
        <w:spacing w:after="0" w:line="21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of breach of warranty that might be made by any Loan Party or any Lender against any beneficiary of a Letter of Credit, or the existence of any claim, set-off, recoupment, counterclaim, crossclaim, defense or other right that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spacing w:after="0" w:line="18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spacing w:after="0" w:line="184" w:lineRule="exact"/>
        <w:rPr>
          <w:rFonts w:ascii="Times New Roman" w:cs="Times New Roman" w:eastAsia="Times New Roman" w:hAnsi="Times New Roman"/>
          <w:sz w:val="20"/>
          <w:szCs w:val="20"/>
          <w:color w:val="auto"/>
        </w:rPr>
      </w:pPr>
    </w:p>
    <w:p>
      <w:pPr>
        <w:jc w:val="both"/>
        <w:ind w:firstLine="1952"/>
        <w:spacing w:after="0" w:line="295" w:lineRule="auto"/>
        <w:tabs>
          <w:tab w:leader="none" w:pos="2592"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by the Issuing Lender or any of its Affiliates under any Letter of Credit against presentation of a demand, draft or certificate or other document that does not comply with the terms of such Letter of Credit;</w:t>
      </w:r>
    </w:p>
    <w:p>
      <w:pPr>
        <w:spacing w:after="0" w:line="137" w:lineRule="exact"/>
        <w:rPr>
          <w:rFonts w:ascii="Times New Roman" w:cs="Times New Roman" w:eastAsia="Times New Roman" w:hAnsi="Times New Roman"/>
          <w:sz w:val="19"/>
          <w:szCs w:val="19"/>
          <w:color w:val="auto"/>
        </w:rPr>
      </w:pPr>
    </w:p>
    <w:p>
      <w:pPr>
        <w:jc w:val="both"/>
        <w:ind w:firstLine="1952"/>
        <w:spacing w:after="0" w:line="254" w:lineRule="auto"/>
        <w:tabs>
          <w:tab w:leader="none" w:pos="259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7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Issuing Lender or any of its Affiliates to issue any Letter of Credit in the form requested by any Loan Party, unless the Issuing Lender has received written notice from such Loan Party of such failure within three Business Days after the Issuing Lender shall have furnished such Loan Party and the Administrative Agent a copy of such Letter of Credit and such error is material and no drawing has been made thereon prior to receipt of such notice;</w:t>
      </w:r>
    </w:p>
    <w:p>
      <w:pPr>
        <w:spacing w:after="0" w:line="18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business, operations, properties, assets or condition (financial or otherwise) of any Loan Party or Subsidiaries of a Loan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3" w:name="page164"/>
    <w:bookmarkEnd w:id="163"/>
    <w:p>
      <w:pPr>
        <w:ind w:left="2600" w:hanging="648"/>
        <w:spacing w:after="0"/>
        <w:tabs>
          <w:tab w:leader="none" w:pos="2600"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this Agreement or any other Loan Document by any party thereto;</w:t>
      </w:r>
    </w:p>
    <w:p>
      <w:pPr>
        <w:spacing w:after="0" w:line="21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continuance of an Insolvency Proceeding with respect to any Loan Party;</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an Event of Default or a Default shall have occurred and be continuing;</w:t>
      </w:r>
    </w:p>
    <w:p>
      <w:pPr>
        <w:spacing w:after="0" w:line="215"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the Maturity Date shall have passed or this Agreement or the Commitments hereunder shall have been terminated; and</w:t>
      </w:r>
    </w:p>
    <w:p>
      <w:pPr>
        <w:spacing w:after="0" w:line="15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foregoing.</w:t>
      </w:r>
    </w:p>
    <w:p>
      <w:pPr>
        <w:spacing w:after="0" w:line="193"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The Borrower hereby agrees to protect, indemnify, pay and save harmless the Issuing Lender from and against any and all claims, demands, liabilities, damages, penalties, interest, judgments, losses, costs, charges and expenses (including reasonable fees, expenses and disbursements of counsel and allocated costs of internal counsel) that the Issuing Lender may incur or be subject to as a consequence, direct or indirect, of the issuance of any Letter of Credit, other than as a result of the gross negligence or willful misconduct of the Issuing Lender as determined by a final, non-appealable judgment of a court of competent jurisdiction.</w:t>
      </w:r>
    </w:p>
    <w:p>
      <w:pPr>
        <w:spacing w:after="0" w:line="184"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44" w:val="left"/>
        </w:tabs>
        <w:numPr>
          <w:ilvl w:val="1"/>
          <w:numId w:val="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Liability for Acts and Omissions</w:t>
      </w:r>
      <w:r>
        <w:rPr>
          <w:rFonts w:ascii="Times New Roman" w:cs="Times New Roman" w:eastAsia="Times New Roman" w:hAnsi="Times New Roman"/>
          <w:sz w:val="19"/>
          <w:szCs w:val="19"/>
          <w:color w:val="auto"/>
        </w:rPr>
        <w:t>. As between any Loan Party and the Issuing Lender,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that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w:t>
      </w:r>
    </w:p>
    <w:p>
      <w:pPr>
        <w:spacing w:after="0" w:line="8" w:lineRule="exact"/>
        <w:rPr>
          <w:rFonts w:ascii="Times New Roman" w:cs="Times New Roman" w:eastAsia="Times New Roman" w:hAnsi="Times New Roman"/>
          <w:sz w:val="19"/>
          <w:szCs w:val="19"/>
          <w:color w:val="auto"/>
        </w:rPr>
      </w:pPr>
    </w:p>
    <w:p>
      <w:pPr>
        <w:jc w:val="both"/>
        <w:ind w:firstLine="8"/>
        <w:spacing w:after="0"/>
        <w:tabs>
          <w:tab w:leader="none" w:pos="49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consequences arising from causes beyond the control of the Issuing Lender or its Affiliates, as applicable, including any act or omission of any Governmental Authority,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or breach in bad faith by the Issuing Lender of its obligations under this Agreement (as determined by a court of competent jurisdiction in a final, non-appealable judgment) in connection with actions or omissions described in such clauses (i) through (viii) of such sentence. In no event shall the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4" w:name="page165"/>
    <w:bookmarkEnd w:id="164"/>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Lender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spacing w:after="0" w:line="176"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93"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Borrower or any Lender.</w:t>
      </w:r>
    </w:p>
    <w:p>
      <w:pPr>
        <w:spacing w:after="0" w:line="180" w:lineRule="exact"/>
        <w:rPr>
          <w:sz w:val="20"/>
          <w:szCs w:val="20"/>
          <w:color w:val="auto"/>
        </w:rPr>
      </w:pPr>
    </w:p>
    <w:p>
      <w:pPr>
        <w:jc w:val="both"/>
        <w:ind w:firstLine="1304"/>
        <w:spacing w:after="0" w:line="246" w:lineRule="auto"/>
        <w:tabs>
          <w:tab w:leader="none" w:pos="19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Lender Reporting Requirements</w:t>
      </w:r>
      <w:r>
        <w:rPr>
          <w:rFonts w:ascii="Times New Roman" w:cs="Times New Roman" w:eastAsia="Times New Roman" w:hAnsi="Times New Roman"/>
          <w:sz w:val="20"/>
          <w:szCs w:val="20"/>
          <w:color w:val="auto"/>
        </w:rPr>
        <w:t>. The Issuing Lender shall, on the first Business Day of each month, provide to the Administrative Agent and the Borrower a schedule of the Letters of Credit issued by it, in form and substance satisfactory to the Administrative Agent, showing the date of issuance of each Letter of Credit, the account party, the original face amount (if any), and the Maturity Date of any Letter of Credit outstanding at any time during the preceding month, and any other information relating to such Letter of Credit that the Administrative Agent may request.</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Unless otherwise agreed by the Issuing Lender, the Borrower and the beneficiary of a Letter of Credit, the rules of the International Standby Practices as most recently published from time to time by the International Chamber of Commerce (the “</w:t>
      </w:r>
      <w:r>
        <w:rPr>
          <w:rFonts w:ascii="Times New Roman" w:cs="Times New Roman" w:eastAsia="Times New Roman" w:hAnsi="Times New Roman"/>
          <w:sz w:val="20"/>
          <w:szCs w:val="20"/>
          <w:b w:val="1"/>
          <w:bCs w:val="1"/>
          <w:color w:val="auto"/>
        </w:rPr>
        <w:t>ISP</w:t>
      </w:r>
      <w:r>
        <w:rPr>
          <w:rFonts w:ascii="Times New Roman" w:cs="Times New Roman" w:eastAsia="Times New Roman" w:hAnsi="Times New Roman"/>
          <w:sz w:val="20"/>
          <w:szCs w:val="20"/>
          <w:color w:val="auto"/>
        </w:rPr>
        <w:t>”) shall apply to each Letter of Credit.</w:t>
      </w:r>
    </w:p>
    <w:p>
      <w:pPr>
        <w:spacing w:after="0" w:line="17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at any time, it becomes unlawful for an Issuing Lender to comply with any of its obligations under any Letter of Credit (including, but not limited to, as a result of any Sanctions), the obligations of such Issuing Lender with respect to such Letter of Credit shall be suspended (and all corresponding rights shall cease to accrue) until such time as it may again become lawful for such Issuing Lender to comply with its obligations under such Letter of Credit, and such Issuing Lender shall not be liable for any losses that the Borrower, any Loan Party or any of their respective Subsidiaries may incur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5" w:name="page166"/>
    <w:bookmarkEnd w:id="165"/>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b w:val="1"/>
          <w:bCs w:val="1"/>
          <w:u w:val="single" w:color="auto"/>
          <w:color w:val="auto"/>
        </w:rPr>
        <w:t>Payments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304"/>
        <w:spacing w:after="0" w:line="242" w:lineRule="auto"/>
        <w:tabs>
          <w:tab w:leader="none" w:pos="19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Generally</w:t>
      </w:r>
      <w:r>
        <w:rPr>
          <w:rFonts w:ascii="Times New Roman" w:cs="Times New Roman" w:eastAsia="Times New Roman" w:hAnsi="Times New Roman"/>
          <w:sz w:val="20"/>
          <w:szCs w:val="20"/>
          <w:color w:val="auto"/>
        </w:rPr>
        <w:t xml:space="preserve">. All payments and prepayments to be made in respect of principal, interest, Unused Commitment Fees, Letter of Credit Fees, other fees referred to in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or other fees or amounts due from the Borrower hereunder shall be payable prior to 11:00 a.m. on the date when due without presentment, demand, protest or notice of any kind, all of which are hereby expressly waived by the Borrower, and without set-off, counterclaim or other deduction of any nature, and an action therefor shall immediately accrue. Such payments shall be made to the Administrative Agent at the Principal Office for the account of the Lenders or the Issuing Lender to which they are owed, in each case in Dollars and in immediately available funds. The Administrative Agent shall promptly distribute such amounts to the Issuing Lender, Swing Line Lender and/or applicable Lenders in immediately available funds. The Administrative Agent’s and each Lender’s statement of account, ledger or other relevant record shall, in the absence of manifest error, be conclusive as the statement of the amount of principal of and interest on the Loans and other amounts owing under this Agreement and shall be deemed an “</w:t>
      </w:r>
      <w:r>
        <w:rPr>
          <w:rFonts w:ascii="Times New Roman" w:cs="Times New Roman" w:eastAsia="Times New Roman" w:hAnsi="Times New Roman"/>
          <w:sz w:val="20"/>
          <w:szCs w:val="20"/>
          <w:i w:val="1"/>
          <w:iCs w:val="1"/>
          <w:color w:val="auto"/>
        </w:rPr>
        <w:t>account stated</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the Borrower; Presumptions by the Administrative Agent</w:t>
      </w:r>
      <w:r>
        <w:rPr>
          <w:rFonts w:ascii="Times New Roman" w:cs="Times New Roman" w:eastAsia="Times New Roman" w:hAnsi="Times New Roman"/>
          <w:sz w:val="20"/>
          <w:szCs w:val="20"/>
          <w:color w:val="auto"/>
        </w:rPr>
        <w:t>. 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the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b w:val="1"/>
          <w:bCs w:val="1"/>
          <w:u w:val="single" w:color="auto"/>
          <w:color w:val="auto"/>
        </w:rPr>
        <w:t>Interest Payment Dates</w:t>
      </w:r>
      <w:r>
        <w:rPr>
          <w:rFonts w:ascii="Times New Roman" w:cs="Times New Roman" w:eastAsia="Times New Roman" w:hAnsi="Times New Roman"/>
          <w:sz w:val="20"/>
          <w:szCs w:val="20"/>
          <w:color w:val="auto"/>
        </w:rPr>
        <w:t xml:space="preserve">. Interest on Base Rate Loans shall be due and payable in arrears on each applicable </w:t>
      </w:r>
      <w:r>
        <w:rPr>
          <w:rFonts w:ascii="Times New Roman" w:cs="Times New Roman" w:eastAsia="Times New Roman" w:hAnsi="Times New Roman"/>
          <w:sz w:val="20"/>
          <w:szCs w:val="20"/>
          <w:b w:val="1"/>
          <w:bCs w:val="1"/>
          <w:u w:val="single" w:color="auto"/>
          <w:color w:val="auto"/>
        </w:rPr>
        <w:t>Interest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Date. Interest on Term SOFR Rate Loans shall be due and payable on the last day of each Interest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for those Loans and, if such Interest Period is longer than three (3) months, also on the date that is the three-month anniversary of the first day of such Interest Period. Interest on mandatory prepayments of principal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due on the date such mandatory prepayment is due. Interest on the principal amount of each Loan not constituting a Base Rate Loan or Term SOFR Rate Loan or on other monetary Obligation shall be due and payable on demand after such principal amount or other monetary Obligation becomes due and payable (whether on the stated Maturity Date, upon an accelerated Maturity Date or otherwise).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b w:val="1"/>
          <w:bCs w:val="1"/>
          <w:u w:val="single" w:color="auto"/>
          <w:color w:val="auto"/>
        </w:rPr>
        <w:t xml:space="preserve">Voluntary Prepayments </w:t>
      </w:r>
      <w:r>
        <w:rPr>
          <w:rFonts w:ascii="Times New Roman" w:cs="Times New Roman" w:eastAsia="Times New Roman" w:hAnsi="Times New Roman"/>
          <w:sz w:val="19"/>
          <w:szCs w:val="19"/>
          <w:color w:val="auto"/>
        </w:rPr>
        <w:t>and</w:t>
      </w:r>
      <w:r>
        <w:rPr>
          <w:rFonts w:ascii="Times New Roman" w:cs="Times New Roman" w:eastAsia="Times New Roman" w:hAnsi="Times New Roman"/>
          <w:sz w:val="19"/>
          <w:szCs w:val="19"/>
          <w:b w:val="1"/>
          <w:bCs w:val="1"/>
          <w:u w:val="single" w:color="auto"/>
          <w:color w:val="auto"/>
        </w:rPr>
        <w:t xml:space="preserve"> Reduction of Commitments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5" w:lineRule="auto"/>
        <w:tabs>
          <w:tab w:leader="none" w:pos="19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Prepay</w:t>
      </w:r>
      <w:r>
        <w:rPr>
          <w:rFonts w:ascii="Times New Roman" w:cs="Times New Roman" w:eastAsia="Times New Roman" w:hAnsi="Times New Roman"/>
          <w:sz w:val="20"/>
          <w:szCs w:val="20"/>
          <w:color w:val="auto"/>
        </w:rPr>
        <w:t xml:space="preserve">. The Borrower shall have the right at its option from time to time to prepay the Loans in whole or part without premium or penalty (except as provided in </w:t>
      </w:r>
      <w:r>
        <w:rPr>
          <w:rFonts w:ascii="Times New Roman" w:cs="Times New Roman" w:eastAsia="Times New Roman" w:hAnsi="Times New Roman"/>
          <w:sz w:val="20"/>
          <w:szCs w:val="20"/>
          <w:u w:val="single" w:color="auto"/>
          <w:color w:val="auto"/>
        </w:rPr>
        <w:t>Sections 11.3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Whenever the Borrower desires to prepay any part of the Loans, the Borrower shall provide a prepayment notice to the Administrative Agent by 11:00 a.m. at least (A) three (3) U.S. Government Securities Business Days prior to the date of prepayment of Term SOFR Rate Loans, (B) one (1) Business Day prior to the date of prepayment of Base Rate Loans, or (C) no later than 1:00 p.m. on the date of prepayment of Swing Line Loans, in each case, setting forth the following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66" w:name="page167"/>
    <w:bookmarkEnd w:id="166"/>
    <w:p>
      <w:pPr>
        <w:ind w:left="2600" w:hanging="648"/>
        <w:spacing w:after="0"/>
        <w:tabs>
          <w:tab w:leader="none" w:pos="260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which shall be a Business Day, on which the proposed prepayment is to be made;</w:t>
      </w:r>
    </w:p>
    <w:p>
      <w:pPr>
        <w:spacing w:after="0" w:line="21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indicating the application of the prepayment among Classes and Tranches of Loans and Borrowings, as applicable; and</w:t>
      </w:r>
    </w:p>
    <w:p>
      <w:pPr>
        <w:spacing w:after="0" w:line="15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principal amount of such prepayment, which shall not be less than the lesser of the following with respect to any Class of Loan: (A) the then outstanding principal amount of such Class of Loan, or (B) $1,000,000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prepayment to which this </w:t>
      </w:r>
      <w:r>
        <w:rPr>
          <w:rFonts w:ascii="Times New Roman" w:cs="Times New Roman" w:eastAsia="Times New Roman" w:hAnsi="Times New Roman"/>
          <w:sz w:val="20"/>
          <w:szCs w:val="20"/>
          <w:u w:val="single" w:color="auto"/>
          <w:color w:val="auto"/>
        </w:rPr>
        <w:t>Section 2.14(a)(iii)(B)</w:t>
      </w:r>
      <w:r>
        <w:rPr>
          <w:rFonts w:ascii="Times New Roman" w:cs="Times New Roman" w:eastAsia="Times New Roman" w:hAnsi="Times New Roman"/>
          <w:sz w:val="20"/>
          <w:szCs w:val="20"/>
          <w:color w:val="auto"/>
        </w:rPr>
        <w:t xml:space="preserve"> applies shall be in integral multiples of $500,000).</w:t>
      </w:r>
    </w:p>
    <w:p>
      <w:pPr>
        <w:spacing w:after="0" w:line="18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Except as otherwise provided herein with respect to refinancings, all prepayment notices shall be irrevocable. The principal amount of the Loans for which a prepayment notice is given, together with interest on such principal amount, shall be due and payable on the date specified in such prepayment notice as the date on which the proposed prepayment is to be made. Voluntary prepayments shall be applied to any outstanding Term Loans and Revolving Loans as the Borrower may direct;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prepayments with respect to Term Loans permitted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applied pro rata among all Tranches of Term Loans and all prepayments with respect to Revolving Loans permitted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applied pro rata among all Tranches of Revolving Loans and, in each case, to the remaining scheduled installments of principal in direct order of maturity (meaning that the earliest maturity will be repaid first) as applicable. If the Borrower prepays a Loan but the Borrower fails to specify the applicable Class and/or Borrowing that the Borrower intends to prepay or if an Event of Default has occurred and is continuing, then such prepayment shall be applied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ratably to all outstanding Revolving Loans that are Base Rate Loans,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ratably to all outstanding Revolving Loans that are Term SOFR Rate Loans,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ratably to all outstanding Term Loans that are Base Rate Loans in direct order of maturity,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ratably to all outstanding Term Loans that are Term SOFR Rate Loans in direct order of maturity. Any prepayment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hereunder shall include all interest and fees due and payable with respect to the Loan being prepaid and shall be subject to the Borrower’s Obligation to indemnify the Lenders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Notwithstanding the foregoing, any prepayment notice delivered may be contingent upon the consummation of a refinancing or the consummation of any transaction, and (x) the repayment date therefor may be amended from time to time by notice from the Borrower to the Administrative Agent and/or (y) such prepayment notice may be revoked by the Borrower in the event such refinancing or the consummation of any transaction is not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such contingency shall not relieve the Borrower from their obligations in respect thereof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1960" w:hanging="656"/>
        <w:spacing w:after="0"/>
        <w:tabs>
          <w:tab w:leader="none" w:pos="196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Reduction of Revolving Commitments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commitment reductions pursuant to </w:t>
      </w:r>
      <w:r>
        <w:rPr>
          <w:rFonts w:ascii="Times New Roman" w:cs="Times New Roman" w:eastAsia="Times New Roman" w:hAnsi="Times New Roman"/>
          <w:sz w:val="20"/>
          <w:szCs w:val="20"/>
          <w:u w:val="single" w:color="auto"/>
          <w:color w:val="auto"/>
        </w:rPr>
        <w:t>Section 2.14(b)(iii)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2.15(g)</w:t>
      </w:r>
      <w:r>
        <w:rPr>
          <w:rFonts w:ascii="Times New Roman" w:cs="Times New Roman" w:eastAsia="Times New Roman" w:hAnsi="Times New Roman"/>
          <w:sz w:val="20"/>
          <w:szCs w:val="20"/>
          <w:color w:val="auto"/>
        </w:rPr>
        <w:t xml:space="preserve">, the Revolving Commitments shall be permanently reduced and terminated in full on the applicable Maturity Date with respect to the applicable Revolving Credit Facility. Any outstanding principal balance of the applicable Revolving Loans not sooner due and payable will become due and payable on such Maturity Date and shall be accompanied by accrued interest on the amount repaid, any applicable fees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any other fees required hereunder.</w:t>
      </w:r>
    </w:p>
    <w:p>
      <w:pPr>
        <w:spacing w:after="0" w:line="1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the right at any time after the Closing Date upon five (5) days’ prior written notice by the Borrower to the Administrative Agent to permanently reduce (ratably among the Revolving Lenders, as applicable, in proportion to their Pro Rata Shares of the applicable Tranche) the Revolving Commitments with respect to any Tranche of Revolving Loans,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7" w:name="page168"/>
    <w:bookmarkEnd w:id="167"/>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minimum amount of $1,000,000 and whole multiples of $500,000, or to terminate completely the applicable Revolving Commitments, without penalty or premium except as hereinafter set forth;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Revolving Commitments, any such reduction or termination shall be accompanied by prepayment of the applicable Tranche of Revolving Loans, together with outstanding Unused Commitment Fees applicable to such Tranche of Revolving Loans and the full amount of interest accrued on the principal sum to be prepaid (and all amounts referred to in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xml:space="preserve"> hereof) to the extent necessary to cause the aggregate Revolving Credit Facility Usage of the applicable Revolving Credit Facility after giving effect to such prepayments to be equal to or less than the applicable Revolving Commitments of such Tranche of Revolving Loans as so reduced or terminated. Any notice to reduce the Revolving Commitments under this </w:t>
      </w:r>
      <w:r>
        <w:rPr>
          <w:rFonts w:ascii="Times New Roman" w:cs="Times New Roman" w:eastAsia="Times New Roman" w:hAnsi="Times New Roman"/>
          <w:sz w:val="19"/>
          <w:szCs w:val="19"/>
          <w:u w:val="single" w:color="auto"/>
          <w:color w:val="auto"/>
        </w:rPr>
        <w:t>Section 2.14(b)</w:t>
      </w:r>
    </w:p>
    <w:p>
      <w:pPr>
        <w:jc w:val="both"/>
        <w:ind w:firstLine="8"/>
        <w:spacing w:after="0" w:line="241" w:lineRule="auto"/>
        <w:tabs>
          <w:tab w:leader="none" w:pos="408" w:val="left"/>
        </w:tabs>
        <w:numPr>
          <w:ilvl w:val="0"/>
          <w:numId w:val="1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be irrevocable; provided that any reduction or termination notice delivered may be contingent upon the consummation of a refinancing or the consummation of any transaction, and such reduction or termination notice may be revoked (or amended) by the Borrower in the event such refinancing or the consummation of any transaction is not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such contingency shall not relieve the Borrower from their obligations in respect thereof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b w:val="1"/>
          <w:bCs w:val="1"/>
          <w:u w:val="single" w:color="auto"/>
          <w:color w:val="auto"/>
        </w:rPr>
        <w:t>Mandatory Prepayments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5" w:lineRule="auto"/>
        <w:tabs>
          <w:tab w:leader="none" w:pos="194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Overadvances</w:t>
      </w:r>
      <w:r>
        <w:rPr>
          <w:rFonts w:ascii="Times New Roman" w:cs="Times New Roman" w:eastAsia="Times New Roman" w:hAnsi="Times New Roman"/>
          <w:sz w:val="20"/>
          <w:szCs w:val="20"/>
          <w:color w:val="auto"/>
        </w:rPr>
        <w:t>. If at any time the Revolving Credit Facility Usage for any Tranche of Revolving Loans exceeds the Revolving Commitments for such Tranche (each, an “</w:t>
      </w:r>
      <w:r>
        <w:rPr>
          <w:rFonts w:ascii="Times New Roman" w:cs="Times New Roman" w:eastAsia="Times New Roman" w:hAnsi="Times New Roman"/>
          <w:sz w:val="20"/>
          <w:szCs w:val="20"/>
          <w:b w:val="1"/>
          <w:bCs w:val="1"/>
          <w:color w:val="auto"/>
        </w:rPr>
        <w:t>Overadvance</w:t>
      </w:r>
      <w:r>
        <w:rPr>
          <w:rFonts w:ascii="Times New Roman" w:cs="Times New Roman" w:eastAsia="Times New Roman" w:hAnsi="Times New Roman"/>
          <w:sz w:val="20"/>
          <w:szCs w:val="20"/>
          <w:color w:val="auto"/>
        </w:rPr>
        <w:t>”), the Borrower shall prepay the Revolving Loans of such Tranche, and, if applicable to such Tranche, Swing Line Loans (or Cash Collateralize Letter of Credit Obligations, if prepayment in full of such Tranche of Revolving Loans and the Swing Line Loans is not sufficient), in such amounts as shall be necessary so that Revolving Credit Facility Usage for such Tranche does not exceed the applicable Revolving Commitments.</w:t>
      </w:r>
    </w:p>
    <w:p>
      <w:pPr>
        <w:spacing w:after="0" w:line="18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Disposition of Assets</w:t>
      </w:r>
      <w:r>
        <w:rPr>
          <w:rFonts w:ascii="Times New Roman" w:cs="Times New Roman" w:eastAsia="Times New Roman" w:hAnsi="Times New Roman"/>
          <w:sz w:val="20"/>
          <w:szCs w:val="20"/>
          <w:color w:val="auto"/>
        </w:rPr>
        <w:t xml:space="preserve">. Promptly (and in any event within five (5) Business Days) upon the receipt by any Loan Party or Restricted Subsidiary of the Net Cash Proceeds from any Disposition by any Loan Party or any Restricted Subsidiary not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7.8(n) and (o)</w:t>
      </w:r>
      <w:r>
        <w:rPr>
          <w:rFonts w:ascii="Times New Roman" w:cs="Times New Roman" w:eastAsia="Times New Roman" w:hAnsi="Times New Roman"/>
          <w:sz w:val="20"/>
          <w:szCs w:val="20"/>
          <w:color w:val="auto"/>
        </w:rPr>
        <w:t xml:space="preserve">), the Borrower shall prepay, or cause such other Loan Party or Restricted Subsidiary to prepay, Obligations in an aggregate amount equal to 100% of the Net Cash Proceeds of such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Default or Event of Default shall have occurred and be continuing or would result therefrom, the Borrower shall not be required to prepay the Obligations with such Net Cash Proceeds to the extent such Net Cash Proceeds, together with all other Net Cash Proceeds from Dispositions in the preceding twelve months, do not exceed in the aggregate amount the greater of (i) $5,000,000 and (ii) 10% of EBITDA of the Borrower and the Restricted Subsidiaries for the Test Period. All such proceeds shall be paid and applied in accordance with </w:t>
      </w:r>
      <w:r>
        <w:rPr>
          <w:rFonts w:ascii="Times New Roman" w:cs="Times New Roman" w:eastAsia="Times New Roman" w:hAnsi="Times New Roman"/>
          <w:sz w:val="20"/>
          <w:szCs w:val="20"/>
          <w:u w:val="single" w:color="auto"/>
          <w:color w:val="auto"/>
        </w:rPr>
        <w:t>Sections 2.15(g)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Notwithstanding anything herein to the contrary, no such mandatory prepayment shall constitute or be deemed to constitute a cure of any Default or Event of Default arising as a result of the Disposition giving rise to such prepayment obligation.</w:t>
      </w:r>
    </w:p>
    <w:p>
      <w:pPr>
        <w:spacing w:after="0" w:line="187"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Casualty Events</w:t>
      </w:r>
      <w:r>
        <w:rPr>
          <w:rFonts w:ascii="Times New Roman" w:cs="Times New Roman" w:eastAsia="Times New Roman" w:hAnsi="Times New Roman"/>
          <w:sz w:val="20"/>
          <w:szCs w:val="20"/>
          <w:color w:val="auto"/>
        </w:rPr>
        <w:t>. Promptly (and in any event within five (5) Business Days) upon the receipt by any Loan Party or Restricted Subsidiary thereof of the Net Cash Proceeds of any Casualty Event or series of related Casualty Events affecting any property of any Loan Party or any Restricted Subsidiary, the Borrower shall prepay, or cause such other Loan Party or Restricted Subsidiary thereof to prepay, Obligations in an aggregate amount equal to 100% of the Net Cash Proceeds of such Casualty Event(s); provided that, so long as no Default or Event of Default shall have occurred and be continuing or would result therefrom, the Borrower shall not be required to prepay the Obligations with such Net Cash Proceeds to the extent such Net Cash Proceeds, together with all other Net Cash Proceeds from Casualty Events in the preceding twelve months, do not exceed in the aggregate amount the greater of (i) $5,000,000 and (ii) 10% of EBITDA of the Borrower and the Restricted Subsidiaries for the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8" w:name="page169"/>
    <w:bookmarkEnd w:id="168"/>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Period. All such proceeds shall be paid and applied in accordance with </w:t>
      </w:r>
      <w:r>
        <w:rPr>
          <w:rFonts w:ascii="Times New Roman" w:cs="Times New Roman" w:eastAsia="Times New Roman" w:hAnsi="Times New Roman"/>
          <w:sz w:val="20"/>
          <w:szCs w:val="20"/>
          <w:u w:val="single" w:color="auto"/>
          <w:color w:val="auto"/>
        </w:rPr>
        <w:t>Sections 2.15(g)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Notwithstanding anything herein to the contrary, no such mandatory prepayment shall constitute or be deemed to constitute a cure of any Default or Event of Default arising as a result of such Casualty Event(s) giving rise to such prepayment obligation.</w:t>
      </w:r>
    </w:p>
    <w:p>
      <w:pPr>
        <w:spacing w:after="0" w:line="176" w:lineRule="exact"/>
        <w:rPr>
          <w:sz w:val="20"/>
          <w:szCs w:val="20"/>
          <w:color w:val="auto"/>
        </w:rPr>
      </w:pPr>
    </w:p>
    <w:p>
      <w:pPr>
        <w:ind w:left="1960" w:hanging="656"/>
        <w:spacing w:after="0"/>
        <w:tabs>
          <w:tab w:leader="none" w:pos="19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4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Debt Incurrence</w:t>
      </w:r>
      <w:r>
        <w:rPr>
          <w:rFonts w:ascii="Times New Roman" w:cs="Times New Roman" w:eastAsia="Times New Roman" w:hAnsi="Times New Roman"/>
          <w:sz w:val="19"/>
          <w:szCs w:val="19"/>
          <w:color w:val="auto"/>
        </w:rPr>
        <w:t xml:space="preserve">. Promptly (and in any event within five (5) Business Days) upon the receipt by any Loan Party or Restricted Subsidiary thereof of the Net Cash Proceeds of any Debt Incurrence, other than a Debt Incurrence permitted under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the Borrower shall prepay, or cause such other Loan Party or Restricted Subsidiary to prepay, Obligations in an amount equal to 100% of the amount of such Net Cash Proceeds. All such proceeds shall be paid and applied in accordance with </w:t>
      </w:r>
      <w:r>
        <w:rPr>
          <w:rFonts w:ascii="Times New Roman" w:cs="Times New Roman" w:eastAsia="Times New Roman" w:hAnsi="Times New Roman"/>
          <w:sz w:val="19"/>
          <w:szCs w:val="19"/>
          <w:u w:val="single" w:color="auto"/>
          <w:color w:val="auto"/>
        </w:rPr>
        <w:t>Sections 2.15(g)</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Notwithstanding anything herein to the contrary, any such prepayment shall not constitute or be deemed to be a cure of any Default or Event of Default arising as a result of such Debt Incurrence.</w:t>
      </w:r>
    </w:p>
    <w:p>
      <w:pPr>
        <w:spacing w:after="0" w:line="172"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55" w:lineRule="auto"/>
        <w:tabs>
          <w:tab w:leader="none" w:pos="1944" w:val="left"/>
        </w:tabs>
        <w:numPr>
          <w:ilvl w:val="0"/>
          <w:numId w:val="1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 Among Obligations</w:t>
      </w:r>
      <w:r>
        <w:rPr>
          <w:rFonts w:ascii="Times New Roman" w:cs="Times New Roman" w:eastAsia="Times New Roman" w:hAnsi="Times New Roman"/>
          <w:sz w:val="19"/>
          <w:szCs w:val="19"/>
          <w:color w:val="auto"/>
        </w:rPr>
        <w:t xml:space="preserve">. All prepayments pursuant to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shall be applied,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prepay any Overadvances that may be outstanding, pro rata,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prepay any remaining scheduled principal payments of the Term Loans, pro rata among all Tranches, in direct order of scheduled maturities (meaning that the earliest maturity will be repaid first);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prepayments of the Revolving A-1 Loans, such prepayment shall be applied to repay any outstanding Revolving A-1 Loans and Swing Line Loans and to Cash Collateralize outstanding Letter of Credit Obligations on a pro rata basis. Each Term Lender may reject all or a portion of its Pro Rata Share of any mandatory prepayment (such declined amounts, the “</w:t>
      </w:r>
      <w:r>
        <w:rPr>
          <w:rFonts w:ascii="Times New Roman" w:cs="Times New Roman" w:eastAsia="Times New Roman" w:hAnsi="Times New Roman"/>
          <w:sz w:val="19"/>
          <w:szCs w:val="19"/>
          <w:b w:val="1"/>
          <w:bCs w:val="1"/>
          <w:color w:val="auto"/>
        </w:rPr>
        <w:t>Declined Proceeds</w:t>
      </w:r>
      <w:r>
        <w:rPr>
          <w:rFonts w:ascii="Times New Roman" w:cs="Times New Roman" w:eastAsia="Times New Roman" w:hAnsi="Times New Roman"/>
          <w:sz w:val="19"/>
          <w:szCs w:val="19"/>
          <w:color w:val="auto"/>
        </w:rPr>
        <w:t>”) of Term Loans required to be made pursuant to clause (b), (c) or (e) of this Section 2.15 by providing written notice (each, a “</w:t>
      </w:r>
      <w:r>
        <w:rPr>
          <w:rFonts w:ascii="Times New Roman" w:cs="Times New Roman" w:eastAsia="Times New Roman" w:hAnsi="Times New Roman"/>
          <w:sz w:val="19"/>
          <w:szCs w:val="19"/>
          <w:b w:val="1"/>
          <w:bCs w:val="1"/>
          <w:color w:val="auto"/>
        </w:rPr>
        <w:t>Rejection Notice</w:t>
      </w:r>
      <w:r>
        <w:rPr>
          <w:rFonts w:ascii="Times New Roman" w:cs="Times New Roman" w:eastAsia="Times New Roman" w:hAnsi="Times New Roman"/>
          <w:sz w:val="19"/>
          <w:szCs w:val="19"/>
          <w:color w:val="auto"/>
        </w:rPr>
        <w:t>”) to the Administrative Agent and the Borrower no later than 5:00 p.m. one (1) Business Day prior to the proposed date of such prepayment. Each Rejection Notice from a given Term Lender shall specify the principal amount of the mandatory repayment of Term Loans to be rejected by such Term Lender. If a Term Lender fails to deliver a Rejection Notice to the Administrative Agent within the time frame specified above, any such failure will be deemed an acceptance of the total amount of such mandatory prepayment of Term Loans. If a Term Lender delivers a Rejection Notice to the Administrative Agent within the time frame specified above, but fails to specify the principal amount of the Term Loans to be rejected, such Term Lender will be deemed to reject the total amount of such mandatory prepayment. Any Declined Proceeds remaining thereafter may be retained by the Borrower and/or applied, at the discretion of the Borrower, for any purpose not otherwise prohibited by this Agreement.</w:t>
      </w:r>
    </w:p>
    <w:p>
      <w:pPr>
        <w:spacing w:after="0" w:line="173" w:lineRule="exact"/>
        <w:rPr>
          <w:rFonts w:ascii="Times New Roman" w:cs="Times New Roman" w:eastAsia="Times New Roman" w:hAnsi="Times New Roman"/>
          <w:sz w:val="19"/>
          <w:szCs w:val="19"/>
          <w:color w:val="auto"/>
        </w:rPr>
      </w:pPr>
    </w:p>
    <w:p>
      <w:pPr>
        <w:jc w:val="both"/>
        <w:ind w:firstLine="1304"/>
        <w:spacing w:after="0" w:line="245" w:lineRule="auto"/>
        <w:tabs>
          <w:tab w:leader="none" w:pos="19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Payments; Application Among Interest Rate Options</w:t>
      </w:r>
      <w:r>
        <w:rPr>
          <w:rFonts w:ascii="Times New Roman" w:cs="Times New Roman" w:eastAsia="Times New Roman" w:hAnsi="Times New Roman"/>
          <w:sz w:val="20"/>
          <w:szCs w:val="20"/>
          <w:color w:val="auto"/>
        </w:rPr>
        <w:t xml:space="preserve">. All prepayments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accompanied by accrued and unpaid interest upon the principal amount of each such prepayment. Subject to </w:t>
      </w:r>
      <w:r>
        <w:rPr>
          <w:rFonts w:ascii="Times New Roman" w:cs="Times New Roman" w:eastAsia="Times New Roman" w:hAnsi="Times New Roman"/>
          <w:sz w:val="20"/>
          <w:szCs w:val="20"/>
          <w:u w:val="single" w:color="auto"/>
          <w:color w:val="auto"/>
        </w:rPr>
        <w:t>Section 2.15(g)</w:t>
      </w:r>
      <w:r>
        <w:rPr>
          <w:rFonts w:ascii="Times New Roman" w:cs="Times New Roman" w:eastAsia="Times New Roman" w:hAnsi="Times New Roman"/>
          <w:sz w:val="20"/>
          <w:szCs w:val="20"/>
          <w:color w:val="auto"/>
        </w:rPr>
        <w:t xml:space="preserve">, all prepayments required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first be applied to Base Rate Loans and then to Term SOFR Rate Loans. In accordance with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the Borrower shall indemnify the Lenders for any loss or expense, including loss of margin, incurred with respect to any such prepayments applied against Term SOFR Rate Loans on any day other than the last day of the applicable Interest Period.</w:t>
      </w:r>
    </w:p>
    <w:p>
      <w:pPr>
        <w:spacing w:after="0" w:line="18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AHYDO</w:t>
      </w:r>
      <w:r>
        <w:rPr>
          <w:rFonts w:ascii="Times New Roman" w:cs="Times New Roman" w:eastAsia="Times New Roman" w:hAnsi="Times New Roman"/>
          <w:sz w:val="20"/>
          <w:szCs w:val="20"/>
          <w:color w:val="auto"/>
        </w:rPr>
        <w:t>. Notwithstanding anything to the contrary herein, although the parties acknowledge and agree that the “applicable high yield discount obligations” (“</w:t>
      </w:r>
      <w:r>
        <w:rPr>
          <w:rFonts w:ascii="Times New Roman" w:cs="Times New Roman" w:eastAsia="Times New Roman" w:hAnsi="Times New Roman"/>
          <w:sz w:val="20"/>
          <w:szCs w:val="20"/>
          <w:u w:val="single" w:color="auto"/>
          <w:color w:val="auto"/>
        </w:rPr>
        <w:t>AHYDO</w:t>
      </w:r>
      <w:r>
        <w:rPr>
          <w:rFonts w:ascii="Times New Roman" w:cs="Times New Roman" w:eastAsia="Times New Roman" w:hAnsi="Times New Roman"/>
          <w:sz w:val="20"/>
          <w:szCs w:val="20"/>
          <w:color w:val="auto"/>
        </w:rPr>
        <w:t>”) within the meaning of Section 163(i)(1) of the Code should not apply to the Term A-1 Loan, the parties intend that the Term A-1 Loan will not be treated as an AHYDO within the meaning of Section 163(i)(1)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69" w:name="page170"/>
    <w:bookmarkEnd w:id="169"/>
    <w:p>
      <w:pPr>
        <w:jc w:val="both"/>
        <w:spacing w:after="0" w:line="246" w:lineRule="auto"/>
        <w:rPr>
          <w:sz w:val="20"/>
          <w:szCs w:val="20"/>
          <w:color w:val="auto"/>
        </w:rPr>
      </w:pPr>
      <w:r>
        <w:rPr>
          <w:rFonts w:ascii="Times New Roman" w:cs="Times New Roman" w:eastAsia="Times New Roman" w:hAnsi="Times New Roman"/>
          <w:sz w:val="20"/>
          <w:szCs w:val="20"/>
          <w:color w:val="auto"/>
        </w:rPr>
        <w:t>Code. Accordingly, if applicable, in Borrower’s sole discretion, starting on the fifth (5th) anniversary of the Closing Date and prior to the end of each accrual period (as defined in Section 1272(a)(5) of the Code, if applicable) thereafter, the Borrower shall pay, if applicable, such amounts of accrued and unpaid interest or original issue discount (as determined for U.S. federal income tax purposes), if any, on the Term A-1 Loan as necessary to ensure that the Term A-1 Loan is not treated as having “significant original issue discount” within the meaning of Section 163(i) of the Code.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2.16 </w:t>
      </w:r>
      <w:r>
        <w:rPr>
          <w:rFonts w:ascii="Times New Roman" w:cs="Times New Roman" w:eastAsia="Times New Roman" w:hAnsi="Times New Roman"/>
          <w:sz w:val="19"/>
          <w:szCs w:val="19"/>
          <w:b w:val="1"/>
          <w:bCs w:val="1"/>
          <w:u w:val="single" w:color="auto"/>
          <w:color w:val="auto"/>
        </w:rPr>
        <w:t>Sharing of Payments by Lenders</w:t>
      </w:r>
      <w:r>
        <w:rPr>
          <w:rFonts w:ascii="Times New Roman" w:cs="Times New Roman" w:eastAsia="Times New Roman" w:hAnsi="Times New Roman"/>
          <w:sz w:val="19"/>
          <w:szCs w:val="19"/>
          <w:color w:val="auto"/>
        </w:rPr>
        <w:t xml:space="preserve">. If any Lender shall, by exercising any right of setoff, counterclaim or banker’s lien, by receipt of voluntary payment, by realization upon security, or by any other non-pro rata source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pro-rata share of the amount such Lender is entitled hereunder,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Obligations owing them,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such participations are purchased and all or any portion of the payment giving rise thereto is recovered, such participations shall be rescinded and the purchase price restored to the extent of such recovery, without interest other than interest or other amounts, if any, required by Law (including court order) to be paid by the Lender or the holder making such purchase; and</w:t>
      </w:r>
    </w:p>
    <w:p>
      <w:pPr>
        <w:spacing w:after="0" w:line="178" w:lineRule="exact"/>
        <w:rPr>
          <w:sz w:val="20"/>
          <w:szCs w:val="20"/>
          <w:color w:val="auto"/>
        </w:rPr>
      </w:pPr>
    </w:p>
    <w:p>
      <w:pPr>
        <w:jc w:val="both"/>
        <w:ind w:firstLine="1304"/>
        <w:spacing w:after="0" w:line="245" w:lineRule="auto"/>
        <w:tabs>
          <w:tab w:leader="none" w:pos="194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not be construed to apply to (x) any payment (including the application of funds arising from the existence of a Defaulting Lender) made by the Loan Parties pursuant to and in accordance with the express terms of the Loan Documents, (y) the application of Cash Collateral provided for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or (z) any payment obtained by a Lender as consideration for the assignment of or sale of a participation in any of its Loans or Participation Advances to any assignee or participant, other than to the Borrower, any other Loan Party or any Subsidiary thereof (as to which the provisions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apply).</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not apply to any action taken by CoBank with respect to any CoBank Equities held by the Borrower or any cash patronage, whether on account of foreclosure of any Lien thereon, retirement and cancellation of the same, exercise of setoff rights or otherwise.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b w:val="1"/>
          <w:bCs w:val="1"/>
          <w:u w:val="single" w:color="auto"/>
          <w:color w:val="auto"/>
        </w:rPr>
        <w:t>Defaulting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1304"/>
        <w:spacing w:after="0" w:line="254" w:lineRule="auto"/>
        <w:tabs>
          <w:tab w:leader="none" w:pos="194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Waivers and Amendments</w:t>
      </w:r>
      <w:r>
        <w:rPr>
          <w:rFonts w:ascii="Times New Roman" w:cs="Times New Roman" w:eastAsia="Times New Roman" w:hAnsi="Times New Roman"/>
          <w:sz w:val="20"/>
          <w:szCs w:val="20"/>
          <w:color w:val="auto"/>
        </w:rPr>
        <w:t>. Such Defaulting Lender’s right to approve or disapprove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amendment, waiver or consent with respect to this Agreement shall be restricted as set forth in the definition of Required Lenders.</w:t>
      </w:r>
    </w:p>
    <w:p>
      <w:pPr>
        <w:spacing w:after="0" w:line="168" w:lineRule="exact"/>
        <w:rPr>
          <w:rFonts w:ascii="Times New Roman" w:cs="Times New Roman" w:eastAsia="Times New Roman" w:hAnsi="Times New Roman"/>
          <w:sz w:val="20"/>
          <w:szCs w:val="20"/>
          <w:color w:val="auto"/>
        </w:rPr>
      </w:pPr>
    </w:p>
    <w:p>
      <w:pPr>
        <w:ind w:right="20" w:firstLine="1952"/>
        <w:spacing w:after="0" w:line="273" w:lineRule="auto"/>
        <w:tabs>
          <w:tab w:leader="none" w:pos="2592"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Defaulting Lender Waterfall</w:t>
      </w:r>
      <w:r>
        <w:rPr>
          <w:rFonts w:ascii="Times New Roman" w:cs="Times New Roman" w:eastAsia="Times New Roman" w:hAnsi="Times New Roman"/>
          <w:sz w:val="20"/>
          <w:szCs w:val="20"/>
          <w:color w:val="auto"/>
        </w:rPr>
        <w:t>. Any payment of principal, interest, fees or other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received by the Administrative Agent for the account of such Defaulting Lender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0" w:name="page171"/>
    <w:bookmarkEnd w:id="170"/>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voluntary or mandatory, at maturity,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9.2(c)</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Issuing Lender or Swing Line Lender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Cash Collateralize the Issuing Lender’s Fronting Exposure with respect to such Defaulting Lender in accordance with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if so determined by the Administrative Agent and the Borrower, to be held in a deposit account and released pro rata in order to</w:t>
      </w:r>
    </w:p>
    <w:p>
      <w:pPr>
        <w:spacing w:after="0" w:line="8" w:lineRule="exact"/>
        <w:rPr>
          <w:sz w:val="20"/>
          <w:szCs w:val="20"/>
          <w:color w:val="auto"/>
        </w:rPr>
      </w:pPr>
    </w:p>
    <w:p>
      <w:pPr>
        <w:jc w:val="both"/>
        <w:ind w:firstLine="8"/>
        <w:spacing w:after="0" w:line="239" w:lineRule="auto"/>
        <w:tabs>
          <w:tab w:leader="none" w:pos="28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to the payment of any amounts owing to the Lenders, the Issuing Lender or the Swing Line Lender as a result of any judgment of a court of competent jurisdiction obtained by any Lender, the Issuing Lender or the Swing 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(x) such payment is a payment of the principal amount of any Loans or Letter of Credit Obligations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were satisfied or waived, such payment shall be applied solely to pay the Loans of, and Letter of Credit Obligations owed to, all Non-Defaulting Lenders on a pro rata basis prior to being applied to the payment of any Loans of, or Letter of Credit Obligations owed to, such Defaulting Lender until such time as all Loans and funded and unfunded participations in Letter of Credit Obligations and Swing Line Loans are held by the Lenders pro rata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below.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9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Certain Fees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2600"/>
        <w:spacing w:after="0" w:line="254" w:lineRule="auto"/>
        <w:tabs>
          <w:tab w:leader="none" w:pos="3240" w:val="left"/>
        </w:tabs>
        <w:numPr>
          <w:ilvl w:val="2"/>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Defaulting Lender shall be entitled to receive any Unused Commitment Fee for any period during which that Lender is a Defaulting Lender (and the Borrower shall not be required to pay any such fee that otherwise would have been required to have been paid to that Defaulting Lender).</w:t>
      </w:r>
    </w:p>
    <w:p>
      <w:pPr>
        <w:spacing w:after="0" w:line="174" w:lineRule="exact"/>
        <w:rPr>
          <w:rFonts w:ascii="Times New Roman" w:cs="Times New Roman" w:eastAsia="Times New Roman" w:hAnsi="Times New Roman"/>
          <w:sz w:val="20"/>
          <w:szCs w:val="20"/>
          <w:color w:val="auto"/>
        </w:rPr>
      </w:pPr>
    </w:p>
    <w:p>
      <w:pPr>
        <w:jc w:val="both"/>
        <w:ind w:firstLine="2600"/>
        <w:spacing w:after="0" w:line="254" w:lineRule="auto"/>
        <w:tabs>
          <w:tab w:leader="none" w:pos="3240" w:val="left"/>
        </w:tabs>
        <w:numPr>
          <w:ilvl w:val="2"/>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2600"/>
        <w:spacing w:after="0" w:line="249" w:lineRule="auto"/>
        <w:tabs>
          <w:tab w:leader="none" w:pos="3240" w:val="left"/>
        </w:tabs>
        <w:numPr>
          <w:ilvl w:val="2"/>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Unused Commitment Fee or Letter of Credit Fee not required to be paid to any Defaulting Lender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above, the Borrower shall (x) pay to each Non-Defaulting Lender that portion of any such fee otherwise payable to such Defaulting Lender with respect to such Defaulting Lender’s participation in Letter of Credit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1" w:name="page172"/>
    <w:bookmarkEnd w:id="171"/>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or Swing Line Loans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below, (y) pay to the Issuing Lender and Swing Line Lender, as applicable, the amount of any such fee otherwise payable to such Defaulting Lender to the extent allocable to the Issuing Lender’s or Swing Line Lender’s Fronting Exposure to such Defaulting Lender, and (z) not be required to pay the remaining amount of any such fee.</w:t>
      </w:r>
    </w:p>
    <w:p>
      <w:pPr>
        <w:spacing w:after="0" w:line="175" w:lineRule="exact"/>
        <w:rPr>
          <w:sz w:val="20"/>
          <w:szCs w:val="20"/>
          <w:color w:val="auto"/>
        </w:rPr>
      </w:pPr>
    </w:p>
    <w:p>
      <w:pPr>
        <w:jc w:val="both"/>
        <w:ind w:firstLine="1952"/>
        <w:spacing w:after="0" w:line="243" w:lineRule="auto"/>
        <w:tabs>
          <w:tab w:leader="none" w:pos="2592"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Reallocation of Participations to Reduce Fronting Exposure</w:t>
      </w:r>
      <w:r>
        <w:rPr>
          <w:rFonts w:ascii="Times New Roman" w:cs="Times New Roman" w:eastAsia="Times New Roman" w:hAnsi="Times New Roman"/>
          <w:sz w:val="20"/>
          <w:szCs w:val="20"/>
          <w:color w:val="auto"/>
        </w:rPr>
        <w:t>. All or any part of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Defaulting Lender’s participation in Letter of Credit Obligations and Swing Line Loans shall be reallocated among the Revolving A-1 Loan Lenders that are Non-Defaulting Lenders in accordance with their respective Pro Rata Shares (calculated without regard to such Defaulting Lender’s Revolving A-1 Commitments) but only to the extent that such reallocation does not cause any such Non-Defaulting Lender’s Pro Rata Share of the Revolving A-1 Credit Facility Usage to exceed such Non-Defaulting Lender’s Revolving A-1 Commitments. Subject to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Revolving A-1 Loan Lender having become a Defaulting Lender, including any claim of a Non-Defaulting Lender as a result of such Non-Defaulting Lender’s increased exposure following such reallocation.</w:t>
      </w:r>
    </w:p>
    <w:p>
      <w:pPr>
        <w:spacing w:after="0" w:line="18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Collateral; Repayment of Swing Line Loans</w:t>
      </w:r>
      <w:r>
        <w:rPr>
          <w:rFonts w:ascii="Times New Roman" w:cs="Times New Roman" w:eastAsia="Times New Roman" w:hAnsi="Times New Roman"/>
          <w:sz w:val="20"/>
          <w:szCs w:val="20"/>
          <w:color w:val="auto"/>
        </w:rPr>
        <w:t>. If the reallocation described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w:t>
      </w:r>
    </w:p>
    <w:p>
      <w:pPr>
        <w:spacing w:after="0" w:line="25" w:lineRule="exact"/>
        <w:rPr>
          <w:rFonts w:ascii="Times New Roman" w:cs="Times New Roman" w:eastAsia="Times New Roman" w:hAnsi="Times New Roman"/>
          <w:sz w:val="20"/>
          <w:szCs w:val="20"/>
          <w:color w:val="auto"/>
        </w:rPr>
      </w:pPr>
    </w:p>
    <w:p>
      <w:pPr>
        <w:jc w:val="both"/>
        <w:ind w:firstLine="8"/>
        <w:spacing w:after="0" w:line="241" w:lineRule="auto"/>
        <w:tabs>
          <w:tab w:leader="none" w:pos="336" w:val="left"/>
        </w:tabs>
        <w:numPr>
          <w:ilvl w:val="0"/>
          <w:numId w:val="1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cannot, or can only partially, be effected, the Borrower shall, without prejudice to any right or remedy available to it hereunder or under Law, (x)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prepay Swing Line Loans in an amount equal to the Swing Line Lender’s Fronting Exposure and (y)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u w:val="single" w:color="auto"/>
          <w:color w:val="auto"/>
        </w:rPr>
      </w:pPr>
    </w:p>
    <w:p>
      <w:pPr>
        <w:jc w:val="both"/>
        <w:ind w:firstLine="1304"/>
        <w:spacing w:after="0" w:line="242" w:lineRule="auto"/>
        <w:tabs>
          <w:tab w:leader="none" w:pos="194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and the Swing 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pro rata by the Lenders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agreed by the affected parties, no change hereunder from Defaulting Lender to Lender will constitute a waiver or release of any claim of any party hereunder arising from that Lender’s having been a Defaulting Lender.</w:t>
      </w:r>
    </w:p>
    <w:p>
      <w:pPr>
        <w:spacing w:after="0" w:line="187"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 Line Loans/Letters of Credit</w:t>
      </w:r>
      <w:r>
        <w:rPr>
          <w:rFonts w:ascii="Times New Roman" w:cs="Times New Roman" w:eastAsia="Times New Roman" w:hAnsi="Times New Roman"/>
          <w:sz w:val="20"/>
          <w:szCs w:val="20"/>
          <w:color w:val="auto"/>
        </w:rPr>
        <w:t>. So long as any Lender is a Defaulting Lender, (i) the Swing Line Lender shall not be required to fund any Swing Line Loans unless it is satisfied that it will have no Fronting Exposure after giving effect to such Swing Line Loan and (ii) the Issuing Lender shall not be required to issue, extend, renew, reinstate or increase any Letter of Credit unless it is satisfied that it will have no Fronting Exposure after giving effect thereto.</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2.18 </w:t>
      </w:r>
      <w:r>
        <w:rPr>
          <w:rFonts w:ascii="Times New Roman" w:cs="Times New Roman" w:eastAsia="Times New Roman" w:hAnsi="Times New Roman"/>
          <w:sz w:val="20"/>
          <w:szCs w:val="20"/>
          <w:b w:val="1"/>
          <w:bCs w:val="1"/>
          <w:u w:val="single" w:color="auto"/>
          <w:color w:val="auto"/>
        </w:rPr>
        <w:t>Cash Collateral</w:t>
      </w:r>
      <w:r>
        <w:rPr>
          <w:rFonts w:ascii="Times New Roman" w:cs="Times New Roman" w:eastAsia="Times New Roman" w:hAnsi="Times New Roman"/>
          <w:sz w:val="20"/>
          <w:szCs w:val="20"/>
          <w:color w:val="auto"/>
        </w:rPr>
        <w:t xml:space="preserve">. At any time that there shall exist a Defaulting Lender, within one (1) Business Day following the written request of the Administrative Agent or the Issuing Lender (with a copy to the Administrative Agent) the Borrower shall Cash Collateralize the Issuing Lender’s Fronting Exposure with respect to such Defaulting Lender (determined after giving effect to </w:t>
      </w:r>
      <w:r>
        <w:rPr>
          <w:rFonts w:ascii="Times New Roman" w:cs="Times New Roman" w:eastAsia="Times New Roman" w:hAnsi="Times New Roman"/>
          <w:sz w:val="20"/>
          <w:szCs w:val="20"/>
          <w:u w:val="single" w:color="auto"/>
          <w:color w:val="auto"/>
        </w:rPr>
        <w:t>Section 2.17(a)(iv)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20"/>
          <w:szCs w:val="20"/>
          <w:color w:val="auto"/>
        </w:rPr>
        <w:t>and any Cash Collateral provided by such Defaulting Lender) in an amount not less than the Minimum Collateral Amount.</w:t>
      </w:r>
    </w:p>
    <w:p>
      <w:pPr>
        <w:spacing w:after="0" w:line="215" w:lineRule="exact"/>
        <w:rPr>
          <w:sz w:val="20"/>
          <w:szCs w:val="20"/>
          <w:color w:val="auto"/>
        </w:rPr>
      </w:pPr>
    </w:p>
    <w:p>
      <w:pPr>
        <w:jc w:val="both"/>
        <w:ind w:firstLine="1304"/>
        <w:spacing w:after="0" w:line="243" w:lineRule="auto"/>
        <w:tabs>
          <w:tab w:leader="none" w:pos="19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The Borrower, and to the extent provided by any Defaulting Lender, such Defaulting Lender, hereby grants to the Administrative Agent, for the benefit of the Issuing Lender, and agrees to maintain, a first priority security interest in all such Cash Collateral as security for the Defaulting Lenders’ obligation to fund participations in respect of Letter of Credit Obligations, to be applied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If at any time the Administrative Agent determines that Cash Collateral is subject to any right or claim of any Person other than the Administrative Agent and the Issuing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 respect of Letters of Credit shall be applied to the satisfaction of the Defaulting Lender’s obligation to fund participations in respect of Letter of Credit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the Issuing Lender’s Fronting Exposure shall no longer be required to be held as Cash Collateral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following (i) the elimination of the applicable Fronting Exposure (including by the termination of Defaulting Lender status of the applicable Lender), or (ii) the determination by the Administrative Agent and the Issuing Lender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the Person providing Cash Collateral and the Issuing Lender may agree that Cash Collateral shall be held to support future anticipated Fronting Exposure or other obligations;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to the extent that such Cash Collateral was provided by the Borrower or any other Loan Party, such Cash Collateral shall remain subject to the Prior Security Interest granted pursuant to the Loan Documents.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b w:val="1"/>
          <w:bCs w:val="1"/>
          <w:u w:val="single" w:color="auto"/>
          <w:color w:val="auto"/>
        </w:rPr>
        <w:t>Extension of Applicable Maturity Date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5" w:lineRule="auto"/>
        <w:tabs>
          <w:tab w:leader="none" w:pos="19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Extension.</w:t>
      </w:r>
      <w:r>
        <w:rPr>
          <w:rFonts w:ascii="Times New Roman" w:cs="Times New Roman" w:eastAsia="Times New Roman" w:hAnsi="Times New Roman"/>
          <w:sz w:val="20"/>
          <w:szCs w:val="20"/>
          <w:color w:val="auto"/>
        </w:rPr>
        <w:t xml:space="preserve"> The Borrower may, by notice to the Administrative Agent (who shall promptly notify the Lenders and Issuing Lender under the applicable Facility) not earlier than 45 days and not later than 35 days prior to the applicable Maturity Date for such Facility then in effect hereunder (each, an “</w:t>
      </w:r>
      <w:r>
        <w:rPr>
          <w:rFonts w:ascii="Times New Roman" w:cs="Times New Roman" w:eastAsia="Times New Roman" w:hAnsi="Times New Roman"/>
          <w:sz w:val="20"/>
          <w:szCs w:val="20"/>
          <w:b w:val="1"/>
          <w:bCs w:val="1"/>
          <w:color w:val="auto"/>
        </w:rPr>
        <w:t>Existing Maturity Date</w:t>
      </w:r>
      <w:r>
        <w:rPr>
          <w:rFonts w:ascii="Times New Roman" w:cs="Times New Roman" w:eastAsia="Times New Roman" w:hAnsi="Times New Roman"/>
          <w:sz w:val="20"/>
          <w:szCs w:val="20"/>
          <w:color w:val="auto"/>
        </w:rPr>
        <w:t>”), request that each Lender and Issuing Lender, as applicable, under any Facility extend the applicable Maturity Date for such Lender’s or Issuing Lender’s Commitments and Credit Extensions, as applicable, under such Facility. Such notice to the Administrative Agent shall set forth the requested extended Maturity Date.</w:t>
      </w:r>
    </w:p>
    <w:p>
      <w:pPr>
        <w:spacing w:after="0" w:line="18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Lender Elections to Extend</w:t>
      </w:r>
      <w:r>
        <w:rPr>
          <w:rFonts w:ascii="Times New Roman" w:cs="Times New Roman" w:eastAsia="Times New Roman" w:hAnsi="Times New Roman"/>
          <w:sz w:val="20"/>
          <w:szCs w:val="20"/>
          <w:color w:val="auto"/>
        </w:rPr>
        <w:t>. Each Lender and Issuing Lender under the applicable Facility, acting in its sole and individual discretion, shall, by notice to the Administrative Agent given not earlier than 30 days prior to the applicable Existing Maturity Date for such Facility and not later than the date (the “</w:t>
      </w:r>
      <w:r>
        <w:rPr>
          <w:rFonts w:ascii="Times New Roman" w:cs="Times New Roman" w:eastAsia="Times New Roman" w:hAnsi="Times New Roman"/>
          <w:sz w:val="20"/>
          <w:szCs w:val="20"/>
          <w:b w:val="1"/>
          <w:bCs w:val="1"/>
          <w:color w:val="auto"/>
        </w:rPr>
        <w:t>Notice Date</w:t>
      </w:r>
      <w:r>
        <w:rPr>
          <w:rFonts w:ascii="Times New Roman" w:cs="Times New Roman" w:eastAsia="Times New Roman" w:hAnsi="Times New Roman"/>
          <w:sz w:val="20"/>
          <w:szCs w:val="20"/>
          <w:color w:val="auto"/>
        </w:rPr>
        <w:t>”) that is 20 days prior to the applicable Existing Maturity Date for such Facility, advise the Administrative Agent whether or not it agrees to such extension (and each Lender and Issuing Lender that determines not to so extend its applicable Maturity Date for such Facility (a “</w:t>
      </w:r>
      <w:r>
        <w:rPr>
          <w:rFonts w:ascii="Times New Roman" w:cs="Times New Roman" w:eastAsia="Times New Roman" w:hAnsi="Times New Roman"/>
          <w:sz w:val="20"/>
          <w:szCs w:val="20"/>
          <w:b w:val="1"/>
          <w:bCs w:val="1"/>
          <w:color w:val="auto"/>
        </w:rPr>
        <w:t>Non-Extending Lender</w:t>
      </w:r>
      <w:r>
        <w:rPr>
          <w:rFonts w:ascii="Times New Roman" w:cs="Times New Roman" w:eastAsia="Times New Roman" w:hAnsi="Times New Roman"/>
          <w:sz w:val="20"/>
          <w:szCs w:val="20"/>
          <w:color w:val="auto"/>
        </w:rPr>
        <w:t>”)) shall notify the Administrative Agent of such fact promptly after such determination (but in any event no later than the Notice Date) and any Lender or Issuing Lender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3" w:name="page174"/>
    <w:bookmarkEnd w:id="173"/>
    <w:p>
      <w:pPr>
        <w:jc w:val="both"/>
        <w:spacing w:after="0" w:line="253" w:lineRule="auto"/>
        <w:rPr>
          <w:sz w:val="20"/>
          <w:szCs w:val="20"/>
          <w:color w:val="auto"/>
        </w:rPr>
      </w:pPr>
      <w:r>
        <w:rPr>
          <w:rFonts w:ascii="Times New Roman" w:cs="Times New Roman" w:eastAsia="Times New Roman" w:hAnsi="Times New Roman"/>
          <w:sz w:val="20"/>
          <w:szCs w:val="20"/>
          <w:color w:val="auto"/>
        </w:rPr>
        <w:t>such Facility that does not so advise the Administrative Agent on or before the Notice Date shall be deemed to be a Non-Extending Lender. The election of any Lender or Issuing Lender to agree to such extension shall not obligate any other Lender or Issuing Lender to so agree.</w:t>
      </w:r>
    </w:p>
    <w:p>
      <w:pPr>
        <w:spacing w:after="0" w:line="176" w:lineRule="exact"/>
        <w:rPr>
          <w:sz w:val="20"/>
          <w:szCs w:val="20"/>
          <w:color w:val="auto"/>
        </w:rPr>
      </w:pPr>
    </w:p>
    <w:p>
      <w:pPr>
        <w:jc w:val="both"/>
        <w:ind w:firstLine="1304"/>
        <w:spacing w:after="0" w:line="254" w:lineRule="auto"/>
        <w:tabs>
          <w:tab w:leader="none" w:pos="19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by Administrative Agent</w:t>
      </w:r>
      <w:r>
        <w:rPr>
          <w:rFonts w:ascii="Times New Roman" w:cs="Times New Roman" w:eastAsia="Times New Roman" w:hAnsi="Times New Roman"/>
          <w:sz w:val="20"/>
          <w:szCs w:val="20"/>
          <w:color w:val="auto"/>
        </w:rPr>
        <w:t xml:space="preserve">. The Administrative Agent shall notify the Borrower of each Lender’s and Issuing Lender’s determination under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no later than the date 15 days prior to the applicable Existing Maturity Date for such Facility (or, if such date is not a Business Day, on the next preceding Business Day).</w:t>
      </w:r>
    </w:p>
    <w:p>
      <w:pPr>
        <w:spacing w:after="0" w:line="174"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Lenders</w:t>
      </w:r>
      <w:r>
        <w:rPr>
          <w:rFonts w:ascii="Times New Roman" w:cs="Times New Roman" w:eastAsia="Times New Roman" w:hAnsi="Times New Roman"/>
          <w:sz w:val="20"/>
          <w:szCs w:val="20"/>
          <w:color w:val="auto"/>
        </w:rPr>
        <w:t>. The Borrower shall have the right on or before the applicable Existing Maturity Date to replace each Non-Extending Lender under the applicable Facility with, and add as “Revolving Lenders” or “Term Lenders” as the case may be under this Agreement in place thereof, one or more Eligible Assignees (each, an “</w:t>
      </w:r>
      <w:r>
        <w:rPr>
          <w:rFonts w:ascii="Times New Roman" w:cs="Times New Roman" w:eastAsia="Times New Roman" w:hAnsi="Times New Roman"/>
          <w:sz w:val="20"/>
          <w:szCs w:val="20"/>
          <w:b w:val="1"/>
          <w:bCs w:val="1"/>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with the consent of any party whose consent is required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each of which Additional Lenders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entered into an Assignment and Assumption pursuant to which such Additional Lender shall, effective as of the applicable Existing Maturity Date, (i) with respect to any Term Loan Facility, assume the Term Loans of such Non-Extending Lender under such Term Loan Facility set forth in such Assignment and Assumption (and, if any such Additional Lender is already a Term Lender under such Term Loan Facility, such Term Loans under such Term Loan Facility so assigned and assumed shall be in addition to the Term Loans of such Term Lender hereunder under such Term Loan Facility on such date) and (ii) with respect to any Revolving Credit Facility, assume the Revolving Loans and Revolving Commitments of such Non-Extending Lender under such Revolving Loan Facility set forth in such Assignment and Assumption (and, if any such Additional Lender is already a Revolving Lender, its Revolving Loans and Revolving Commitment shall be in addition to such Revolving Lender’s Revolving Loans and Revolving Commitment hereunder on such date).</w:t>
      </w:r>
    </w:p>
    <w:p>
      <w:pPr>
        <w:spacing w:after="0" w:line="19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Extensions</w:t>
      </w:r>
      <w:r>
        <w:rPr>
          <w:rFonts w:ascii="Times New Roman" w:cs="Times New Roman" w:eastAsia="Times New Roman" w:hAnsi="Times New Roman"/>
          <w:sz w:val="20"/>
          <w:szCs w:val="20"/>
          <w:color w:val="auto"/>
        </w:rPr>
        <w:t xml:space="preserve">. Notwithstanding the foregoing, the extension of any Maturity Date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not be effective with respect to any Lender or Issuing Lender unless:</w:t>
      </w:r>
    </w:p>
    <w:p>
      <w:pPr>
        <w:spacing w:after="0" w:line="159" w:lineRule="exact"/>
        <w:rPr>
          <w:rFonts w:ascii="Times New Roman" w:cs="Times New Roman" w:eastAsia="Times New Roman" w:hAnsi="Times New Roman"/>
          <w:sz w:val="20"/>
          <w:szCs w:val="20"/>
          <w:color w:val="auto"/>
        </w:rPr>
      </w:pPr>
    </w:p>
    <w:p>
      <w:pPr>
        <w:ind w:left="660" w:firstLine="1292"/>
        <w:spacing w:after="0" w:line="269" w:lineRule="auto"/>
        <w:tabs>
          <w:tab w:leader="none" w:pos="260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immediately prior to such extension and immediately after giving effect thereto;</w:t>
      </w:r>
    </w:p>
    <w:p>
      <w:pPr>
        <w:spacing w:after="0" w:line="159" w:lineRule="exact"/>
        <w:rPr>
          <w:rFonts w:ascii="Times New Roman" w:cs="Times New Roman" w:eastAsia="Times New Roman" w:hAnsi="Times New Roman"/>
          <w:sz w:val="20"/>
          <w:szCs w:val="20"/>
          <w:color w:val="auto"/>
        </w:rPr>
      </w:pPr>
    </w:p>
    <w:p>
      <w:pPr>
        <w:jc w:val="both"/>
        <w:ind w:left="660" w:firstLine="1292"/>
        <w:spacing w:after="0" w:line="249" w:lineRule="auto"/>
        <w:tabs>
          <w:tab w:leader="none" w:pos="260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contained in this Agreement are true and correct in all material respects immediately prior to and immediately after on giving effect thereto, as though made on and as of such date (or, if any such representation or warranty is stated to have been made as of a specific date, as of such specific date);</w:t>
      </w:r>
    </w:p>
    <w:p>
      <w:pPr>
        <w:spacing w:after="0" w:line="179" w:lineRule="exact"/>
        <w:rPr>
          <w:rFonts w:ascii="Times New Roman" w:cs="Times New Roman" w:eastAsia="Times New Roman" w:hAnsi="Times New Roman"/>
          <w:sz w:val="20"/>
          <w:szCs w:val="20"/>
          <w:color w:val="auto"/>
        </w:rPr>
      </w:pPr>
    </w:p>
    <w:p>
      <w:pPr>
        <w:jc w:val="both"/>
        <w:ind w:left="660" w:firstLine="1292"/>
        <w:spacing w:after="0" w:line="246" w:lineRule="auto"/>
        <w:tabs>
          <w:tab w:leader="none" w:pos="2604"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applicable Maturity Date, the Borrower shall have (1) paid in full the principal of and interest on all of the Loans under the applicable Facility made by each Non-Extending Lender to the Borrower hereunder, (2) paid in full all other amounts owing to such Non-Extending Lender under the applicable Facility hereunder, and (3) Cash Collateralized in accordance with the terms hereof all outstanding L/C Obligations with respect to Letters of Credit issued by each Issuing Lender that is a Non-Extending Lender; and</w:t>
      </w:r>
    </w:p>
    <w:p>
      <w:pPr>
        <w:spacing w:after="0" w:line="1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such extended Loans and/or Commitments shall comply with </w:t>
      </w:r>
      <w:r>
        <w:rPr>
          <w:rFonts w:ascii="Times New Roman" w:cs="Times New Roman" w:eastAsia="Times New Roman" w:hAnsi="Times New Roman"/>
          <w:sz w:val="20"/>
          <w:szCs w:val="20"/>
          <w:u w:val="single" w:color="auto"/>
          <w:color w:val="auto"/>
        </w:rPr>
        <w:t>Section 2.19(f)</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Extension</w:t>
      </w:r>
      <w:r>
        <w:rPr>
          <w:rFonts w:ascii="Times New Roman" w:cs="Times New Roman" w:eastAsia="Times New Roman" w:hAnsi="Times New Roman"/>
          <w:sz w:val="20"/>
          <w:szCs w:val="20"/>
          <w:color w:val="auto"/>
        </w:rPr>
        <w:t>. The terms of each extension of any applicable Existing Maturity Date shall be determined by Borrower and the applicable extending Lenders and set forth in an amendment (an “</w:t>
      </w:r>
      <w:r>
        <w:rPr>
          <w:rFonts w:ascii="Times New Roman" w:cs="Times New Roman" w:eastAsia="Times New Roman" w:hAnsi="Times New Roman"/>
          <w:sz w:val="20"/>
          <w:szCs w:val="20"/>
          <w:b w:val="1"/>
          <w:bCs w:val="1"/>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 the extended Loans and Commitments will rank pari passu in right of payment and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security with the other Loans and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4" w:name="page175"/>
    <w:bookmarkEnd w:id="174"/>
    <w:p>
      <w:pPr>
        <w:jc w:val="both"/>
        <w:spacing w:after="0"/>
        <w:rPr>
          <w:sz w:val="20"/>
          <w:szCs w:val="20"/>
          <w:color w:val="auto"/>
        </w:rPr>
      </w:pPr>
      <w:r>
        <w:rPr>
          <w:rFonts w:ascii="Times New Roman" w:cs="Times New Roman" w:eastAsia="Times New Roman" w:hAnsi="Times New Roman"/>
          <w:sz w:val="20"/>
          <w:szCs w:val="20"/>
          <w:color w:val="auto"/>
        </w:rPr>
        <w:t xml:space="preserve">and the Borrower and Guarantors of the extended Loans and Commitments shall be the same as the Borrower and Guarantors with respect to the other Loans and Commitments, (ii) the interest rate margin, rate floors, fees, original issue discount and premium applicable to any extended Loans and Commitments shall be determined by the Borrower and the applicable extending Lenders, (iii) all borrowings under extended Revolving Commitments, reductions of extended Revolving Commitments, and repayments thereunder shall be made on a pro rata basis with all other Revolving Commitments (except for (I) payments of interest and fees at different rates on extended Revolving Commitments (and related Revolving Loans) and (II) repayments required upon the Maturity Date of the non-extended Revolving Commitments), (iv) extended Term Loans may have call protection as may be agreed by the Borrower and the extending Lenders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extended Term Loan may be optionally prepaid prior to the date on which the non-extended Term Loans are repaid in full, unless such optional prepayment is accompanied by at least a pro rata optional prepayment of such non-extended Term Loans, (v) all or any of the scheduled amortization payments of principal of an extended Term Loan may be delayed to later dates than the scheduled amortization payments of principal of the non-extended Term Loans, (vi) in no event shall the final maturity date of any extended Term Loan at the time of establishment thereof be earlier than the then latest Maturity Date of any then-existing Term Loan hereunder, (vii) in no event shall the final maturity date of any extended Revolving Loan at the time of establishment thereof be earlier than the then latest Maturity Date of any then-existing Revolving Loan hereunder, (viii) the weighted average life to maturity of any extended Term Loan at the time of establishment thereof shall be no shorter than the remaining weighted average life to maturity of any then-existing Term Loan hereunder, (ix) any extended Term Loan may participate on a pro rata basis or less than a pro rata basis (but not greater than a pro rata basis) in any voluntary or mandatory repayments or prepayments hereunder, (x) the Extension Amendment may provide for other covenants and terms that apply solely to any period after the latest Maturity Date that is in effect on the effective date of the Extension Amendment (immediately prior to the establishment of such extended Loans or Commitments); and (xi) the terms of any extended Loans and Commitments shall be substantially identical to the terms of such Loans or Commitments, as applicable, prior to such extension (except (x) to the extent any such terms apply only after the expiration of the Loans and Commitments not so extended and (y) as otherwise set forth in clauses (i) through (x) above).</w:t>
      </w:r>
    </w:p>
    <w:p>
      <w:pPr>
        <w:spacing w:after="0" w:line="203" w:lineRule="exact"/>
        <w:rPr>
          <w:sz w:val="20"/>
          <w:szCs w:val="20"/>
          <w:color w:val="auto"/>
        </w:rPr>
      </w:pPr>
    </w:p>
    <w:p>
      <w:pPr>
        <w:jc w:val="both"/>
        <w:ind w:firstLine="1304"/>
        <w:spacing w:after="0" w:line="255" w:lineRule="auto"/>
        <w:tabs>
          <w:tab w:leader="none" w:pos="1944" w:val="left"/>
        </w:tabs>
        <w:numPr>
          <w:ilvl w:val="0"/>
          <w:numId w:val="1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Extension Amendment</w:t>
      </w:r>
      <w:r>
        <w:rPr>
          <w:rFonts w:ascii="Times New Roman" w:cs="Times New Roman" w:eastAsia="Times New Roman" w:hAnsi="Times New Roman"/>
          <w:sz w:val="19"/>
          <w:szCs w:val="19"/>
          <w:color w:val="auto"/>
        </w:rPr>
        <w:t xml:space="preserve">. In connection with any extension of any applicable Existing Maturity Date, the Borrower, the Administrative Agent and each applicable extending Lender shall execute and deliver to Administrative Agent an Extension Amendment and such other documentation as Administrative Agent shall reasonably specify to evidence the extension of the applicable Existing Maturity Date. The Administrative Agent shall promptly notify each Lender as to the effectiveness of each extension of the applicable Existing Maturity Date.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of the applicable Existing Maturity Date, including any amendments necessary to establish extended Loans and/or Commitments as a new class or tranche of Loans or Commitments, as applicable, and such other technical amendments as may be necessary or appropriate in the reasonable opinion of the Administrative Agent and the Borrower in connection with the establishment of such new class or tranche (including to preserve the pro rata treatment of the extended and non-extended classes or tranches and to provide for the reallocation of Loans and/or Commitments upon the expiration or termination of the commitments under any class or tranche), in each case on terms consistent with this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w:t>
      </w:r>
    </w:p>
    <w:p>
      <w:pPr>
        <w:spacing w:after="0" w:line="181" w:lineRule="exact"/>
        <w:rPr>
          <w:rFonts w:ascii="Times New Roman" w:cs="Times New Roman" w:eastAsia="Times New Roman" w:hAnsi="Times New Roman"/>
          <w:sz w:val="19"/>
          <w:szCs w:val="19"/>
          <w:color w:val="auto"/>
        </w:rPr>
      </w:pPr>
    </w:p>
    <w:p>
      <w:pPr>
        <w:jc w:val="both"/>
        <w:ind w:firstLine="1304"/>
        <w:spacing w:after="0" w:line="249" w:lineRule="auto"/>
        <w:tabs>
          <w:tab w:leader="none" w:pos="1944"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Sharing of Payments</w:t>
      </w:r>
      <w:r>
        <w:rPr>
          <w:rFonts w:ascii="Times New Roman" w:cs="Times New Roman" w:eastAsia="Times New Roman" w:hAnsi="Times New Roman"/>
          <w:sz w:val="20"/>
          <w:szCs w:val="20"/>
          <w:color w:val="auto"/>
        </w:rPr>
        <w:t xml:space="preserve">. In connection with any extension of any Maturity Date, the Borrower, the Administrative Agent and each extending Lender and Issuing Lender may make such amendments to this Agreement as the Administrative Agent reasonably determines to be necessary to evidence the extension. The parties hereby agree that the provisions of this </w:t>
      </w:r>
      <w:r>
        <w:rPr>
          <w:rFonts w:ascii="Times New Roman" w:cs="Times New Roman" w:eastAsia="Times New Roman" w:hAnsi="Times New Roman"/>
          <w:sz w:val="20"/>
          <w:szCs w:val="20"/>
          <w:u w:val="single" w:color="auto"/>
          <w:color w:val="auto"/>
        </w:rPr>
        <w:t>Section 2.19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5" w:name="page176"/>
    <w:bookmarkEnd w:id="175"/>
    <w:p>
      <w:pPr>
        <w:ind w:right="20"/>
        <w:spacing w:after="0" w:line="268" w:lineRule="auto"/>
        <w:rPr>
          <w:sz w:val="20"/>
          <w:szCs w:val="20"/>
          <w:color w:val="auto"/>
        </w:rPr>
      </w:pPr>
      <w:r>
        <w:rPr>
          <w:rFonts w:ascii="Times New Roman" w:cs="Times New Roman" w:eastAsia="Times New Roman" w:hAnsi="Times New Roman"/>
          <w:sz w:val="20"/>
          <w:szCs w:val="20"/>
          <w:color w:val="auto"/>
        </w:rPr>
        <w:t>shall supersede the borrowing notice, minimum borrowing, amendment, pro rata borrowing, and pro rata payment requirements elsewhere in this Agreement.</w:t>
      </w:r>
    </w:p>
    <w:p>
      <w:pPr>
        <w:spacing w:after="0" w:line="15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0"/>
          <w:szCs w:val="20"/>
          <w:b w:val="1"/>
          <w:bCs w:val="1"/>
          <w:color w:val="auto"/>
        </w:rPr>
        <w:t>III.  INCREASED COSTS; TAXES; ILLEGALITY; INDEMNITY</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b w:val="1"/>
          <w:bCs w:val="1"/>
          <w:u w:val="single" w:color="auto"/>
          <w:color w:val="auto"/>
        </w:rPr>
        <w:t>Increased Costs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960" w:hanging="656"/>
        <w:spacing w:after="0"/>
        <w:tabs>
          <w:tab w:leader="none" w:pos="19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 the Issuing Lender;</w:t>
      </w:r>
    </w:p>
    <w:p>
      <w:pPr>
        <w:spacing w:after="0" w:line="184" w:lineRule="exact"/>
        <w:rPr>
          <w:rFonts w:ascii="Times New Roman" w:cs="Times New Roman" w:eastAsia="Times New Roman" w:hAnsi="Times New Roman"/>
          <w:sz w:val="20"/>
          <w:szCs w:val="20"/>
          <w:color w:val="auto"/>
        </w:rPr>
      </w:pPr>
    </w:p>
    <w:p>
      <w:pPr>
        <w:jc w:val="both"/>
        <w:ind w:firstLine="1952"/>
        <w:spacing w:after="0" w:line="274" w:lineRule="auto"/>
        <w:tabs>
          <w:tab w:leader="none" w:pos="2592" w:val="left"/>
        </w:tabs>
        <w:numPr>
          <w:ilvl w:val="1"/>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any Recipient to any Taxes (other than (A) Indemnified Taxes, (B) Taxes described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56" w:lineRule="exact"/>
        <w:rPr>
          <w:rFonts w:ascii="Times New Roman" w:cs="Times New Roman" w:eastAsia="Times New Roman" w:hAnsi="Times New Roman"/>
          <w:sz w:val="19"/>
          <w:szCs w:val="19"/>
          <w:color w:val="auto"/>
        </w:rPr>
      </w:pPr>
    </w:p>
    <w:p>
      <w:pPr>
        <w:jc w:val="both"/>
        <w:ind w:right="20" w:firstLine="1952"/>
        <w:spacing w:after="0" w:line="254" w:lineRule="auto"/>
        <w:tabs>
          <w:tab w:leader="none" w:pos="2592"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Issuing Lender or any applicable offshore interbank market any other condition, cost or expense (other than Taxes) affecting this Agreement or Loans made by such Lender or any Letter of Credit or participation in any such Loan or Letter of Credit;</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such Issuing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Issuing Lender or other Recipient hereunder (whether of principal, interest or any other amount) then, upon request of such Lender, Issuing Lender or other Recipient, the Borrower will pay to such Lender, Issuing Lender or other Recipient, as the case may be, such additional amount or amounts as will compensate such Lender, Issuing Lender or other Recipient, as the case may be, for such additional costs incurred or reduction suffered.</w:t>
      </w:r>
    </w:p>
    <w:p>
      <w:pPr>
        <w:spacing w:after="0" w:line="186" w:lineRule="exact"/>
        <w:rPr>
          <w:sz w:val="20"/>
          <w:szCs w:val="20"/>
          <w:color w:val="auto"/>
        </w:rPr>
      </w:pPr>
    </w:p>
    <w:p>
      <w:pPr>
        <w:jc w:val="both"/>
        <w:ind w:firstLine="1304"/>
        <w:spacing w:after="0" w:line="242" w:lineRule="auto"/>
        <w:tabs>
          <w:tab w:leader="none" w:pos="194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 Line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 will pay to such Lender or the Issuing Lender, as the case may be, such additional amount or amounts as will compensate such Lender or the Issuing Lender or such Lender’s or the Issuing Lender’s holding company for any such reduction suffered.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6" w:name="page177"/>
    <w:bookmarkEnd w:id="176"/>
    <w:p>
      <w:pPr>
        <w:jc w:val="both"/>
        <w:ind w:firstLine="1304"/>
        <w:spacing w:after="0" w:line="246" w:lineRule="auto"/>
        <w:tabs>
          <w:tab w:leader="none" w:pos="19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or the Issuing Lender setting forth the amount or amounts necessary to compensate such Lender or the Issuing Lender or its holding company, as the case may be, as specified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delivered to the Borrower shall be conclusive absent manifest error. The Borrower shall pay such Lender or the Issuing Lender, as the case may be, the amount shown as due on any such certificate within ten (10) days after receipt thereof.</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Issuing Lender to demand compensation pursuant to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shall not constitute a waiver of such Lender’s or the Issuing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the Issuing Lender pursuant to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for any increased costs incurred or reductions suffered more than nine (9) months prior to the date that such Lender or the Issuing Lender, as the case may be, notifies the Borrower of the Change in Law giving rise to such increased costs or reductions and of such Lender’s or the Issuing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20" w:firstLine="1304"/>
        <w:spacing w:after="0" w:line="269" w:lineRule="auto"/>
        <w:tabs>
          <w:tab w:leader="none" w:pos="19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the term “Lender” includes the Issuing Lender and the term “applicable Law” includes FATCA.</w:t>
      </w:r>
    </w:p>
    <w:p>
      <w:pPr>
        <w:spacing w:after="0" w:line="15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and all payments by or on account of any obligation of any Loan Party hereunder or under any other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and to the extent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9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7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Each Lender shall severally indemnify the Administrative Agent, within ten (10) days after demand therefor, for (i) any Indemnified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7" w:name="page178"/>
    <w:bookmarkEnd w:id="177"/>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attributable to such Lender (but only to the extent that the applicable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w:t>
      </w:r>
    </w:p>
    <w:p>
      <w:pPr>
        <w:spacing w:after="0" w:line="191" w:lineRule="exact"/>
        <w:rPr>
          <w:sz w:val="20"/>
          <w:szCs w:val="20"/>
          <w:color w:val="auto"/>
        </w:rPr>
      </w:pPr>
    </w:p>
    <w:p>
      <w:pPr>
        <w:jc w:val="both"/>
        <w:ind w:firstLine="1304"/>
        <w:spacing w:after="0" w:line="249" w:lineRule="auto"/>
        <w:tabs>
          <w:tab w:leader="none" w:pos="1944"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Sections 3.2(g)(ii)(A)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w:t>
      </w:r>
    </w:p>
    <w:p>
      <w:pPr>
        <w:spacing w:after="0" w:line="193" w:lineRule="exact"/>
        <w:rPr>
          <w:rFonts w:ascii="Times New Roman" w:cs="Times New Roman" w:eastAsia="Times New Roman" w:hAnsi="Times New Roman"/>
          <w:sz w:val="20"/>
          <w:szCs w:val="20"/>
          <w:color w:val="auto"/>
        </w:rPr>
      </w:pPr>
    </w:p>
    <w:p>
      <w:pPr>
        <w:jc w:val="both"/>
        <w:ind w:firstLine="2600"/>
        <w:spacing w:after="0" w:line="249" w:lineRule="auto"/>
        <w:tabs>
          <w:tab w:leader="none" w:pos="3240"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79" w:lineRule="exact"/>
        <w:rPr>
          <w:rFonts w:ascii="Times New Roman" w:cs="Times New Roman" w:eastAsia="Times New Roman" w:hAnsi="Times New Roman"/>
          <w:sz w:val="20"/>
          <w:szCs w:val="20"/>
          <w:color w:val="auto"/>
        </w:rPr>
      </w:pPr>
    </w:p>
    <w:p>
      <w:pPr>
        <w:jc w:val="both"/>
        <w:ind w:firstLine="2600"/>
        <w:spacing w:after="0" w:line="254" w:lineRule="auto"/>
        <w:tabs>
          <w:tab w:leader="none" w:pos="3240" w:val="left"/>
        </w:tabs>
        <w:numPr>
          <w:ilvl w:val="2"/>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8" w:name="page179"/>
    <w:bookmarkEnd w:id="178"/>
    <w:p>
      <w:pPr>
        <w:ind w:right="20"/>
        <w:spacing w:after="0" w:line="268" w:lineRule="auto"/>
        <w:rPr>
          <w:sz w:val="20"/>
          <w:szCs w:val="20"/>
          <w:color w:val="auto"/>
        </w:rPr>
      </w:pPr>
      <w:r>
        <w:rPr>
          <w:rFonts w:ascii="Times New Roman" w:cs="Times New Roman" w:eastAsia="Times New Roman" w:hAnsi="Times New Roman"/>
          <w:sz w:val="20"/>
          <w:szCs w:val="20"/>
          <w:color w:val="auto"/>
        </w:rPr>
        <w:t>Agreement (and from time to time thereafter upon the reasonable request of the Borrower or the Administrative Agent), whichever of the following is applicable:</w:t>
      </w:r>
    </w:p>
    <w:p>
      <w:pPr>
        <w:spacing w:after="0" w:line="161" w:lineRule="exact"/>
        <w:rPr>
          <w:sz w:val="20"/>
          <w:szCs w:val="20"/>
          <w:color w:val="auto"/>
        </w:rPr>
      </w:pPr>
    </w:p>
    <w:p>
      <w:pPr>
        <w:jc w:val="both"/>
        <w:ind w:firstLine="3248"/>
        <w:spacing w:after="0" w:line="244" w:lineRule="auto"/>
        <w:tabs>
          <w:tab w:leader="none" w:pos="3888"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5" w:lineRule="exact"/>
        <w:rPr>
          <w:rFonts w:ascii="Times New Roman" w:cs="Times New Roman" w:eastAsia="Times New Roman" w:hAnsi="Times New Roman"/>
          <w:sz w:val="20"/>
          <w:szCs w:val="20"/>
          <w:color w:val="auto"/>
        </w:rPr>
      </w:pPr>
    </w:p>
    <w:p>
      <w:pPr>
        <w:ind w:left="3900" w:hanging="652"/>
        <w:spacing w:after="0"/>
        <w:tabs>
          <w:tab w:leader="none" w:pos="3900"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IRS Form W-8ECI;</w:t>
      </w:r>
    </w:p>
    <w:p>
      <w:pPr>
        <w:spacing w:after="0" w:line="215" w:lineRule="exact"/>
        <w:rPr>
          <w:rFonts w:ascii="Times New Roman" w:cs="Times New Roman" w:eastAsia="Times New Roman" w:hAnsi="Times New Roman"/>
          <w:sz w:val="20"/>
          <w:szCs w:val="20"/>
          <w:color w:val="auto"/>
        </w:rPr>
      </w:pPr>
    </w:p>
    <w:p>
      <w:pPr>
        <w:jc w:val="both"/>
        <w:ind w:firstLine="3248"/>
        <w:spacing w:after="0" w:line="245" w:lineRule="auto"/>
        <w:tabs>
          <w:tab w:leader="none" w:pos="3888"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Tax Compliance Certificate to the effect that such Foreign Lender is not (A) a “bank” within the meaning of Section 881(c)(3)(A) of the Code, (B) a “10 percent shareholder” of the Borrower within the meaning of Section 871(h)(3)(B) of the Code, or (C) a “controlled foreign corporation” related to the Borrower as described in Section 881(c)(3)(C) of the Code and (y) executed originals of IRS Form W-8BEN or IRS Form W-8BEN-E, as applicable; or</w:t>
      </w:r>
    </w:p>
    <w:p>
      <w:pPr>
        <w:spacing w:after="0" w:line="184" w:lineRule="exact"/>
        <w:rPr>
          <w:rFonts w:ascii="Times New Roman" w:cs="Times New Roman" w:eastAsia="Times New Roman" w:hAnsi="Times New Roman"/>
          <w:sz w:val="20"/>
          <w:szCs w:val="20"/>
          <w:color w:val="auto"/>
        </w:rPr>
      </w:pPr>
    </w:p>
    <w:p>
      <w:pPr>
        <w:jc w:val="both"/>
        <w:ind w:firstLine="3248"/>
        <w:spacing w:after="0" w:line="245" w:lineRule="auto"/>
        <w:tabs>
          <w:tab w:leader="none" w:pos="3888" w:val="left"/>
        </w:tabs>
        <w:numPr>
          <w:ilvl w:val="1"/>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originals of IRS Form W-8IMY, accompanied by IRS Form W-8ECI, IRS Form W-8BEN or IRS Form W-8BEN-E, as applicable, a Tax Compliance Certificate,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Tax Compliance Certificate on behalf of each such direct and indirect partner;</w:t>
      </w:r>
    </w:p>
    <w:p>
      <w:pPr>
        <w:spacing w:after="0" w:line="184" w:lineRule="exact"/>
        <w:rPr>
          <w:rFonts w:ascii="Times New Roman" w:cs="Times New Roman" w:eastAsia="Times New Roman" w:hAnsi="Times New Roman"/>
          <w:sz w:val="20"/>
          <w:szCs w:val="20"/>
          <w:color w:val="auto"/>
        </w:rPr>
      </w:pPr>
    </w:p>
    <w:p>
      <w:pPr>
        <w:jc w:val="both"/>
        <w:ind w:firstLine="2600"/>
        <w:spacing w:after="0" w:line="244" w:lineRule="auto"/>
        <w:tabs>
          <w:tab w:leader="none" w:pos="32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85" w:lineRule="exact"/>
        <w:rPr>
          <w:rFonts w:ascii="Times New Roman" w:cs="Times New Roman" w:eastAsia="Times New Roman" w:hAnsi="Times New Roman"/>
          <w:sz w:val="20"/>
          <w:szCs w:val="20"/>
          <w:color w:val="auto"/>
        </w:rPr>
      </w:pPr>
    </w:p>
    <w:p>
      <w:pPr>
        <w:jc w:val="both"/>
        <w:ind w:firstLine="2600"/>
        <w:spacing w:after="0" w:line="243" w:lineRule="auto"/>
        <w:tabs>
          <w:tab w:leader="none" w:pos="32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79" w:name="page180"/>
    <w:bookmarkEnd w:id="179"/>
    <w:p>
      <w:pPr>
        <w:jc w:val="both"/>
        <w:spacing w:after="0" w:line="268" w:lineRule="auto"/>
        <w:rPr>
          <w:sz w:val="20"/>
          <w:szCs w:val="20"/>
          <w:color w:val="auto"/>
        </w:rPr>
      </w:pPr>
      <w:r>
        <w:rPr>
          <w:rFonts w:ascii="Times New Roman" w:cs="Times New Roman" w:eastAsia="Times New Roman" w:hAnsi="Times New Roman"/>
          <w:sz w:val="20"/>
          <w:szCs w:val="20"/>
          <w:color w:val="auto"/>
        </w:rPr>
        <w:t>and withhold from such payment. Solely for purposes of this clause (D), “FATCA” shall include any amendments made to FATCA after the date of this Agreement.</w:t>
      </w:r>
    </w:p>
    <w:p>
      <w:pPr>
        <w:spacing w:after="0" w:line="161"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4" w:lineRule="exact"/>
        <w:rPr>
          <w:sz w:val="20"/>
          <w:szCs w:val="20"/>
          <w:color w:val="auto"/>
        </w:rPr>
      </w:pPr>
    </w:p>
    <w:p>
      <w:pPr>
        <w:jc w:val="both"/>
        <w:ind w:firstLine="1304"/>
        <w:spacing w:after="0" w:line="241" w:lineRule="auto"/>
        <w:tabs>
          <w:tab w:leader="none" w:pos="1944"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u w:val="single" w:color="auto"/>
          <w:color w:val="auto"/>
        </w:rPr>
        <w:t>Illegality</w:t>
      </w:r>
      <w:r>
        <w:rPr>
          <w:rFonts w:ascii="Times New Roman" w:cs="Times New Roman" w:eastAsia="Times New Roman" w:hAnsi="Times New Roman"/>
          <w:sz w:val="20"/>
          <w:szCs w:val="20"/>
          <w:color w:val="auto"/>
        </w:rPr>
        <w:t>. If any Lender determines that any Law has made it unlawful, or that any Governmental Authority has asserted that it is unlawful, for any Lender or its applicable lending office to make, maintain or fund any Loans (other than Base Rate Loans) or to determine or charge interest based upon any Benchmark, then, upon notice thereof by such Lender to the Borrower (through the Administrative Agent), (a) any obligation of the Lenders to make such Loans, and any right of the Borrower to continue such Loans or to convert Base Rate Loans to such Loans, shall be suspended, and (b), if necessary to avoid such illegality, the interest rate on the Base Rate Loans shall be determined by the Administrative Agent without reference to clause (c) of the definition of “Alternate Base Rate”, in each case until such Lender notifies the Administrative Agent and the Borrower that the circumstances giving rise to such determination no longer exist. Upon receipt of such notice,</w:t>
      </w:r>
    </w:p>
    <w:p>
      <w:pPr>
        <w:spacing w:after="0" w:line="190" w:lineRule="exact"/>
        <w:rPr>
          <w:sz w:val="20"/>
          <w:szCs w:val="20"/>
          <w:color w:val="auto"/>
        </w:rPr>
      </w:pPr>
    </w:p>
    <w:p>
      <w:pPr>
        <w:jc w:val="both"/>
        <w:ind w:firstLine="1952"/>
        <w:spacing w:after="0" w:line="249" w:lineRule="auto"/>
        <w:tabs>
          <w:tab w:leader="none" w:pos="2592"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if necessary to avoid such illegality, upon demand from any Lender (with a copy to the Administrative Agent), prepay or, if applicable, convert all such Loans to Base Rate Loans (if necessary to avoid such illegality, the interest rate on the Base Rate Loans of such Lender shall be determined by the Administrative Agent without reference to clause (c) of the definition of “Alternate Base Rate”),</w:t>
      </w:r>
    </w:p>
    <w:p>
      <w:pPr>
        <w:spacing w:after="0" w:line="179"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Loans are not subject to an Interest Period, immediately, or</w:t>
      </w:r>
    </w:p>
    <w:p>
      <w:pPr>
        <w:spacing w:after="0" w:line="215" w:lineRule="exact"/>
        <w:rPr>
          <w:rFonts w:ascii="Times New Roman" w:cs="Times New Roman" w:eastAsia="Times New Roman" w:hAnsi="Times New Roman"/>
          <w:sz w:val="20"/>
          <w:szCs w:val="20"/>
          <w:color w:val="auto"/>
        </w:rPr>
      </w:pPr>
    </w:p>
    <w:p>
      <w:pPr>
        <w:jc w:val="both"/>
        <w:ind w:firstLine="2600"/>
        <w:spacing w:after="0" w:line="254" w:lineRule="auto"/>
        <w:tabs>
          <w:tab w:leader="none" w:pos="3240"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Loans are subject to an Interest Period, on the last day of the Interest Period therefor, if all affected Lenders may lawfully continue to maintain such Loans to such day, or immediately, if any Lender may not lawfully continue to maintain such Loans to such day,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0" w:name="page181"/>
    <w:bookmarkEnd w:id="180"/>
    <w:p>
      <w:pPr>
        <w:ind w:right="20" w:firstLine="1952"/>
        <w:spacing w:after="0" w:line="268" w:lineRule="auto"/>
        <w:tabs>
          <w:tab w:leader="none" w:pos="2592"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necessary to avoid such illegality, the Administrative Agent shall during the period of such suspension compute the Alternate Base Rate without reference to clause (c) of the definition of “Alternate Base Rate,”</w:t>
      </w:r>
    </w:p>
    <w:p>
      <w:pPr>
        <w:spacing w:after="0" w:line="16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in each case until the Administrative Agent is advised in writing by each affected Lender that it is no longer illegal for such Lender to determine or charge interest rates based upon such Benchmark. Upon any such prepayment or conversion, the Borrower shall also pay accrued and unpaid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b w:val="1"/>
          <w:bCs w:val="1"/>
          <w:u w:val="single" w:color="auto"/>
          <w:color w:val="auto"/>
        </w:rPr>
        <w:t>Inability to Determine Rate; Cost; Interest After Default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304"/>
        <w:spacing w:after="0" w:line="269" w:lineRule="auto"/>
        <w:tabs>
          <w:tab w:leader="none" w:pos="194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Rate; Cost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if, on or prior to the commencement of any Interest Period (or, in the case of any Benchmark that is not subject to an Interest Period, on any Business Day):</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for any reason (other than a Benchmark Transition Event) any Benchmark cannot be determined pursuant to the definition thereof;</w:t>
      </w:r>
    </w:p>
    <w:p>
      <w:pPr>
        <w:spacing w:after="0" w:line="17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Loan that is subject to an Interest Period or a conversion thereto or a continuation thereof that the Benchmark for any requested Interest Period with respect to a proposed Loan does not adequately and fairly reflect the cost to such Lenders of making and maintaining such Loan, and the Required Lenders have provided notice of such determination to the Administrative Agent; or</w:t>
      </w:r>
    </w:p>
    <w:p>
      <w:pPr>
        <w:spacing w:after="0" w:line="18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Loan that is not subject to an Interest Period (other than a Base Rate Loan) or a conversion thereto or a continuation thereof or the maintaining thereof that the Benchmark with respect to a proposed Loan or outstanding Loan does not adequately and fairly reflect the cost to such Lenders of making and maintaining such Loan, and the Required Lenders have provided notice of such determination to the Administrative Agent,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the Administrative Agent shall give notice thereof to the Borrower and the Lenders.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notice thereof by the Administrative Agent to the Borrower,</w:t>
      </w:r>
    </w:p>
    <w:p>
      <w:pPr>
        <w:spacing w:after="0" w:line="216" w:lineRule="exact"/>
        <w:rPr>
          <w:sz w:val="20"/>
          <w:szCs w:val="20"/>
          <w:color w:val="auto"/>
        </w:rPr>
      </w:pPr>
    </w:p>
    <w:p>
      <w:pPr>
        <w:jc w:val="both"/>
        <w:ind w:left="660" w:firstLine="644"/>
        <w:spacing w:after="0" w:line="249" w:lineRule="auto"/>
        <w:tabs>
          <w:tab w:leader="none" w:pos="195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the Lenders to make such Loans that are subject to an Interest Period, and any right of the Borrower to continue such Loans or to convert to such Loans, shall be suspended (to the extent of the affected Loans or affected Interest Periods) until the Administrative Agent (with respect to clause (ii), at the instruction of the Required Lenders) revokes such notice;</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the Lenders to make or maintain such Loans that are not subject to an Interest Period (other than Base Rate Loans), and any right of the Borrower to continue such Loans or to convert to such Loans (other than Base Rate Loans), shall be suspended (to the extent of the affected Loans) until the Administrative Agent (with respect to clause (iii), at the instruction of the Required Lenders) revokes such notice;</w:t>
      </w:r>
    </w:p>
    <w:p>
      <w:pPr>
        <w:spacing w:after="0" w:line="179" w:lineRule="exact"/>
        <w:rPr>
          <w:rFonts w:ascii="Times New Roman" w:cs="Times New Roman" w:eastAsia="Times New Roman" w:hAnsi="Times New Roman"/>
          <w:sz w:val="20"/>
          <w:szCs w:val="20"/>
          <w:color w:val="auto"/>
        </w:rPr>
      </w:pPr>
    </w:p>
    <w:p>
      <w:pPr>
        <w:ind w:left="660" w:firstLine="644"/>
        <w:spacing w:after="0" w:line="269" w:lineRule="auto"/>
        <w:tabs>
          <w:tab w:leader="none" w:pos="195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revoke any pending request for a borrowing of, conversion to or continuation of such Loans (to the extent of the affected Loans or affected Interest Periods)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1" w:name="page182"/>
    <w:bookmarkEnd w:id="181"/>
    <w:p>
      <w:pPr>
        <w:ind w:left="660"/>
        <w:spacing w:after="0" w:line="268" w:lineRule="auto"/>
        <w:rPr>
          <w:sz w:val="20"/>
          <w:szCs w:val="20"/>
          <w:color w:val="auto"/>
        </w:rPr>
      </w:pPr>
      <w:r>
        <w:rPr>
          <w:rFonts w:ascii="Times New Roman" w:cs="Times New Roman" w:eastAsia="Times New Roman" w:hAnsi="Times New Roman"/>
          <w:sz w:val="20"/>
          <w:szCs w:val="20"/>
          <w:color w:val="auto"/>
        </w:rPr>
        <w:t>failing that, the Borrower will be deemed to have converted any such request into a request for a Borrowing of or conversion to Base Rate Loans in the amount specified therein;</w:t>
      </w:r>
    </w:p>
    <w:p>
      <w:pPr>
        <w:spacing w:after="0" w:line="161" w:lineRule="exact"/>
        <w:rPr>
          <w:sz w:val="20"/>
          <w:szCs w:val="20"/>
          <w:color w:val="auto"/>
        </w:rPr>
      </w:pPr>
    </w:p>
    <w:p>
      <w:pPr>
        <w:jc w:val="both"/>
        <w:ind w:left="660" w:firstLine="644"/>
        <w:spacing w:after="0" w:line="249" w:lineRule="auto"/>
        <w:tabs>
          <w:tab w:leader="none" w:pos="195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outstanding affected Loans will be deemed to have been converted into Base Rate Loans at the end of the applicable Interest Period (or if such Loans are not subject to an Interest Period, immediately) and, upon any such conversion, the Borrower shall also pay accrued interest on the amount so converted, together with any additional amounts required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and</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notice under </w:t>
      </w:r>
      <w:r>
        <w:rPr>
          <w:rFonts w:ascii="Times New Roman" w:cs="Times New Roman" w:eastAsia="Times New Roman" w:hAnsi="Times New Roman"/>
          <w:sz w:val="20"/>
          <w:szCs w:val="20"/>
          <w:u w:val="single" w:color="auto"/>
          <w:color w:val="auto"/>
        </w:rPr>
        <w:t>Section 3.4(a)(i)</w:t>
      </w:r>
      <w:r>
        <w:rPr>
          <w:rFonts w:ascii="Times New Roman" w:cs="Times New Roman" w:eastAsia="Times New Roman" w:hAnsi="Times New Roman"/>
          <w:sz w:val="20"/>
          <w:szCs w:val="20"/>
          <w:color w:val="auto"/>
        </w:rPr>
        <w:t xml:space="preserve"> regarding any Benchmark used as a component of the Alternate Base Rate, such component will not be used in any determination of Base Rate Loans until such notice is revoked.</w:t>
      </w:r>
    </w:p>
    <w:p>
      <w:pPr>
        <w:spacing w:after="0" w:line="174" w:lineRule="exact"/>
        <w:rPr>
          <w:sz w:val="20"/>
          <w:szCs w:val="20"/>
          <w:color w:val="auto"/>
        </w:rPr>
      </w:pPr>
    </w:p>
    <w:p>
      <w:pPr>
        <w:jc w:val="both"/>
        <w:ind w:firstLine="1304"/>
        <w:spacing w:after="0" w:line="243" w:lineRule="auto"/>
        <w:tabs>
          <w:tab w:leader="none" w:pos="1944"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To the extent permitted by Law, immediately upon the occurrence and during the continuation of an Event of Default under clause (a) or (l) 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or immediately after written demand by the Required Lenders to the Administrative Agent upon the occurrence and during the continuation of any other Event of Default, then the principal amount of all Obligations shall bear interest at the Default Rate and the rates applicable to Letter of Credit Fees shall be increased to the Default Rate. The Borrower acknowledges and agrees that the increase in rates referred to in this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reflects, among other things, the fact that such Loans or other amounts have become a substantially greater risk given their default status and that the Lenders are entitled to additional compensation for such risk; and all such interest shall be payable by the Borrower upon demand by the Administrative Agent.</w:t>
      </w:r>
    </w:p>
    <w:p>
      <w:pPr>
        <w:spacing w:after="0" w:line="18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b w:val="1"/>
          <w:bCs w:val="1"/>
          <w:u w:val="single" w:color="auto"/>
          <w:color w:val="auto"/>
        </w:rPr>
        <w:t>Indemnity</w:t>
      </w:r>
      <w:r>
        <w:rPr>
          <w:rFonts w:ascii="Times New Roman" w:cs="Times New Roman" w:eastAsia="Times New Roman" w:hAnsi="Times New Roman"/>
          <w:sz w:val="20"/>
          <w:szCs w:val="20"/>
          <w:color w:val="auto"/>
        </w:rPr>
        <w:t>. Upon demand of any Lender (with a copy to the Administrative Agent) from time to time, the Borrower shall promptly compensate such Lender for and hold such Lender harmless from any loss, cost or expense attributable to or incurred by it as a result of:</w:t>
      </w:r>
    </w:p>
    <w:p>
      <w:pPr>
        <w:spacing w:after="0" w:line="173" w:lineRule="exact"/>
        <w:rPr>
          <w:sz w:val="20"/>
          <w:szCs w:val="20"/>
          <w:color w:val="auto"/>
        </w:rPr>
      </w:pPr>
    </w:p>
    <w:p>
      <w:pPr>
        <w:jc w:val="both"/>
        <w:ind w:firstLine="1304"/>
        <w:spacing w:after="0" w:line="254" w:lineRule="auto"/>
        <w:tabs>
          <w:tab w:leader="none" w:pos="19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that is subject to an Interest Period on a day other than the last day of the Interest Period for such Loan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subject to an Interest Period on the date or in the amount notified by the Borrower; or</w:t>
      </w:r>
    </w:p>
    <w:p>
      <w:pPr>
        <w:spacing w:after="0" w:line="174"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Loan subject to an Interest Period on a day other than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including any loss of anticipated profits and any loss, cost or expenses arising from the liquidation or reemployment of funds or from any fees payable. The Borrower shall also pay any customary administrative fees charged by such Lender in connection with the foregoing.</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b w:val="1"/>
          <w:bCs w:val="1"/>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5" w:lineRule="auto"/>
        <w:tabs>
          <w:tab w:leader="none" w:pos="194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requires any Loan Party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2" w:name="page183"/>
    <w:bookmarkEnd w:id="182"/>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would eliminate or reduce amounts payable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79" w:lineRule="exact"/>
        <w:rPr>
          <w:sz w:val="20"/>
          <w:szCs w:val="20"/>
          <w:color w:val="auto"/>
        </w:rPr>
      </w:pPr>
    </w:p>
    <w:p>
      <w:pPr>
        <w:jc w:val="both"/>
        <w:ind w:firstLine="1304"/>
        <w:spacing w:after="0" w:line="242" w:lineRule="auto"/>
        <w:tabs>
          <w:tab w:leader="none" w:pos="194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above or if any Lender is a Defaulting Lender or a Non-Consenting Lender, then the Borrower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to the Administrative Agent the assignment fee (if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specified in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firstLine="1952"/>
        <w:spacing w:after="0" w:line="266" w:lineRule="auto"/>
        <w:tabs>
          <w:tab w:leader="none" w:pos="2592" w:val="left"/>
        </w:tabs>
        <w:numPr>
          <w:ilvl w:val="1"/>
          <w:numId w:val="1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shall have received payment of an amount equal to the outstanding principal of its Loans and participations in Letter of Credit drawings, accrued interest thereon, accrued fees and all other amounts payable to it hereunder and under the other Loan Documents (including any amounts under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from the assignee (to the extent of such outstanding principal and accrued interest and fees) or the Borrower (in the case of all other amounts);</w:t>
      </w:r>
    </w:p>
    <w:p>
      <w:pPr>
        <w:spacing w:after="0" w:line="165" w:lineRule="exact"/>
        <w:rPr>
          <w:rFonts w:ascii="Times New Roman" w:cs="Times New Roman" w:eastAsia="Times New Roman" w:hAnsi="Times New Roman"/>
          <w:sz w:val="19"/>
          <w:szCs w:val="19"/>
          <w:color w:val="auto"/>
        </w:rPr>
      </w:pPr>
    </w:p>
    <w:p>
      <w:pPr>
        <w:jc w:val="both"/>
        <w:ind w:firstLine="1952"/>
        <w:spacing w:after="0" w:line="254" w:lineRule="auto"/>
        <w:tabs>
          <w:tab w:leader="none" w:pos="2592"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w:t>
      </w:r>
    </w:p>
    <w:p>
      <w:pPr>
        <w:spacing w:after="0" w:line="215"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assignment resulting from a Lender becoming a Non-Consenting Lender, the applicable assignee shall have consented to the applicable amendment, waiver or consent; and</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Each party hereto agrees that (x) an assignment required pursuant to this </w:t>
      </w:r>
      <w:r>
        <w:rPr>
          <w:rFonts w:ascii="Times New Roman" w:cs="Times New Roman" w:eastAsia="Times New Roman" w:hAnsi="Times New Roman"/>
          <w:sz w:val="20"/>
          <w:szCs w:val="20"/>
          <w:u w:val="single" w:color="auto"/>
          <w:color w:val="auto"/>
        </w:rPr>
        <w:t>Section 3.6(b)</w:t>
      </w:r>
      <w:r>
        <w:rPr>
          <w:rFonts w:ascii="Times New Roman" w:cs="Times New Roman" w:eastAsia="Times New Roman" w:hAnsi="Times New Roman"/>
          <w:sz w:val="20"/>
          <w:szCs w:val="20"/>
          <w:color w:val="auto"/>
        </w:rPr>
        <w:t xml:space="preserve"> may be effected pursuant to an Assignment and Assumption executed by the Borrower, the Administrative Agent and the assignee and (y)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b w:val="1"/>
          <w:bCs w:val="1"/>
          <w:u w:val="single" w:color="auto"/>
          <w:color w:val="auto"/>
        </w:rPr>
        <w:t>Benchmark Replacement Setting</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3" w:name="page184"/>
    <w:bookmarkEnd w:id="183"/>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Loan Document (and, for the avoidance of doubt, any Secured Bank Product or Hedge Agreement shall be deemed not to be a “Loan Document”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1304"/>
        <w:spacing w:after="0" w:line="241" w:lineRule="auto"/>
        <w:tabs>
          <w:tab w:leader="none" w:pos="19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Replacing Benchmarks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Upon a date and time determined by the Administrative Agent as to any Benchmark which date shall be no later than the occurrence of a Benchmark Transition Event with respect to such Benchmark, the applicable Benchmark Replacement will replace the applicable then-current Benchmark for all purposes hereunder and under any Loan Document in respect of any setting of such Benchmark at or after 3:00 p.m. on the fifth (5th) Business Day after the date notice of such Benchmark Replacement is provided to the affected Lenders without any amendment to, or further action or consent of any other party to, this Agreement or any other Loan Document so long as the Administrative Agent has not received, by such time, written notice of objection to such Benchmark Replacement from the Required Lenders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At any time that the administrator of the applicable then-current Benchmark has permanently or indefinitely ceased to provide such Benchmark or such Benchmark has been announced by the regulatory supervisor for the administrator of such Benchmark pursuant to public statement or publication of information to be not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the Alternate Base Rate based upon such Benchmark (if any) will not be used in any determination of the Alternate Base Rate.</w:t>
      </w:r>
    </w:p>
    <w:p>
      <w:pPr>
        <w:spacing w:after="0" w:line="191"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with the use, administration, adoption or implementation of a Benchmark Replacement, the Administrative Agent will have the right to make Benchmark Replacement Conforming Changes, in consultation with the Borrower,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8"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Administrative Agent will promptly notify the Borrower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Borrower of the removal or reinstatement of any tenor of a Benchmark pursuant to </w:t>
      </w:r>
      <w:r>
        <w:rPr>
          <w:rFonts w:ascii="Times New Roman" w:cs="Times New Roman" w:eastAsia="Times New Roman" w:hAnsi="Times New Roman"/>
          <w:sz w:val="20"/>
          <w:szCs w:val="20"/>
          <w:u w:val="single" w:color="auto"/>
          <w:color w:val="auto"/>
        </w:rPr>
        <w:t>Section 3.7(d</w:t>
      </w:r>
      <w:r>
        <w:rPr>
          <w:rFonts w:ascii="Times New Roman" w:cs="Times New Roman" w:eastAsia="Times New Roman" w:hAnsi="Times New Roman"/>
          <w:sz w:val="20"/>
          <w:szCs w:val="20"/>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or any other Loan Document, except, in each case, as required pursuant to this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44"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At any time (including in connection with the implementation of a Benchmark Replacement), (i) if the applicable then-current Benchmark is a term rate (including the Term SOFR Rate), then the Administrative Agent may remove any tenor of such Benchmark that is unavailable or non-representative for Benchmark (including Benchmark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4" w:name="page185"/>
    <w:bookmarkEnd w:id="184"/>
    <w:p>
      <w:pPr>
        <w:jc w:val="both"/>
        <w:spacing w:after="0" w:line="268" w:lineRule="auto"/>
        <w:rPr>
          <w:sz w:val="20"/>
          <w:szCs w:val="20"/>
          <w:color w:val="auto"/>
        </w:rPr>
      </w:pPr>
      <w:r>
        <w:rPr>
          <w:rFonts w:ascii="Times New Roman" w:cs="Times New Roman" w:eastAsia="Times New Roman" w:hAnsi="Times New Roman"/>
          <w:sz w:val="20"/>
          <w:szCs w:val="20"/>
          <w:color w:val="auto"/>
        </w:rPr>
        <w:t>settings and (ii) the Administrative Agent may reinstate any such previously removed tenor for such Benchmark (including any applicable Benchmark Replacement) settings.</w:t>
      </w:r>
    </w:p>
    <w:p>
      <w:pPr>
        <w:spacing w:after="0" w:line="15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 xml:space="preserve">. Each party’s obligations under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shall survive the resignation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IV.  CONDITIONS OF LENDING AND ISSUANCE OF LETTERS OF CREDIT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u w:val="single" w:color="auto"/>
          <w:color w:val="auto"/>
        </w:rPr>
        <w:t>First Loans and Letters of Credit</w:t>
      </w:r>
      <w:r>
        <w:rPr>
          <w:rFonts w:ascii="Times New Roman" w:cs="Times New Roman" w:eastAsia="Times New Roman" w:hAnsi="Times New Roman"/>
          <w:sz w:val="20"/>
          <w:szCs w:val="20"/>
          <w:color w:val="auto"/>
        </w:rPr>
        <w:t>. The obligation of each Lender to make the Term A-1 Loan and any other Loans requested by the Borrower on the Closing Date, and the obligation of the Issuing Lender to issue any Letters of Credit requested by the Borrower on the Closing Date, are subject to the satisfaction of the following conditions on or before the Closing Date:</w:t>
      </w:r>
    </w:p>
    <w:p>
      <w:pPr>
        <w:spacing w:after="0" w:line="180" w:lineRule="exact"/>
        <w:rPr>
          <w:sz w:val="20"/>
          <w:szCs w:val="20"/>
          <w:color w:val="auto"/>
        </w:rPr>
      </w:pPr>
    </w:p>
    <w:p>
      <w:pPr>
        <w:ind w:firstLine="1304"/>
        <w:spacing w:after="0" w:line="269" w:lineRule="auto"/>
        <w:tabs>
          <w:tab w:leader="none" w:pos="1944"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Deliveries</w:t>
      </w:r>
      <w:r>
        <w:rPr>
          <w:rFonts w:ascii="Times New Roman" w:cs="Times New Roman" w:eastAsia="Times New Roman" w:hAnsi="Times New Roman"/>
          <w:sz w:val="20"/>
          <w:szCs w:val="20"/>
          <w:color w:val="auto"/>
        </w:rPr>
        <w:t>. The Administrative Agent shall have received each of the following in form and substance satisfactory to the Administrative Agent and, if applicable, its counsel:</w:t>
      </w:r>
    </w:p>
    <w:p>
      <w:pPr>
        <w:spacing w:after="0" w:line="159"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Borrower signed by a Compliance Officer of the Borrower, dated as of the Closing Date stating that (a) all representations and warranties of the Loan Parties set forth in this Agreement or the other Loan Documents are true and correct in all material respects, except that such representations and warranties that are qualified in this Agreement or such other Loan Document by reference to materiality or a Material Adverse Change shall be true and correct in all respects, as of the Closing Date (or, if such representation or warranty makes reference to an earlier date, as of such earlier date), (b) the Loan Parties are in compliance with each of the covenants and conditions hereunder and the other Loan Documents, (c) no Event of Default or Default exists, (d) there has occurred no Material Adverse Change since December 31, 2022, and (e) each of the Loan Parties has satisfied each of the closing conditions required to be satisfied by it hereunder;</w:t>
      </w:r>
    </w:p>
    <w:p>
      <w:pPr>
        <w:spacing w:after="0" w:line="18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dated as of the Closing Date and signed by the Secretary or an Assistant Secretary of each of the Loan Parties, certifying as appropriate as to: (a) all action taken by each Loan Party in connection with this Agreement and the other Loan Documents; (b) the names of the Authorized Officers authorized to sign the Loan Documents and their true signatures; and (c) copies of its Organizational Documents as in effect on the Closing Date certified by the appropriate state official where such documents are filed in a state office (if so filed or required to be so filed) together with certificates from the appropriate state officials as to the continued existence and good standing or existence (as applicable) of each Loan Party in each state where organized;</w:t>
      </w:r>
    </w:p>
    <w:p>
      <w:pPr>
        <w:spacing w:after="0" w:line="18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there is no action, suit, proceeding or investigation pending against, or threatened in writing against, any Loan Party or any of its respective Subsidiaries or any of their respective properties, including the Material Licenses, in any court or before any arbitrator of any kind or before or by any other Governmental Authority (including the FCC and any applicable PUC) that would reasonably be expected to result in a Material Adverse Change;</w:t>
      </w:r>
    </w:p>
    <w:p>
      <w:pPr>
        <w:spacing w:after="0" w:line="18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of the other Loan Documents signed by an Authorized Officer and all appropriate financing statements and appropriate stock powers and certificates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5" w:name="page186"/>
    <w:bookmarkEnd w:id="185"/>
    <w:p>
      <w:pPr>
        <w:spacing w:after="0" w:line="268" w:lineRule="auto"/>
        <w:rPr>
          <w:sz w:val="20"/>
          <w:szCs w:val="20"/>
          <w:color w:val="auto"/>
        </w:rPr>
      </w:pPr>
      <w:r>
        <w:rPr>
          <w:rFonts w:ascii="Times New Roman" w:cs="Times New Roman" w:eastAsia="Times New Roman" w:hAnsi="Times New Roman"/>
          <w:sz w:val="20"/>
          <w:szCs w:val="20"/>
          <w:color w:val="auto"/>
        </w:rPr>
        <w:t>evidencing the pledged Collateral and all other original items required to be delivered pursuant to any of the Collateral Documents;</w:t>
      </w:r>
    </w:p>
    <w:p>
      <w:pPr>
        <w:spacing w:after="0" w:line="161" w:lineRule="exact"/>
        <w:rPr>
          <w:sz w:val="20"/>
          <w:szCs w:val="20"/>
          <w:color w:val="auto"/>
        </w:rPr>
      </w:pPr>
    </w:p>
    <w:p>
      <w:pPr>
        <w:jc w:val="both"/>
        <w:ind w:firstLine="1952"/>
        <w:spacing w:after="0" w:line="254" w:lineRule="auto"/>
        <w:tabs>
          <w:tab w:leader="none" w:pos="259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written opinions of counsel for the Loan Parties, duly executed (including any FCC or PUC counsel, if required by the Administrative Agent), dated as of the Closing Date; provided, however that no opinion of counsel shall be required for any Loan Parties that are incorporated outside of State of Delaware;</w:t>
      </w:r>
    </w:p>
    <w:p>
      <w:pPr>
        <w:spacing w:after="0" w:line="17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evidence that adequate insurance required to be maintained under this Agreement is in full force and effect;</w:t>
      </w:r>
    </w:p>
    <w:p>
      <w:pPr>
        <w:spacing w:after="0" w:line="159" w:lineRule="exact"/>
        <w:rPr>
          <w:rFonts w:ascii="Times New Roman" w:cs="Times New Roman" w:eastAsia="Times New Roman" w:hAnsi="Times New Roman"/>
          <w:sz w:val="20"/>
          <w:szCs w:val="20"/>
          <w:color w:val="auto"/>
        </w:rPr>
      </w:pPr>
    </w:p>
    <w:p>
      <w:pPr>
        <w:ind w:firstLine="1952"/>
        <w:spacing w:after="0" w:line="269" w:lineRule="auto"/>
        <w:tabs>
          <w:tab w:leader="none" w:pos="259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completed, executed Loan Request for Credit Extension for each Loan or Letter of Credit requested to be made on the Closing Date, including notice of election as to Interest Periods (if applicable);</w:t>
      </w:r>
    </w:p>
    <w:p>
      <w:pPr>
        <w:spacing w:after="0" w:line="15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completed, executed Solvency Certificate signed by an Authorized Officer of each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w:t>
      </w:r>
    </w:p>
    <w:p>
      <w:pPr>
        <w:spacing w:after="0" w:line="193"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material governmental and third-party consents, subordinations or waivers, as applicable, required to effectuate the transactions contemplated hereby have been obtained and are in full force and effect, including any required material permits and authorizations of all applicable Governmental Authorities, including the FCC and all applicable PUCs;</w:t>
      </w:r>
    </w:p>
    <w:p>
      <w:pPr>
        <w:spacing w:after="0" w:line="17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outstanding obligations under the Existing Credit Agreement have been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paid in full;</w:t>
      </w:r>
    </w:p>
    <w:p>
      <w:pPr>
        <w:spacing w:after="0" w:line="193"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Lien search with respect to the Borrower and each other Loan Party, in scope satisfactory to the Administrative Agent and with results showing no Liens other than Permitted Liens and otherwise satisfactory to the Administrative Agent;</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w:t>
      </w:r>
    </w:p>
    <w:p>
      <w:pPr>
        <w:spacing w:after="0" w:line="215" w:lineRule="exact"/>
        <w:rPr>
          <w:rFonts w:ascii="Times New Roman" w:cs="Times New Roman" w:eastAsia="Times New Roman" w:hAnsi="Times New Roman"/>
          <w:sz w:val="20"/>
          <w:szCs w:val="20"/>
          <w:color w:val="auto"/>
        </w:rPr>
      </w:pPr>
    </w:p>
    <w:p>
      <w:pPr>
        <w:ind w:right="20" w:firstLine="2600"/>
        <w:spacing w:after="0" w:line="269" w:lineRule="auto"/>
        <w:tabs>
          <w:tab w:leader="none" w:pos="32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Loan Parties have effectively and validly pledged and perfected the Collateral contemplated by the Collateral Documents; and</w:t>
      </w:r>
    </w:p>
    <w:p>
      <w:pPr>
        <w:spacing w:after="0" w:line="159" w:lineRule="exact"/>
        <w:rPr>
          <w:rFonts w:ascii="Times New Roman" w:cs="Times New Roman" w:eastAsia="Times New Roman" w:hAnsi="Times New Roman"/>
          <w:sz w:val="20"/>
          <w:szCs w:val="20"/>
          <w:color w:val="auto"/>
        </w:rPr>
      </w:pPr>
    </w:p>
    <w:p>
      <w:pPr>
        <w:jc w:val="both"/>
        <w:ind w:right="20" w:firstLine="2600"/>
        <w:spacing w:after="0" w:line="254" w:lineRule="auto"/>
        <w:tabs>
          <w:tab w:leader="none" w:pos="3240" w:val="left"/>
        </w:tabs>
        <w:numPr>
          <w:ilvl w:val="1"/>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filings and recordings that are necessary to perfect the Prior Security Interest of the Administrative Agent, for the benefit of the Secured Parties, in the Collateral described in the Collateral Documents have been filed or recorded in all appropriate locations;</w:t>
      </w:r>
    </w:p>
    <w:p>
      <w:pPr>
        <w:spacing w:after="0" w:line="17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executed letter from the Borrower with respect to any proceeds of the Loans being disbursed to third parties authorizing the Administrative Agent to distribute such proceeds on behalf of the Loan Parties in accordance with the instructions set forth in such letter;</w:t>
      </w:r>
    </w:p>
    <w:p>
      <w:pPr>
        <w:spacing w:after="0" w:line="17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1"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consolidated financial statements of the Borrower for the fiscal year ending December 31, 2022 and such other financial statements, budgets, forecasts and other financial information as to the Loan Parties as the Administrative Agent or any other Lender may reasonably request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6" w:name="page187"/>
    <w:bookmarkEnd w:id="186"/>
    <w:p>
      <w:pPr>
        <w:jc w:val="both"/>
        <w:ind w:firstLine="1952"/>
        <w:spacing w:after="0" w:line="249" w:lineRule="auto"/>
        <w:tabs>
          <w:tab w:leader="none" w:pos="2592"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prior to the Closing Date, (A) all documentation and other information requested by (or on behalf of) any Lender in order to comply with requirements of Anti-Corruption Laws, Anti-Terrorism Laws and Sanctions and (B) if the Borrower qualifies as a “legal entity customer” under the Beneficial Ownership Regulation, a Beneficial Ownership Certification; and</w:t>
      </w:r>
    </w:p>
    <w:p>
      <w:pPr>
        <w:spacing w:after="0" w:line="178" w:lineRule="exact"/>
        <w:rPr>
          <w:rFonts w:ascii="Times New Roman" w:cs="Times New Roman" w:eastAsia="Times New Roman" w:hAnsi="Times New Roman"/>
          <w:sz w:val="20"/>
          <w:szCs w:val="20"/>
          <w:color w:val="auto"/>
        </w:rPr>
      </w:pPr>
    </w:p>
    <w:p>
      <w:pPr>
        <w:ind w:firstLine="1952"/>
        <w:spacing w:after="0" w:line="269" w:lineRule="auto"/>
        <w:tabs>
          <w:tab w:leader="none" w:pos="2591" w:val="left"/>
        </w:tabs>
        <w:numPr>
          <w:ilvl w:val="1"/>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in connection with such transactions as the Administrative Agent or its counsel may reasonably request.</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Fees</w:t>
      </w:r>
      <w:r>
        <w:rPr>
          <w:rFonts w:ascii="Times New Roman" w:cs="Times New Roman" w:eastAsia="Times New Roman" w:hAnsi="Times New Roman"/>
          <w:sz w:val="20"/>
          <w:szCs w:val="20"/>
          <w:color w:val="auto"/>
        </w:rPr>
        <w:t>. The Borrower shall have paid all fees and expenses related to the Facilities and this Agreement and the other Loan Documents payable on or before the Closing Date as required by this Agreement, the Fee Letter or any other Loan Document.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u w:val="single" w:color="auto"/>
          <w:color w:val="auto"/>
        </w:rPr>
        <w:t>Each Loan or Letter of Credit</w:t>
      </w:r>
      <w:r>
        <w:rPr>
          <w:rFonts w:ascii="Times New Roman" w:cs="Times New Roman" w:eastAsia="Times New Roman" w:hAnsi="Times New Roman"/>
          <w:sz w:val="19"/>
          <w:szCs w:val="19"/>
          <w:color w:val="auto"/>
        </w:rPr>
        <w:t>. At the time of any Credit Extension and after giving effect to the proposed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Extension:</w:t>
      </w:r>
    </w:p>
    <w:p>
      <w:pPr>
        <w:spacing w:after="0" w:line="194" w:lineRule="exact"/>
        <w:rPr>
          <w:sz w:val="20"/>
          <w:szCs w:val="20"/>
          <w:color w:val="auto"/>
        </w:rPr>
      </w:pPr>
    </w:p>
    <w:p>
      <w:pPr>
        <w:jc w:val="both"/>
        <w:ind w:firstLine="1304"/>
        <w:spacing w:after="0" w:line="246" w:lineRule="auto"/>
        <w:tabs>
          <w:tab w:leader="none" w:pos="19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Loan Parties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this Agreement and in the other Loan Documents shall then be true and correct in all material respects (or if qualified by materiality or a Material Adverse Change, in all respects) as of the date of such Credit Extension (except for any such representation and warranty that by its terms is made only as of an earlier date, which representation and warranty shall remain true and correct in all material respects as of such earlier date),</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or Default shall have occurred and be continuing,</w:t>
      </w:r>
    </w:p>
    <w:p>
      <w:pPr>
        <w:spacing w:after="0" w:line="21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delivered a duly executed and completed (x) Loan Request to the Administrative Agent for each Loan requested to be made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2.5</w:t>
      </w:r>
      <w:r>
        <w:rPr>
          <w:rFonts w:ascii="Times New Roman" w:cs="Times New Roman" w:eastAsia="Times New Roman" w:hAnsi="Times New Roman"/>
          <w:sz w:val="20"/>
          <w:szCs w:val="20"/>
          <w:color w:val="auto"/>
        </w:rPr>
        <w:t xml:space="preserve">, as applicable, (y) Incremental Request to the Administrative Agent for each Incremental Facility requested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or (z) Letter of Credit Request to the Issuing Lender for each Letter of Credit to be issued pursuant to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as the case may be; and</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Credit Extension consisting of Incremental Loans, the Borrower shall have complied with all conditions set forth in the applicable Incremental Amendment;</w:t>
      </w:r>
    </w:p>
    <w:p>
      <w:pPr>
        <w:spacing w:after="0" w:line="15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in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to the contrary, with respect to the portion of an Incremental Term Loan being used to fund a Limited Condition Acquisition, the Lenders shall be obligated to fund their Pro Rata Share of such portion of such Credit Extension so long as (i) (x) the representations and warranties of the Loan Parties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this Agreement shall be true and correct at the time of execution and effectiveness of the Acquisition Agreement for such Limited Condition Acquisition, except such representations and warranties that are not qualified in this Agreement by reference to materiality or a Material Adverse Change shall then be true and correct in all material respects as of such date (except for any such representation and warranty that by its terms is made only as of an earlier date, which representation and warranty shall remain true and correct in all material respects as of such earlier date) and (y) the Specified Representations are true and correct as of the closing date of such Limited Condition Acquisition, except such representations and warranties that are not qualified in this Agreement by reference to materiality or a Material Adverse Change (or similar term as defined in the applicable Acquisition Agreement) shall then be true and correct in all material respects as of such date (except for any such representation and warranty that by its terms is made only as of an earlier date, which representation and warranty shall remain true and correct in all material respects as of such earlier date), (ii) there is</w:t>
      </w:r>
    </w:p>
    <w:p>
      <w:pPr>
        <w:spacing w:after="0" w:line="3" w:lineRule="exact"/>
        <w:rPr>
          <w:sz w:val="20"/>
          <w:szCs w:val="20"/>
          <w:color w:val="auto"/>
        </w:rPr>
      </w:pPr>
    </w:p>
    <w:p>
      <w:pPr>
        <w:ind w:right="20" w:firstLine="8"/>
        <w:spacing w:after="0" w:line="246" w:lineRule="auto"/>
        <w:tabs>
          <w:tab w:leader="none" w:pos="290"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in existence at the time of execution and effectiveness of the Acquisition Agreement for such Limited Condition Acquisition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7" w:name="page188"/>
    <w:bookmarkEnd w:id="187"/>
    <w:p>
      <w:pPr>
        <w:ind w:firstLine="8"/>
        <w:spacing w:after="0" w:line="268" w:lineRule="auto"/>
        <w:tabs>
          <w:tab w:leader="none" w:pos="290" w:val="left"/>
        </w:tabs>
        <w:numPr>
          <w:ilvl w:val="0"/>
          <w:numId w:val="1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Specified Event of Default in existence at the time such Limited Condition Acquisition is consummated and (iii) the conditions set forth in </w:t>
      </w:r>
      <w:r>
        <w:rPr>
          <w:rFonts w:ascii="Times New Roman" w:cs="Times New Roman" w:eastAsia="Times New Roman" w:hAnsi="Times New Roman"/>
          <w:sz w:val="20"/>
          <w:szCs w:val="20"/>
          <w:u w:val="single" w:color="auto"/>
          <w:color w:val="auto"/>
        </w:rPr>
        <w:t>Section 4.2(c)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have been satisfied or waived.</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  REPRESENTATIONS AND WARRANTIES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Loan Parties, jointly and severally, represent and warrant to the Administrative Agent and each of the Lenders as follows:</w:t>
      </w:r>
    </w:p>
    <w:p>
      <w:pPr>
        <w:spacing w:after="0" w:line="15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u w:val="single" w:color="auto"/>
          <w:color w:val="auto"/>
        </w:rPr>
        <w:t>Organization and Qualification</w:t>
      </w:r>
      <w:r>
        <w:rPr>
          <w:rFonts w:ascii="Times New Roman" w:cs="Times New Roman" w:eastAsia="Times New Roman" w:hAnsi="Times New Roman"/>
          <w:sz w:val="20"/>
          <w:szCs w:val="20"/>
          <w:color w:val="auto"/>
        </w:rPr>
        <w:t xml:space="preserve">. Each Loan Party and each Restricted Subsidiary (a) is a corporation, partnership or limited liability company or other entity (as of the Closing Date, as identified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xml:space="preserve">), in each case duly organized, validly existing and in good standing under the laws of its jurisdiction of organization (as of the Closing Date, as specified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xml:space="preserve">, (b) has the lawful power to own or lease its properties and to engage in the business it presently conducts or proposes to conduct, (c) as of the Closing Date is duly licensed or qualified and in good standing in each jurisdiction listed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and (d) is duly licensed or qualified and in good standing in all jurisdictions where the property owned or leased by it or the nature of the business transacted by it or both makes such licensing or qualification necessary except where the failure to be so duly licensed or qualified would not reasonably be expected to result in a Material Adverse Change.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4" w:lineRule="auto"/>
        <w:tabs>
          <w:tab w:leader="none" w:pos="194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Restricted Subsidiary is in compliance with all applicable Laws in all jurisdictions in which any Loan Party or Restricted Subsidiary is presently or currently foresees that it will be doing business except where the failure to do so would not reasonably be expected to result in a Material Adverse Change.</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Extension, or use of any proceeds thereof, or entry into or performance by any Loan Party of the Loan Documents to which it is a party contravenes any Law applicable to such Loan Party or any Restricted Subsidiary or any of the Lenders.</w:t>
      </w:r>
    </w:p>
    <w:p>
      <w:pPr>
        <w:spacing w:after="0" w:line="17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u w:val="single" w:color="auto"/>
          <w:color w:val="auto"/>
        </w:rPr>
        <w:t>Title to Properties</w:t>
      </w:r>
      <w:r>
        <w:rPr>
          <w:rFonts w:ascii="Times New Roman" w:cs="Times New Roman" w:eastAsia="Times New Roman" w:hAnsi="Times New Roman"/>
          <w:sz w:val="20"/>
          <w:szCs w:val="20"/>
          <w:color w:val="auto"/>
        </w:rPr>
        <w:t>. Each Loan Party and each Restricted Subsidiary (a) has good and marketable title to or valid leasehold interest in all properties, assets and other rights that it purports to own or lease or that are reflected as owned or leased on its books and records, and (b) owns or leases all of its properties free and clear of all Liens except Permitted Liens.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u w:val="single" w:color="auto"/>
          <w:color w:val="auto"/>
        </w:rPr>
        <w:t>Investment Company Act</w:t>
      </w:r>
      <w:r>
        <w:rPr>
          <w:rFonts w:ascii="Times New Roman" w:cs="Times New Roman" w:eastAsia="Times New Roman" w:hAnsi="Times New Roman"/>
          <w:sz w:val="20"/>
          <w:szCs w:val="20"/>
          <w:color w:val="auto"/>
        </w:rPr>
        <w:t>. None of the Loan Parties or Restricted Subsidiaries is an “</w:t>
      </w:r>
      <w:r>
        <w:rPr>
          <w:rFonts w:ascii="Times New Roman" w:cs="Times New Roman" w:eastAsia="Times New Roman" w:hAnsi="Times New Roman"/>
          <w:sz w:val="20"/>
          <w:szCs w:val="20"/>
          <w:i w:val="1"/>
          <w:iCs w:val="1"/>
          <w:color w:val="auto"/>
        </w:rPr>
        <w:t>investment company</w:t>
      </w:r>
      <w:r>
        <w:rPr>
          <w:rFonts w:ascii="Times New Roman" w:cs="Times New Roman" w:eastAsia="Times New Roman" w:hAnsi="Times New Roman"/>
          <w:sz w:val="20"/>
          <w:szCs w:val="20"/>
          <w:color w:val="auto"/>
        </w:rPr>
        <w:t>” registered or required to be registered under the Investment Company Act of 1940 or under the “</w:t>
      </w:r>
      <w:r>
        <w:rPr>
          <w:rFonts w:ascii="Times New Roman" w:cs="Times New Roman" w:eastAsia="Times New Roman" w:hAnsi="Times New Roman"/>
          <w:sz w:val="20"/>
          <w:szCs w:val="20"/>
          <w:i w:val="1"/>
          <w:iCs w:val="1"/>
          <w:color w:val="auto"/>
        </w:rPr>
        <w:t>control</w:t>
      </w:r>
      <w:r>
        <w:rPr>
          <w:rFonts w:ascii="Times New Roman" w:cs="Times New Roman" w:eastAsia="Times New Roman" w:hAnsi="Times New Roman"/>
          <w:sz w:val="20"/>
          <w:szCs w:val="20"/>
          <w:color w:val="auto"/>
        </w:rPr>
        <w:t>” of an “</w:t>
      </w:r>
      <w:r>
        <w:rPr>
          <w:rFonts w:ascii="Times New Roman" w:cs="Times New Roman" w:eastAsia="Times New Roman" w:hAnsi="Times New Roman"/>
          <w:sz w:val="20"/>
          <w:szCs w:val="20"/>
          <w:i w:val="1"/>
          <w:iCs w:val="1"/>
          <w:color w:val="auto"/>
        </w:rPr>
        <w:t>investment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as such terms are defined in the Investment Company Act of 1940 and shall not become such an “</w:t>
      </w:r>
      <w:r>
        <w:rPr>
          <w:rFonts w:ascii="Times New Roman" w:cs="Times New Roman" w:eastAsia="Times New Roman" w:hAnsi="Times New Roman"/>
          <w:sz w:val="20"/>
          <w:szCs w:val="20"/>
          <w:i w:val="1"/>
          <w:iCs w:val="1"/>
          <w:color w:val="auto"/>
        </w:rPr>
        <w:t>investment company</w:t>
      </w:r>
      <w:r>
        <w:rPr>
          <w:rFonts w:ascii="Times New Roman" w:cs="Times New Roman" w:eastAsia="Times New Roman" w:hAnsi="Times New Roman"/>
          <w:sz w:val="20"/>
          <w:szCs w:val="20"/>
          <w:color w:val="auto"/>
        </w:rPr>
        <w:t>” or under such “</w:t>
      </w:r>
      <w:r>
        <w:rPr>
          <w:rFonts w:ascii="Times New Roman" w:cs="Times New Roman" w:eastAsia="Times New Roman" w:hAnsi="Times New Roman"/>
          <w:sz w:val="20"/>
          <w:szCs w:val="20"/>
          <w:i w:val="1"/>
          <w:iCs w:val="1"/>
          <w:color w:val="auto"/>
        </w:rPr>
        <w:t>control</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No Event of Default or Default exists or is continuing.</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b w:val="1"/>
          <w:bCs w:val="1"/>
          <w:u w:val="single" w:color="auto"/>
          <w:color w:val="auto"/>
        </w:rPr>
        <w:t>Subsidiaries and Owners</w:t>
      </w:r>
      <w:r>
        <w:rPr>
          <w:rFonts w:ascii="Times New Roman" w:cs="Times New Roman" w:eastAsia="Times New Roman" w:hAnsi="Times New Roman"/>
          <w:sz w:val="20"/>
          <w:szCs w:val="20"/>
          <w:color w:val="auto"/>
        </w:rPr>
        <w:t xml:space="preserve">. As of the Closing Date, </w:t>
      </w:r>
      <w:r>
        <w:rPr>
          <w:rFonts w:ascii="Times New Roman" w:cs="Times New Roman" w:eastAsia="Times New Roman" w:hAnsi="Times New Roman"/>
          <w:sz w:val="20"/>
          <w:szCs w:val="20"/>
          <w:u w:val="single" w:color="auto"/>
          <w:color w:val="auto"/>
        </w:rPr>
        <w:t>Schedule 5.6</w:t>
      </w:r>
      <w:r>
        <w:rPr>
          <w:rFonts w:ascii="Times New Roman" w:cs="Times New Roman" w:eastAsia="Times New Roman" w:hAnsi="Times New Roman"/>
          <w:sz w:val="20"/>
          <w:szCs w:val="20"/>
          <w:color w:val="auto"/>
        </w:rPr>
        <w:t xml:space="preserve"> states (a) the name of each Loan Party, each Restricted Subsidiary (including each Material Foreign Subsidiary and each Excluded Subsidiary (with a designation of the applicable clause of “Excluded Subsidiary” for each such Excluded Subsidiary)), and each Unrestricted Subsidiary, along with, in each case, its jurisdiction of organization, the name of each direct holder of the Equity Interests of each Restricted Subsidiary (other than with respect to the Borrower and any Equity Interest granted pursuant to a management incentive program), and the amount, percentage and type of, and the certificate number(s) (if any) evidencing, Equity Interests owned by such holder in such Person, and (b) any options, warrants or other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8" w:name="page189"/>
    <w:bookmarkEnd w:id="188"/>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outstanding to purchase any such Equity Interests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(other than with respect to any Unrestricted Subsidiary and any minority equity interest held by management and employees of the Loan Parties). All Equity Interests of each Loan Party (other than the Borrower) and Restricted Subsidiary which are held by management and employees of such entities, if such Equity Interests were issued on the date hereof, comply with the requirements of </w:t>
      </w:r>
      <w:r>
        <w:rPr>
          <w:rFonts w:ascii="Times New Roman" w:cs="Times New Roman" w:eastAsia="Times New Roman" w:hAnsi="Times New Roman"/>
          <w:sz w:val="20"/>
          <w:szCs w:val="20"/>
          <w:u w:val="single" w:color="auto"/>
          <w:color w:val="auto"/>
        </w:rPr>
        <w:t>Section 7.8(k)</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5.6</w:t>
      </w:r>
      <w:r>
        <w:rPr>
          <w:rFonts w:ascii="Times New Roman" w:cs="Times New Roman" w:eastAsia="Times New Roman" w:hAnsi="Times New Roman"/>
          <w:sz w:val="20"/>
          <w:szCs w:val="20"/>
          <w:color w:val="auto"/>
        </w:rPr>
        <w:t>, each Loan Party and each Restricted Subsidiary has good and marketable title to all of the Equity Interests it purports to own, free and clear in each case of any Lien and all such Equity Interests have been validly issued, fully paid and nonassessable (or, in the case of a partnership, limited liability company or similar Equity Interest, not subject to any capital call or other additional capital requirement).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b w:val="1"/>
          <w:bCs w:val="1"/>
          <w:u w:val="single" w:color="auto"/>
          <w:color w:val="auto"/>
        </w:rPr>
        <w:t>Power and Authority; Validity and Binding Effect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9" w:lineRule="auto"/>
        <w:tabs>
          <w:tab w:leader="none" w:pos="194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Restricted Subsidiary of each Loan Party has the full power to enter into, execute, deliver and carry out this Agreement and the other Loan Documents to which it is a party, to incur the Indebtedness contemplated by the Loan Documents and to perform its Obligations under the Loan Documents to which it is a party, and all such actions have been duly authorized by all necessary proceedings on its part.</w:t>
      </w:r>
    </w:p>
    <w:p>
      <w:pPr>
        <w:spacing w:after="0" w:line="17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of the other Loan Documents (i) has been duly and validly executed and delivered by each Loan Party, and (ii) constitutes, or will constitute, legal, valid and binding obligations of each Loan Party that is or will be a party thereto, enforceable against such Loan Party in accordance with its terms, subject only to limitations on enforceability imposed by (y) applicable bankruptcy, insolvency, reorganization, moratorium or similar laws affecting creditors’ rights generally, and (z) general equitable principles.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b w:val="1"/>
          <w:bCs w:val="1"/>
          <w:u w:val="single" w:color="auto"/>
          <w:color w:val="auto"/>
        </w:rPr>
        <w:t>No Conflict; Consents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(i) the terms and conditions of the Organizational Documents of any Loan Party or Restricted Subsidiary or (ii) any applicable Law or any order, writ, judgment, injunction or decree to which any Loan Party or Restricted Subsidiary is a party or by which it or any Restricted Subsidiary or any of their respective property is bound or to which it is subject, or result in the creation or enforcement of any Lien, charge or encumbrance whatsoever upon any property (now or hereafter acquired) of any Loan Party or any Restricted Subsidiary (other than Liens granted under the Loan Documents). None of the Loan Parties or Restricted Subsidiaries or their respective property is subject to any restriction in any of its Organizational Documents, or any requirement of Law that would reasonably be expected to result in a Material Adverse Change.</w:t>
      </w:r>
    </w:p>
    <w:p>
      <w:pPr>
        <w:spacing w:after="0" w:line="192"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Change, no consent, approval, exemption, order or authorization of, or a registration or filing with, or notice to, any Governmental Authority or any other Person is required by any Law in connection with (i) the execution, delivery and carrying out of this Agreement, the other Loan Documents or any Acquisition Agreement, (ii) the grant by any Loan Party of the Liens granted by it pursuant to the Collateral Documents, (iii) the perfection of the Prior Security Interest of the Administrative Agent and the Secured Parties created under the Collateral Documents (other than the filing of UCC financing statements (including any transmitting utility financing statements), recording of the Mortgages, and filings with the United States Patent and Trademark Office or the United States Copyright Office) or (iv) the exercise by the Administrative Agent or any Lender of its rights under the Loan Documents or the remedies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89" w:name="page190"/>
    <w:bookmarkEnd w:id="189"/>
    <w:p>
      <w:pPr>
        <w:jc w:val="both"/>
        <w:spacing w:after="0" w:line="249" w:lineRule="auto"/>
        <w:rPr>
          <w:sz w:val="20"/>
          <w:szCs w:val="20"/>
          <w:color w:val="auto"/>
        </w:rPr>
      </w:pPr>
      <w:r>
        <w:rPr>
          <w:rFonts w:ascii="Times New Roman" w:cs="Times New Roman" w:eastAsia="Times New Roman" w:hAnsi="Times New Roman"/>
          <w:sz w:val="20"/>
          <w:szCs w:val="20"/>
          <w:color w:val="auto"/>
        </w:rPr>
        <w:t>Secured Party in respect of the Collateral pursuant to the Collateral Documents (except approvals of the FCC or any applicable PUC with respect to any assignment or transfer of control of a License or Communications System) or the closing of any Acquisition, in each case, except those which have been duly obtained, taken, given or made on or before the Closing Date and are in full force and effect.</w:t>
      </w:r>
    </w:p>
    <w:p>
      <w:pPr>
        <w:spacing w:after="0" w:line="17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b w:val="1"/>
          <w:bCs w:val="1"/>
          <w:u w:val="single" w:color="auto"/>
          <w:color w:val="auto"/>
        </w:rPr>
        <w:t>Litigation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There are no actions, suits, proceedings or investigations pending or threatened in writing against any Loan Party or any Restricted Subsidiary or any of their respective properties, including the Licenses, at law or in equity before any Governmental Authority that individually or in the aggregate (i) would reasonably be expected to result in a Material Adverse Change or (ii) purports to affect the legality, validity or enforceability of any Loan Document. None of the Loan Parties or any Restricted Subsidiary is subject to or is in violation of any order, judgement, writ, injunction or any decree of any Governmental Authority that would reasonably be expected to result in a Material Adverse Change.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xml:space="preserve">. The audited financial statements delivered on or before the Closing Date in accordance with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and thereafter most recently delivered in accordance with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(i) were prepared in accordance with GAAP consistently applied throughout the period covered thereby, except as otherwise noted therein; (ii) fairly present the financial condition of, (x) with respect to the audited financial statements delivered prior to the Closing Date, the Borrower and Restricted Subsidiaries, and (y) with respect to the audited financial statements delivered after the Closing Date, the Borrower and Restricted Subsidiaries, in each case, as of the date thereof and their results of operations for the period covered thereby in accordance with GAAP consistently applied throughout the period covered thereby, except as otherwise noted therein; and (iii) show all material liabilities, direct or contingent, of, (x) with respect to the audited financial statements delivered prior to the Closing Date, the Borrower and its Restricted Subsidiaries, and (y) with respect to the audited financial statements delivered after the Closing Date, the Borrower and its Restricted Subsidiaries, in each case, as of the date thereof, including liabilities for taxes, material commitments and Indebtedness.</w:t>
      </w:r>
    </w:p>
    <w:p>
      <w:pPr>
        <w:spacing w:after="0" w:line="18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Unaudited Financial Statements</w:t>
      </w:r>
      <w:r>
        <w:rPr>
          <w:rFonts w:ascii="Times New Roman" w:cs="Times New Roman" w:eastAsia="Times New Roman" w:hAnsi="Times New Roman"/>
          <w:sz w:val="20"/>
          <w:szCs w:val="20"/>
          <w:color w:val="auto"/>
        </w:rPr>
        <w:t xml:space="preserve">. The unaudited financial statements delivered on or before the Closing Date in accordance with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and thereafter most recently delivered by the Borrower in accordance with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(i) were prepared in accordance with GAAP consistently applied throughout the period covered thereby, except as otherwise noted therein, and (ii) fairly present the financial condition of the Borrower and Restricted Subsidiaries, as of the date thereof and their results of operations for the period covered thereby, subject,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to the absence of footnotes and to normal year-end audit adjustments.</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Change</w:t>
      </w:r>
      <w:r>
        <w:rPr>
          <w:rFonts w:ascii="Times New Roman" w:cs="Times New Roman" w:eastAsia="Times New Roman" w:hAnsi="Times New Roman"/>
          <w:sz w:val="20"/>
          <w:szCs w:val="20"/>
          <w:color w:val="auto"/>
        </w:rPr>
        <w:t>.  Since December 31, 2022, no Material Adverse Change has occurred.</w:t>
      </w:r>
    </w:p>
    <w:p>
      <w:pPr>
        <w:spacing w:after="0" w:line="21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 xml:space="preserve">5.11 </w:t>
      </w:r>
      <w:r>
        <w:rPr>
          <w:rFonts w:ascii="Times New Roman" w:cs="Times New Roman" w:eastAsia="Times New Roman" w:hAnsi="Times New Roman"/>
          <w:sz w:val="19"/>
          <w:szCs w:val="19"/>
          <w:b w:val="1"/>
          <w:bCs w:val="1"/>
          <w:u w:val="single" w:color="auto"/>
          <w:color w:val="auto"/>
        </w:rPr>
        <w:t>Margin Stock</w:t>
      </w:r>
      <w:r>
        <w:rPr>
          <w:rFonts w:ascii="Times New Roman" w:cs="Times New Roman" w:eastAsia="Times New Roman" w:hAnsi="Times New Roman"/>
          <w:sz w:val="19"/>
          <w:szCs w:val="19"/>
          <w:color w:val="auto"/>
        </w:rPr>
        <w:t>. None of the Loan Parties nor any Restricted Subsidiary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No part of the proceeds of any Loan has been or will be used, immediately, incidentally or ultimately, to purchase or carry any margin stock or to extend credit to others for the purpose of purchasing or carrying any margin stock or that is inconsistent with the provisions of the regulations of the Board. None of the Loan Parties nor any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0" w:name="page191"/>
    <w:bookmarkEnd w:id="190"/>
    <w:p>
      <w:pPr>
        <w:ind w:right="20"/>
        <w:spacing w:after="0" w:line="268" w:lineRule="auto"/>
        <w:rPr>
          <w:sz w:val="20"/>
          <w:szCs w:val="20"/>
          <w:color w:val="auto"/>
        </w:rPr>
      </w:pPr>
      <w:r>
        <w:rPr>
          <w:rFonts w:ascii="Times New Roman" w:cs="Times New Roman" w:eastAsia="Times New Roman" w:hAnsi="Times New Roman"/>
          <w:sz w:val="20"/>
          <w:szCs w:val="20"/>
          <w:color w:val="auto"/>
        </w:rPr>
        <w:t>Subsidiary holds or intends to hold margin stock in such amounts that more than 25% of the reasonable value of the assets of any Loan Party or Restricted Subsidiary are or will be represented by margin stock.</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19"/>
          <w:szCs w:val="19"/>
          <w:b w:val="1"/>
          <w:bCs w:val="1"/>
          <w:u w:val="single" w:color="auto"/>
          <w:color w:val="auto"/>
        </w:rPr>
        <w:t>Full Disclosure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this Agreement nor any other Loan Document, nor any certificate, statement, agreement or other documents furnished to the Administrative Agent or any Lender in connection herewith or therewith (other than projections and budgets), contains any untrue statement of a material fact or omits to state a material fact necessary in order to make the statements contained herein and therein, in light of the circumstances under which they were made, not materially misleading. Any projections or budgets provided by or on behalf of the Loan Parties have been prepared by management in good faith and based on assumptions believed by management to be reasonable at the time the projections or budgets were prepared, it being understood that the projections or budgets as to future events are not to be viewed as fact and that actual results during the period or periods covered by the projections or budgets may differ materially from such projected results.</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information included in the Beneficial Ownership Certification is true and correct in all respects.</w:t>
      </w:r>
    </w:p>
    <w:p>
      <w:pPr>
        <w:spacing w:after="0" w:line="15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 (a) All federal, state and local and other tax returns required to have been filed with respect to each Loan Party and each Restricted Subsidiary have been filed, and (b) payment or adequate provision has been made for the payment of all taxes and other governmental charges that have or may become due pursuant to said returns or to assessments received, except (i) to the extent that such taxes, fees, assessments and other charges are being contested in good faith by appropriate proceedings diligently conducted and for which such reserves or other appropriate provisions, if any, as shall be required by GAAP shall have been made or (ii) failure to file any tax returns or to pay any taxes that would not reasonably be expected to result in a Material Adverse Change.</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b w:val="1"/>
          <w:bCs w:val="1"/>
          <w:u w:val="single" w:color="auto"/>
          <w:color w:val="auto"/>
        </w:rPr>
        <w:t>Intellectual Property; Other Rights</w:t>
      </w:r>
      <w:r>
        <w:rPr>
          <w:rFonts w:ascii="Times New Roman" w:cs="Times New Roman" w:eastAsia="Times New Roman" w:hAnsi="Times New Roman"/>
          <w:sz w:val="20"/>
          <w:szCs w:val="20"/>
          <w:color w:val="auto"/>
        </w:rPr>
        <w:t>. Each Loan Party and each Restricted Subsidiary owns, licenses or possesses all the Intellectual Property and all service marks, trade names, domain names, licenses, registrations, franchises, permits and other rights necessary to own and operate its properties and to carry on its business as presently conducted and planned to be conducted by such Loan Party or Restricted Subsidiary, without known possible alleged or actual conflict with the rights of others, except as would not reasonably be expected to result in a Material Adverse Change.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5.15 </w:t>
      </w:r>
      <w:r>
        <w:rPr>
          <w:rFonts w:ascii="Times New Roman" w:cs="Times New Roman" w:eastAsia="Times New Roman" w:hAnsi="Times New Roman"/>
          <w:sz w:val="20"/>
          <w:szCs w:val="20"/>
          <w:b w:val="1"/>
          <w:bCs w:val="1"/>
          <w:u w:val="single" w:color="auto"/>
          <w:color w:val="auto"/>
        </w:rPr>
        <w:t>Liens in the Collateral</w:t>
      </w:r>
      <w:r>
        <w:rPr>
          <w:rFonts w:ascii="Times New Roman" w:cs="Times New Roman" w:eastAsia="Times New Roman" w:hAnsi="Times New Roman"/>
          <w:sz w:val="20"/>
          <w:szCs w:val="20"/>
          <w:color w:val="auto"/>
        </w:rPr>
        <w:t>. The Liens in the Collateral granted to the Administrative Agent for the benefit of the Secured Parties pursuant to the Collateral Documents constitute Prior Security Interests in and to the Collateral. All filing fees and other expenses in connection with the perfection of such Liens have been or will be paid by the Borrower.</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1304"/>
        <w:spacing w:after="0" w:line="254" w:lineRule="auto"/>
        <w:tabs>
          <w:tab w:leader="none" w:pos="19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properties of each Loan Party and each Restricted Subsidiary are insured pursuant to policies and other bonds that are valid and in full force and effect and that provide coverage satisfying or surpassing the requirements set forth in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to the extent required under the Flood Laws, has obtained flood insurance for such structures and contents constituting Collateral located in a flood hazard zone pursuant to policies that are valid and in full force and effect and which provide coverage meeting the requirements of </w:t>
      </w:r>
      <w:r>
        <w:rPr>
          <w:rFonts w:ascii="Times New Roman" w:cs="Times New Roman" w:eastAsia="Times New Roman" w:hAnsi="Times New Roman"/>
          <w:sz w:val="20"/>
          <w:szCs w:val="20"/>
          <w:u w:val="single" w:color="auto"/>
          <w:color w:val="auto"/>
        </w:rPr>
        <w:t>Section 6.5(b)</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1" w:name="page192"/>
    <w:bookmarkEnd w:id="191"/>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5.17</w:t>
      </w:r>
      <w:r>
        <w:rPr>
          <w:sz w:val="20"/>
          <w:szCs w:val="20"/>
          <w:color w:val="auto"/>
        </w:rPr>
        <w:tab/>
      </w:r>
      <w:r>
        <w:rPr>
          <w:rFonts w:ascii="Times New Roman" w:cs="Times New Roman" w:eastAsia="Times New Roman" w:hAnsi="Times New Roman"/>
          <w:sz w:val="19"/>
          <w:szCs w:val="19"/>
          <w:b w:val="1"/>
          <w:bCs w:val="1"/>
          <w:u w:val="single" w:color="auto"/>
          <w:color w:val="auto"/>
        </w:rPr>
        <w:t>Employee Benefits Compliance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304"/>
        <w:spacing w:after="0" w:line="243" w:lineRule="auto"/>
        <w:tabs>
          <w:tab w:leader="none" w:pos="19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is in compliance in all respects with the applicable provisions of ERISA, the IRC and other federal or state law except for any noncompliance that would not reasonably be expected to have, either individually or in the aggregate, a Material Adverse Change. Each Plan, other than a Multiemployer Plan, which is intended to qualify under Section 401(a) of the IRC has received a favorable determination letter from the Internal Revenue Service or is adopted by means of a master or prototype plan that has received a favorable opinion letter upon which the Loan Parties are entitled to rely and to the best knowledge of the Loan Parties, nothing has occurred that would cause the loss of such qualification. The Loan Parties and each ERISA Affiliate have made all material required contributions to any Plan subject to Section 412 of the IRC, and no application for a funding waiver or an extension of any amortization period pursuant to Section 412 of the IRC has been made with respect to any Plan.</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Loan Parties, threatened claims, actions or lawsuits, or action by any Governmental Authority, with respect to any Plan which has resulted in or would reasonably be expected to result in a Material Adverse Change. There has been no prohibited transaction or violation of the fiduciary responsibility rules with respect to any Plan which has resulted in or would reasonably be expected to result in a Material Adverse Change.</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Except as would not reasonably be expected to result in a Material Adverse Change, no ERISA Event has occurred or is reasonably expected to occur; (ii) no Pension Plan has any unfunded liability; (iii) neither the Loan Parties nor any ERISA Affiliate has incurred, or reasonably expects to incur, any liability under Title IV of ERISA with respect to any Pension Plan (other than premiums due and not delinquent under Section 4007 of ERISA); (iv) neither the Loan Parties nor any ERISA Affiliate has incurred, or reasonably expects to incur, any liability (and no event has occurred which, with the giving of notice under Section 4219 of ERISA, would result in such liability) under Section 4201 or 4243 of ERISA with respect to a Multiemployer Plan; and (v) neither the Loan Parties nor any ERISA Affiliate has engaged in a transaction that could subject any Person to Section 4069 or 4212(c) of ERISA.</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19"/>
          <w:szCs w:val="19"/>
          <w:b w:val="1"/>
          <w:bCs w:val="1"/>
          <w:u w:val="single" w:color="auto"/>
          <w:color w:val="auto"/>
        </w:rPr>
        <w:t>Environmental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5" w:lineRule="auto"/>
        <w:tabs>
          <w:tab w:leader="none" w:pos="19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their respective Restricted Subsidiaries is in compliance in all respects with all applicable Environmental Laws, and there is no violation of applicable Environmental Laws at, under or about such properties or such operations of the Loan Parties and their respective Restricted Subsidiaries which would interfere in any respect with the continued operation of such properties or impair in any respect the fair saleable value thereof or with such operations, except for any such violations, contamination, interference or impairment as would not reasonably be expected to result in, individually or in the aggregate, a Material Adverse Change.</w:t>
      </w:r>
    </w:p>
    <w:p>
      <w:pPr>
        <w:spacing w:after="0" w:line="18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or Restricted Subsidiary has received any written notice of violation, alleged violation, non-compliance, liability or potential liability regarding environmental matters or compliance with Environmental Laws (and no related claim, complaint, proceeding, investigation or inquiry is pending or, to the knowledge of any Loan Party or any Restricted Subsidiary, is threatened or contemplated) with regard to their activities at any of the properties or the business operated by the Loan Parties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or, to the knowledge of any Loan Party or any Restricted Subsidiary, any prior Business for which any Loan Party or any Restricted Subsidiary has retained liability under any Environmental Law that would reasonably be expected to result in a Material Adverse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92" w:name="page193"/>
    <w:bookmarkEnd w:id="19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19"/>
          <w:szCs w:val="19"/>
          <w:b w:val="1"/>
          <w:bCs w:val="1"/>
          <w:u w:val="single" w:color="auto"/>
          <w:color w:val="auto"/>
        </w:rPr>
        <w:t>Communications Regulatory Matters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304"/>
        <w:spacing w:after="0" w:line="243"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w:t>
      </w:r>
      <w:r>
        <w:rPr>
          <w:rFonts w:ascii="Times New Roman" w:cs="Times New Roman" w:eastAsia="Times New Roman" w:hAnsi="Times New Roman"/>
          <w:sz w:val="20"/>
          <w:szCs w:val="20"/>
          <w:color w:val="FF0000"/>
          <w:strike w:val="1"/>
        </w:rPr>
        <w:t>Closing</w:t>
      </w:r>
      <w:r>
        <w:rPr>
          <w:rFonts w:ascii="Times New Roman" w:cs="Times New Roman" w:eastAsia="Times New Roman" w:hAnsi="Times New Roman"/>
          <w:sz w:val="20"/>
          <w:szCs w:val="20"/>
          <w:u w:val="single" w:color="auto"/>
          <w:color w:val="0000FF"/>
        </w:rPr>
        <w:t>First Amendment</w:t>
      </w:r>
      <w:r>
        <w:rPr>
          <w:rFonts w:ascii="Times New Roman" w:cs="Times New Roman" w:eastAsia="Times New Roman" w:hAnsi="Times New Roman"/>
          <w:sz w:val="20"/>
          <w:szCs w:val="20"/>
          <w:color w:val="auto"/>
        </w:rPr>
        <w:t xml:space="preserve"> Date and before and after giving effect to each Permitted Acquisition (if any), </w:t>
      </w:r>
      <w:r>
        <w:rPr>
          <w:rFonts w:ascii="Times New Roman" w:cs="Times New Roman" w:eastAsia="Times New Roman" w:hAnsi="Times New Roman"/>
          <w:sz w:val="20"/>
          <w:szCs w:val="20"/>
          <w:u w:val="single" w:color="auto"/>
          <w:color w:val="auto"/>
        </w:rPr>
        <w:t>Schedule 5.19</w:t>
      </w:r>
      <w:r>
        <w:rPr>
          <w:rFonts w:ascii="Times New Roman" w:cs="Times New Roman" w:eastAsia="Times New Roman" w:hAnsi="Times New Roman"/>
          <w:sz w:val="20"/>
          <w:szCs w:val="20"/>
          <w:color w:val="auto"/>
        </w:rPr>
        <w:t xml:space="preserve"> (which Schedule shall be updated in connection with the consummation of a Permitted Acquisition) sets forth a true and complete list of the following information for each Material License issued to or utilized by the Loan Parties or their respective Restricted Subsidiaries: the granting authority, the name of the licensee, the type of service, the expiration date and the geographic area covered by such License. Other than as set forth in </w:t>
      </w:r>
      <w:r>
        <w:rPr>
          <w:rFonts w:ascii="Times New Roman" w:cs="Times New Roman" w:eastAsia="Times New Roman" w:hAnsi="Times New Roman"/>
          <w:sz w:val="20"/>
          <w:szCs w:val="20"/>
          <w:u w:val="single" w:color="auto"/>
          <w:color w:val="auto"/>
        </w:rPr>
        <w:t>Schedule 5.19</w:t>
      </w:r>
      <w:r>
        <w:rPr>
          <w:rFonts w:ascii="Times New Roman" w:cs="Times New Roman" w:eastAsia="Times New Roman" w:hAnsi="Times New Roman"/>
          <w:sz w:val="20"/>
          <w:szCs w:val="20"/>
          <w:color w:val="auto"/>
        </w:rPr>
        <w:t>, each Material License is held by a Loan Party or a wholly-owned, Domestic Subsidiary of a Loan Party that is a Restricted Subsidiary whose Equity Interests are subject to a Prior Security Interest in favor of the Administrative Agent, on behalf of itself and the other Secured Parties, pursuant to the Security Agreement.</w:t>
      </w:r>
    </w:p>
    <w:p>
      <w:pPr>
        <w:spacing w:after="0" w:line="189"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Change, (i) the Material Licenses are valid and in full force and effect without conditions, except for such conditions as are generally applicable to holders of such Material Licenses; (ii) each Loan Party or Restricted Subsidiary of has all requisite power and authority required under the Communications Act and PUC Laws to hold the Material Licenses and to own and operate its Communications Systems; (iii) the Material Licenses constitute in all material respects all of the Material Licenses necessary for the operation of the Communications Systems in the same manner as it is presently conducted; (iv) no event has occurred and is continuing which would reasonably be expected to (A) result in the suspension, revocation, or termination of any such Material License or (B) materially and adversely affect any rights of the Loan Parties or their respective Restricted Subsidiaries thereunder; (v) no Loan Party or any Restricted Subsidiary has actual knowledge that any Material License will not be renewed in the ordinary course; (vi) neither the Loan Parties nor any of their respective Subsidiaries are a party to any investigation, notice of apparent liability, notice of violation, order or complaint issued by or before the FCC, PUC or any applicable Governmental Authority with respect to a Material License; and (vii) there are no proceedings pending by or before the FCC, PUC or any applicable Governmental Authority which would reasonably be expected to adversely affect the validity of any Material License.</w:t>
      </w:r>
    </w:p>
    <w:p>
      <w:pPr>
        <w:spacing w:after="0" w:line="19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Change, all of the material properties, equipment and systems owned, leased, subleased or managed by the Loan Parties or Restricted Subsidiaries are, and (to the best knowledge of the Loan Parties and their Restricted Subsidiaries) all such property, equipment and systems to be acquired or added in connection with any contemplated system expansion or construction will be, in good repair, working order and condition (reasonable wear and tear excepted) and are and will be in compliance with all terms and conditions of the Material Licenses, all Laws and all standards or rules (including with respect to the construction and operation of such property, equipment and systems) imposed by any Governmental Authority or as imposed under any agreements with telecommunications companies and customers.</w:t>
      </w:r>
    </w:p>
    <w:p>
      <w:pPr>
        <w:spacing w:after="0" w:line="18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the Restricted Subsidiaries has made all material filings which are required to be filed by it, paid all material franchise, license, regulatory assessments or other fees and charges related to the Material Licenses or which are required to be paid or have become due pursuant to any authorization, consent, approval or license of, or registration or filing with, any Governmental Authority in respect of its business or which is otherwise required for the construction and operation of any Communication System and has made appropriate provision as is required by GAAP for any such fees and charges which have accrued, except as would not reasonably be expected to result in a Material Adverse Change.</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51"/>
        </w:numPr>
        <w:rPr>
          <w:rFonts w:ascii="Times New Roman" w:cs="Times New Roman" w:eastAsia="Times New Roman" w:hAnsi="Times New Roman"/>
          <w:sz w:val="20"/>
          <w:szCs w:val="20"/>
          <w:color w:val="0000FF"/>
        </w:rPr>
      </w:pPr>
      <w:r>
        <w:rPr>
          <w:rFonts w:ascii="Times New Roman" w:cs="Times New Roman" w:eastAsia="Times New Roman" w:hAnsi="Times New Roman"/>
          <w:sz w:val="20"/>
          <w:szCs w:val="20"/>
          <w:u w:val="single" w:color="auto"/>
          <w:color w:val="0000FF"/>
        </w:rPr>
        <w:t>Except as would not reasonably be expected to result in a Material Adverse Change, each of the Loan Parties and the Restricted Subsidiaries has complied with all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193" w:name="page194"/>
    <w:bookmarkEnd w:id="193"/>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0000FF"/>
        </w:rPr>
        <w:t>rules, restrictions, and other terms and conditions required to be complied with respect to any Funding Program or associated with the receipt and use of funding from any Funding Agency. To the best of each Loan Party’s and Restricted Subsidiary’s knowledge, there are no non-routine, pending audits or investigations by any Governmental Authority or Funding Agency threatened in writing regarding the Loan Parties’ or Restricted Subsidiaries’ use of, or entitlement to, any funding received from any Funding Program, in each case, the result of which would reasonably be expected to result in a fine or penalty that would reasonably be expected to result in a Material Adverse Change.</w:t>
      </w:r>
    </w:p>
    <w:p>
      <w:pPr>
        <w:spacing w:after="0" w:line="180"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5.20 </w:t>
      </w:r>
      <w:r>
        <w:rPr>
          <w:rFonts w:ascii="Times New Roman" w:cs="Times New Roman" w:eastAsia="Times New Roman" w:hAnsi="Times New Roman"/>
          <w:sz w:val="20"/>
          <w:szCs w:val="20"/>
          <w:b w:val="1"/>
          <w:bCs w:val="1"/>
          <w:u w:val="single" w:color="auto"/>
          <w:color w:val="auto"/>
        </w:rPr>
        <w:t>Solvency</w:t>
      </w:r>
      <w:r>
        <w:rPr>
          <w:rFonts w:ascii="Times New Roman" w:cs="Times New Roman" w:eastAsia="Times New Roman" w:hAnsi="Times New Roman"/>
          <w:sz w:val="20"/>
          <w:szCs w:val="20"/>
          <w:color w:val="auto"/>
        </w:rPr>
        <w:t>. Before and after giving effect to any Credit Extension hereunder, the Borrower and its Subsidiaries, taken as a whole, are Solvent.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5.21</w:t>
      </w:r>
      <w:r>
        <w:rPr>
          <w:sz w:val="20"/>
          <w:szCs w:val="20"/>
          <w:color w:val="auto"/>
        </w:rPr>
        <w:tab/>
      </w:r>
      <w:r>
        <w:rPr>
          <w:rFonts w:ascii="Times New Roman" w:cs="Times New Roman" w:eastAsia="Times New Roman" w:hAnsi="Times New Roman"/>
          <w:sz w:val="19"/>
          <w:szCs w:val="19"/>
          <w:b w:val="1"/>
          <w:bCs w:val="1"/>
          <w:u w:val="single" w:color="auto"/>
          <w:color w:val="auto"/>
        </w:rPr>
        <w:t>Qualified ECP Guarantor</w:t>
      </w:r>
      <w:r>
        <w:rPr>
          <w:rFonts w:ascii="Times New Roman" w:cs="Times New Roman" w:eastAsia="Times New Roman" w:hAnsi="Times New Roman"/>
          <w:sz w:val="19"/>
          <w:szCs w:val="19"/>
          <w:color w:val="auto"/>
        </w:rPr>
        <w:t>. The Borrower is a Qualified ECP Guarantor.</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5.22 </w:t>
      </w:r>
      <w:r>
        <w:rPr>
          <w:rFonts w:ascii="Times New Roman" w:cs="Times New Roman" w:eastAsia="Times New Roman" w:hAnsi="Times New Roman"/>
          <w:sz w:val="20"/>
          <w:szCs w:val="20"/>
          <w:b w:val="1"/>
          <w:bCs w:val="1"/>
          <w:u w:val="single" w:color="auto"/>
          <w:color w:val="auto"/>
        </w:rPr>
        <w:t>Transactions with Affiliates</w:t>
      </w:r>
      <w:r>
        <w:rPr>
          <w:rFonts w:ascii="Times New Roman" w:cs="Times New Roman" w:eastAsia="Times New Roman" w:hAnsi="Times New Roman"/>
          <w:sz w:val="20"/>
          <w:szCs w:val="20"/>
          <w:color w:val="auto"/>
        </w:rPr>
        <w:t xml:space="preserve">. No Affiliate of any Loan Party or any Restricted Subsidiary owns any beneficial interest, is a party to any agreement, contract, commitment or transaction with Loan Parties or has any material interest in any material property used by Loan Parties, except as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5.23 </w:t>
      </w:r>
      <w:r>
        <w:rPr>
          <w:rFonts w:ascii="Times New Roman" w:cs="Times New Roman" w:eastAsia="Times New Roman" w:hAnsi="Times New Roman"/>
          <w:sz w:val="20"/>
          <w:szCs w:val="20"/>
          <w:b w:val="1"/>
          <w:bCs w:val="1"/>
          <w:u w:val="single" w:color="auto"/>
          <w:color w:val="auto"/>
        </w:rPr>
        <w:t>Labor Matters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There are no strikes, lockouts or slowdowns against any Loan Party or any Restricted Subsidiary pending or, to the knowledge of any Loan Party, threatened except as would not reasonably be expected to result in a Material Adverse Change. The execution, delivery and performance of the Loan Documents will not give rise to any right of termination or right of renegotiation on the part of any union under any collective bargaining agreement to which any Loan Party or any Restricted Subsidiary is bound, except as would not reasonably be expected to result in a Material Adverse Change.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5.24</w:t>
      </w:r>
      <w:r>
        <w:rPr>
          <w:sz w:val="20"/>
          <w:szCs w:val="20"/>
          <w:color w:val="auto"/>
        </w:rPr>
        <w:tab/>
      </w:r>
      <w:r>
        <w:rPr>
          <w:rFonts w:ascii="Times New Roman" w:cs="Times New Roman" w:eastAsia="Times New Roman" w:hAnsi="Times New Roman"/>
          <w:sz w:val="19"/>
          <w:szCs w:val="19"/>
          <w:b w:val="1"/>
          <w:bCs w:val="1"/>
          <w:u w:val="single" w:color="auto"/>
          <w:color w:val="auto"/>
        </w:rPr>
        <w:t>Anti-Corruption; Anti-Terrorism and Sanctions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4"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their respective Restricted Subsidiaries, Affiliates, officers, directors, employees and agents, are in compliance, in all respects, with all applicable (i) Anti-Corruption Laws, (ii) Anti-Terrorism Laws and (iii) Sanctions.</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implemented and maintains in effect policies and procedures designed to ensure compliance by the Loan Parties and their respective Restricted Subsidiaries, Affiliates, officers, directors, employees and agents with all applicable (i) Anti-Corruption Laws, (ii) Anti-Terrorism Laws and (iii) Sanctions.</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Loan Parties or their respective Restricted Subsidiaries, and to the knowledge of the Loan Parties and the Restricted Subsidiaries, none of their Affiliates, officers, directors, employees or agents are Sanctioned Persons or have engaged in, or are now engaged in, or will engage in, any dealings or transactions with any Sanctioned Person.</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Extension, use of proceeds or other transaction contemplated by this Agreement will violate any applicable (i) Anti-Corruption Laws, (ii) Anti-Terrorism Laws or (iii) Sanctions.</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have provided to the Administrative Agent and the Lenders all information requested by the Administrative Agent and the Lenders regarding the Loan Parties and their respective Restricted Subsidiaries, Affiliates, officers, directors, employees and agents that is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4" w:name="page195"/>
    <w:bookmarkEnd w:id="194"/>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for the Administrative Agent and the Lenders to collect to comply with applicable Anti-Corruption Laws, Anti-Terrorism Laws, Sanctions and other Laws.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5.25</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5.26 </w:t>
      </w:r>
      <w:r>
        <w:rPr>
          <w:rFonts w:ascii="Times New Roman" w:cs="Times New Roman" w:eastAsia="Times New Roman" w:hAnsi="Times New Roman"/>
          <w:sz w:val="20"/>
          <w:szCs w:val="20"/>
          <w:b w:val="1"/>
          <w:bCs w:val="1"/>
          <w:u w:val="single" w:color="auto"/>
          <w:color w:val="auto"/>
        </w:rPr>
        <w:t>Acquisition Not Subject to Exon Florio Provision of the Defense Production Act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At the time any Acquisition or any other Investment is consummated by any Loan Party or any Subsidiary of any Loan Party and at the time of any Equity Issuance by or to any Loan Party or any Subsidiary of any Loan Party, the Borrower, on the basis of thorough due diligence with respect to such Acquisition or such Investment or such Equity Issuance, have determined in good faith that: (i) such Acquisition or such Investment or such Equity Issuance will not result in the acquisition of a substantial interest in any TID U.S. business by a foreign person in which a national or subnational government of a single foreign state (other than an excepted foreign state) has a substantial interest, with the term “TID U.S. business” having the meaning set forth in 31 C.F.R. § 800.248 and the term “substantial interest” having the meaning set forth in 31 C.F.R. § 800.244; (ii) any Acquired Business and its Subsidiaries or such other Investment do not produce, design, test, manufacture, fabricate, or develop one or more “critical technologies”, with the term “critical technologies” having the meaning set forth in 31 C.F.R. § 800.215; (iii) no Loan Party or Subsidiary of any Loan Party produces, designs, tests, manufactures, fabricates, or develops one or more “critical technologies”, with the term “critical technologies” having the meaning set forth in 31 C.F.R. § 800.215; and (iv) therefore, that the submission of a declaration to the Committee on Foreign Investment in the United States is not required pursuant to 31 C.F.R. § 800.401. For the purpose of this </w:t>
      </w:r>
      <w:r>
        <w:rPr>
          <w:rFonts w:ascii="Times New Roman" w:cs="Times New Roman" w:eastAsia="Times New Roman" w:hAnsi="Times New Roman"/>
          <w:sz w:val="20"/>
          <w:szCs w:val="20"/>
          <w:u w:val="single" w:color="auto"/>
          <w:color w:val="auto"/>
        </w:rPr>
        <w:t>Section 5.26</w:t>
      </w:r>
      <w:r>
        <w:rPr>
          <w:rFonts w:ascii="Times New Roman" w:cs="Times New Roman" w:eastAsia="Times New Roman" w:hAnsi="Times New Roman"/>
          <w:sz w:val="20"/>
          <w:szCs w:val="20"/>
          <w:color w:val="auto"/>
        </w:rPr>
        <w:t>, the term “foreign person” has the meaning set forth in 31 C.F.R. § 800.224 and the term “foreign entity” (referred to in the definition of foreign person) has the meaning set forth in 31 C.F.R. § 800.220.</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  AFFIRMATIVE COVENANTS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Loan Parties, jointly and severally, covenant and agree that until Payment In Full of the Secured Obligations, the Loan Parties shall and shall cause each Restricted Subsidiary to comply at all times with the following covenants:</w:t>
      </w:r>
    </w:p>
    <w:p>
      <w:pPr>
        <w:spacing w:after="0" w:line="15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Reporting Requirements</w:t>
      </w:r>
      <w:r>
        <w:rPr>
          <w:rFonts w:ascii="Times New Roman" w:cs="Times New Roman" w:eastAsia="Times New Roman" w:hAnsi="Times New Roman"/>
          <w:sz w:val="20"/>
          <w:szCs w:val="20"/>
          <w:color w:val="auto"/>
        </w:rPr>
        <w:t>. The Loan Parties will furnish or cause to be furnished to the Administrative Agent and each of the Lenders:</w:t>
      </w:r>
    </w:p>
    <w:p>
      <w:pPr>
        <w:spacing w:after="0" w:line="156" w:lineRule="exact"/>
        <w:rPr>
          <w:sz w:val="20"/>
          <w:szCs w:val="20"/>
          <w:color w:val="auto"/>
        </w:rPr>
      </w:pPr>
    </w:p>
    <w:p>
      <w:pPr>
        <w:jc w:val="both"/>
        <w:ind w:firstLine="1304"/>
        <w:spacing w:after="0" w:line="242" w:lineRule="auto"/>
        <w:tabs>
          <w:tab w:leader="none" w:pos="19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Commencing with the fiscal quarter ending June 30, 2023, as soon as available and in any event no later than the earlier to occur of (i) ten (10) days after the date that the Borrower is required to file its quarterly report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as part of its periodic reporting (if the Borrower is subject to such reporting requirements) and (ii) fifty-five (55) days after the end of the first three fiscal quarters of each fiscal year of Borrower, Borrower will deliver consolidated (and consolidating with respect to the Borrower’s separate lines of business, as reasonably requested by the Administrative Agent) balance sheets of Borrower and its Restricted Subsidiaries, as at the end of such fiscal quarter and the then elapsed portion of the applicable fiscal year, and the related consolidated (and consolidating with respect to the Borrower’s separate lines of business, as reasonably requested by the Administrative Agent) statements of income, shareholders’ equity and cash flows for such fiscal quarter and for the period from the beginning of the then current fiscal year of Borrower to the end of such quarter (which requirement shall be deemed satisfied by the delivery of Borrower’s quarterly report on Form 10-Q (or any successor form) for such quarter).</w:t>
      </w:r>
    </w:p>
    <w:p>
      <w:pPr>
        <w:spacing w:after="0" w:line="18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Commencing with the fiscal year ending December 31, 2023, as soon as available and in any event no later than the earlier to occur of (i) 10 days after the date that the Borrower is required to file its annual report with the SEC as part of its periodic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5" w:name="page196"/>
    <w:bookmarkEnd w:id="195"/>
    <w:p>
      <w:pPr>
        <w:jc w:val="both"/>
        <w:spacing w:after="0" w:line="242" w:lineRule="auto"/>
        <w:rPr>
          <w:sz w:val="20"/>
          <w:szCs w:val="20"/>
          <w:color w:val="auto"/>
        </w:rPr>
      </w:pPr>
      <w:r>
        <w:rPr>
          <w:rFonts w:ascii="Times New Roman" w:cs="Times New Roman" w:eastAsia="Times New Roman" w:hAnsi="Times New Roman"/>
          <w:sz w:val="20"/>
          <w:szCs w:val="20"/>
          <w:color w:val="auto"/>
        </w:rPr>
        <w:t>reporting (if the Borrower is subject to such reporting requirements), and (ii) 100 days after the end of each fiscal year of the Borrower, the Borrower will deliver (a) consolidated (and consolidating with respect to the Borrower’s separate lines of business, as reasonably requested by the Administrative Agent) balance sheets of the Borrower and its Restricted Subsidiaries, as at the end of such year, and the related consolidated (and consolidating with respect to the Borrower’s separate lines of business, as reasonably requested by the Administrative Agent) statements of income, shareholders’ equity and cash flows for such fiscal year (which requirement shall be deemed satisfied by the delivery of the Borrower’s Annual Report on Form 10-K (or any successor form) for such year) and (b) a report with respect to the financial statements received pursuant to this Subsection from PricewaterhouseCoopers LLP or another firm of independent certified public accountants of recognized national standing selected by the Borrower and reasonably acceptable to Administrative Agent, which report shall be prepared in accordance with Statement of Auditing Standards No. 58 (the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as amended, entitled “Reports on Audited Financial Statements” and such report shall be without any material qualification or exception as to the scope of such audit or any “going concern” qualification.</w:t>
      </w:r>
    </w:p>
    <w:p>
      <w:pPr>
        <w:spacing w:after="0" w:line="186" w:lineRule="exact"/>
        <w:rPr>
          <w:sz w:val="20"/>
          <w:szCs w:val="20"/>
          <w:color w:val="auto"/>
        </w:rPr>
      </w:pPr>
    </w:p>
    <w:p>
      <w:pPr>
        <w:jc w:val="both"/>
        <w:ind w:firstLine="1304"/>
        <w:spacing w:after="0" w:line="249" w:lineRule="auto"/>
        <w:tabs>
          <w:tab w:leader="none" w:pos="1944"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Concurrently with the financial statements of the Borrower and Restricted Subsidiaries furnished to the Administrative Agent and to the Lenders pursuant to </w:t>
      </w:r>
      <w:r>
        <w:rPr>
          <w:rFonts w:ascii="Times New Roman" w:cs="Times New Roman" w:eastAsia="Times New Roman" w:hAnsi="Times New Roman"/>
          <w:sz w:val="20"/>
          <w:szCs w:val="20"/>
          <w:u w:val="single" w:color="auto"/>
          <w:color w:val="auto"/>
        </w:rPr>
        <w:t>Sections 6.1(a)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 Compliance Certificate duly executed by a Compliance Officer of the Borrower, together with any changes to the most recently delivered list of Excluded Subsidiaries and Unrestricted Subsidiaries.</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Reports.</w:t>
      </w:r>
    </w:p>
    <w:p>
      <w:pPr>
        <w:spacing w:after="0" w:line="211"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Annual Budget</w:t>
      </w:r>
      <w:r>
        <w:rPr>
          <w:rFonts w:ascii="Times New Roman" w:cs="Times New Roman" w:eastAsia="Times New Roman" w:hAnsi="Times New Roman"/>
          <w:sz w:val="20"/>
          <w:szCs w:val="20"/>
          <w:color w:val="auto"/>
        </w:rPr>
        <w:t>. Commencing with the fiscal year ending December 31, 2023, the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Budget and any forecasts or projections of the Borrower, to be supplied not later than sixty (60) days after the end of each fiscal year, with respect to the subsequent fiscal year.</w:t>
      </w:r>
    </w:p>
    <w:p>
      <w:pPr>
        <w:spacing w:after="0" w:line="168"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Accountants’ Reports. </w:t>
      </w:r>
      <w:r>
        <w:rPr>
          <w:rFonts w:ascii="Times New Roman" w:cs="Times New Roman" w:eastAsia="Times New Roman" w:hAnsi="Times New Roman"/>
          <w:sz w:val="20"/>
          <w:szCs w:val="20"/>
          <w:color w:val="auto"/>
        </w:rPr>
        <w:t>Promptly upon their becoming available to any Loan Party,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reports, including management letters submitted, to any Loan Party by independent accountants in connection with any annual, interim or special audit.</w:t>
      </w:r>
    </w:p>
    <w:p>
      <w:pPr>
        <w:spacing w:after="0" w:line="168"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Management Report</w:t>
      </w:r>
      <w:r>
        <w:rPr>
          <w:rFonts w:ascii="Times New Roman" w:cs="Times New Roman" w:eastAsia="Times New Roman" w:hAnsi="Times New Roman"/>
          <w:sz w:val="20"/>
          <w:szCs w:val="20"/>
          <w:color w:val="auto"/>
        </w:rPr>
        <w:t>. Concurrently with the quarterly financial statements furnished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Administrative Agent and to the Lenders pursuant to </w:t>
      </w:r>
      <w:r>
        <w:rPr>
          <w:rFonts w:ascii="Times New Roman" w:cs="Times New Roman" w:eastAsia="Times New Roman" w:hAnsi="Times New Roman"/>
          <w:sz w:val="20"/>
          <w:szCs w:val="20"/>
          <w:u w:val="single" w:color="auto"/>
          <w:color w:val="auto"/>
        </w:rPr>
        <w:t>Sections 6.1(a)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if Borrower is no longer subject to reporting requirements of the Act, reports in scope and content substantively similar to its present SEC reporting. The information above shall be presented in reasonable detail and shall be certified by a Compliance Officer of the Borrower to the effect that, to his or her knowledge after reasonable diligence, such information fairly presents in all material respects the results of operations and financial condition of the Loan Parties and their Subsidiaries as at the dates and for the periods indicated.</w:t>
      </w:r>
    </w:p>
    <w:p>
      <w:pPr>
        <w:spacing w:after="0" w:line="178"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9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 Filings</w:t>
      </w:r>
      <w:r>
        <w:rPr>
          <w:rFonts w:ascii="Times New Roman" w:cs="Times New Roman" w:eastAsia="Times New Roman" w:hAnsi="Times New Roman"/>
          <w:sz w:val="20"/>
          <w:szCs w:val="20"/>
          <w:color w:val="auto"/>
        </w:rPr>
        <w:t>. Promptly upon their becoming available, the Borrower will deliver or cause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delivered copies of (i) all financial statements, reports, notices and proxy statements sent or made available by any Loan Party or any Restricted Subsidiary to any of their security holders generally, and (ii) all regular and periodic reports and all registration statements and prospectuses, if any, filed by any Loan Party or any Restricted Subsidiary with the SEC.</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ind w:right="20" w:firstLine="1952"/>
        <w:spacing w:after="0" w:line="273" w:lineRule="auto"/>
        <w:tabs>
          <w:tab w:leader="none" w:pos="2592" w:val="left"/>
        </w:tabs>
        <w:numPr>
          <w:ilvl w:val="1"/>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Default</w:t>
      </w:r>
      <w:r>
        <w:rPr>
          <w:rFonts w:ascii="Times New Roman" w:cs="Times New Roman" w:eastAsia="Times New Roman" w:hAnsi="Times New Roman"/>
          <w:sz w:val="20"/>
          <w:szCs w:val="20"/>
          <w:color w:val="auto"/>
        </w:rPr>
        <w:t>. Promptly after any officer of any Loan Party has learned of the occurrence of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Event of Default or Default, a certificate signed by an Authorized Officer setting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20"/>
          <w:szCs w:val="20"/>
          <w:color w:val="auto"/>
        </w:rPr>
        <w:t>the details of such Event of Default or Default and the action that such Loan Party proposes to take with respect thereto.</w:t>
      </w:r>
    </w:p>
    <w:p>
      <w:pPr>
        <w:spacing w:after="0" w:line="211" w:lineRule="exact"/>
        <w:rPr>
          <w:sz w:val="20"/>
          <w:szCs w:val="20"/>
          <w:color w:val="auto"/>
        </w:rPr>
      </w:pPr>
    </w:p>
    <w:p>
      <w:pPr>
        <w:jc w:val="both"/>
        <w:ind w:firstLine="1952"/>
        <w:spacing w:after="0" w:line="242" w:lineRule="auto"/>
        <w:tabs>
          <w:tab w:leader="none" w:pos="259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Regulatory and Other Notices</w:t>
      </w:r>
      <w:r>
        <w:rPr>
          <w:rFonts w:ascii="Times New Roman" w:cs="Times New Roman" w:eastAsia="Times New Roman" w:hAnsi="Times New Roman"/>
          <w:sz w:val="20"/>
          <w:szCs w:val="20"/>
          <w:color w:val="auto"/>
        </w:rPr>
        <w:t>. Promptly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0000FF"/>
        </w:rPr>
        <w:t>(A)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after filing, receiving or becoming aware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thereof, the Loan Parties will deliver or cause to be delivered copies of any filings or communications sent to, or notices and other communications received by, any Loan Party or any of its respective Subsidiaries from any Governmental Authority, including the FCC and any PUC, relating to any noncompliance by any Loan Party or any of its Subsidiaries with any applicable Law, including the Communications Act and any applicable PUC Law, or with respect to any matter or proceeding, in each case, the effect of which would reasonably be expected to result in a Material Adverse Change</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u w:val="single" w:color="auto"/>
          <w:color w:val="0000FF"/>
        </w:rPr>
        <w:t>; and (B)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0000FF"/>
        </w:rPr>
        <w:t>after any Loan Party or Restricted Subsidiary receiving a threat in writing of any non-routine pending audits or investigations by any Governmental Authority or Funding Agency regarding a Loan Party’s or a Restricted Subsidiary’s use of, or entitlement to, any funding received from any Funding Program, in each case, that could reasonably be expected to result in any default or event of default by such Loan Party or Restricted Subsidiary under such Funding Program, the Loan Parties will deliver or cause to be delivered copies of such communications.</w:t>
      </w:r>
    </w:p>
    <w:p>
      <w:pPr>
        <w:spacing w:after="0" w:line="189"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9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Promptly after the commencement thereof, notice of all actions, suits,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proceedings or investigations before or by any Governmental Authority or any other Person against any Loan Party or Subsidiary of any Loan Party that relate to the Collateral, involve a claim or series of claims that if adversely determined would reasonably be expected to result in a Material Adverse Change.</w:t>
      </w:r>
    </w:p>
    <w:p>
      <w:pPr>
        <w:spacing w:after="0" w:line="175"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ERISA Event</w:t>
      </w:r>
      <w:r>
        <w:rPr>
          <w:rFonts w:ascii="Times New Roman" w:cs="Times New Roman" w:eastAsia="Times New Roman" w:hAnsi="Times New Roman"/>
          <w:sz w:val="20"/>
          <w:szCs w:val="20"/>
          <w:color w:val="auto"/>
        </w:rPr>
        <w:t>. Promptly after becoming aware of any ERISA Event, accompanied by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materials required to be filed with the PBGC with respect thereto; promptly after any Loan Party’s or any of its respective Restricted Subsidiaries’ receipt of any notice concerning the institution of proceedings by the PBGC pursuant to Section 4042 of ERISA to promptly terminate any Pension Plan or to appoint a trustee to administer any Pension Plan; promptly upon the establishment of any Pension Plan not existing at the Closing Date or the commencement of contributions by any Loan Party or any of its respective Restricted Subsidiaries to any Pension Plan to which any Loan Party or any of its respective Restricted Subsidiaries was not contributing at the Closing Date; and promptly upon becoming aware of any other event or condition regarding a Plan or any Loan Party’s or any of its respective Restricted Subsidiaries’ or an ERISA Affiliate’s compliance with ERISA which, in each case, would reasonably be expected to result in a Material Adverse Change, Borrower will give notice to Administrative Agent and Lenders thereof and provide such other information as may be reasonably available to any Loan Party or any such Subsidiary to enable Administrative Agent and Lenders to reasonably evaluate such matter.</w:t>
      </w:r>
    </w:p>
    <w:p>
      <w:pPr>
        <w:spacing w:after="0" w:line="187"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9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Material Adverse Change. </w:t>
      </w:r>
      <w:r>
        <w:rPr>
          <w:rFonts w:ascii="Times New Roman" w:cs="Times New Roman" w:eastAsia="Times New Roman" w:hAnsi="Times New Roman"/>
          <w:sz w:val="20"/>
          <w:szCs w:val="20"/>
          <w:color w:val="auto"/>
        </w:rPr>
        <w:t>Promptly after the Borrower becomes aware thereof,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 will give notice of any change in events or changes in facts or circumstances affecting any Loan Party or any of their respective Restricted Subsidiaries which individually or in the aggregate have resulted in or would reasonably be expected to result in a Material Adverse Change.</w:t>
      </w:r>
    </w:p>
    <w:p>
      <w:pPr>
        <w:spacing w:after="0" w:line="17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Environmental Notices</w:t>
      </w:r>
      <w:r>
        <w:rPr>
          <w:rFonts w:ascii="Times New Roman" w:cs="Times New Roman" w:eastAsia="Times New Roman" w:hAnsi="Times New Roman"/>
          <w:sz w:val="20"/>
          <w:szCs w:val="20"/>
          <w:color w:val="auto"/>
        </w:rPr>
        <w:t>. Promptly after becoming aware of any violation by any Loan Party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any of its respective Subsidiaries of Environmental Laws or promptly upon receipt of any notice that a Governmental Authority or other Person has asserted that any Loan Party or any of its respective Subsidiaries is not in compliance with Environmental Laws or that its compliance is being investigated, and, in either case, the same would reasonably be expected to result in a Material Adverse Change, the Borrower will give notice thereof and provide such other information as may be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7" w:name="page198"/>
    <w:bookmarkEnd w:id="197"/>
    <w:p>
      <w:pPr>
        <w:spacing w:after="0" w:line="268" w:lineRule="auto"/>
        <w:rPr>
          <w:sz w:val="20"/>
          <w:szCs w:val="20"/>
          <w:color w:val="auto"/>
        </w:rPr>
      </w:pPr>
      <w:r>
        <w:rPr>
          <w:rFonts w:ascii="Times New Roman" w:cs="Times New Roman" w:eastAsia="Times New Roman" w:hAnsi="Times New Roman"/>
          <w:sz w:val="20"/>
          <w:szCs w:val="20"/>
          <w:color w:val="auto"/>
        </w:rPr>
        <w:t>available to any Loan Party or any of its respective Subsidiaries to enable the Administrative Agent and the Lenders to reasonably evaluate such matter.</w:t>
      </w:r>
    </w:p>
    <w:p>
      <w:pPr>
        <w:spacing w:after="0" w:line="157" w:lineRule="exact"/>
        <w:rPr>
          <w:sz w:val="20"/>
          <w:szCs w:val="20"/>
          <w:color w:val="auto"/>
        </w:rPr>
      </w:pPr>
    </w:p>
    <w:p>
      <w:pPr>
        <w:jc w:val="both"/>
        <w:ind w:firstLine="1952"/>
        <w:spacing w:after="0" w:line="250" w:lineRule="auto"/>
        <w:tabs>
          <w:tab w:leader="none" w:pos="2591" w:val="left"/>
        </w:tabs>
        <w:numPr>
          <w:ilvl w:val="1"/>
          <w:numId w:val="156"/>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i w:val="1"/>
          <w:iCs w:val="1"/>
          <w:u w:val="single" w:color="auto"/>
          <w:color w:val="0000FF"/>
        </w:rPr>
        <w:t>Notices and Reports under Funding Programs</w:t>
      </w:r>
      <w:r>
        <w:rPr>
          <w:rFonts w:ascii="Times New Roman" w:cs="Times New Roman" w:eastAsia="Times New Roman" w:hAnsi="Times New Roman"/>
          <w:sz w:val="20"/>
          <w:szCs w:val="20"/>
          <w:u w:val="single" w:color="auto"/>
          <w:color w:val="0000FF"/>
        </w:rPr>
        <w:t>. (x) Promptly upon the occurrence thereof,</w:t>
      </w:r>
      <w:r>
        <w:rPr>
          <w:rFonts w:ascii="Times New Roman" w:cs="Times New Roman" w:eastAsia="Times New Roman" w:hAnsi="Times New Roman"/>
          <w:sz w:val="20"/>
          <w:szCs w:val="20"/>
          <w:i w:val="1"/>
          <w:iCs w:val="1"/>
          <w:u w:val="single" w:color="auto"/>
          <w:color w:val="0000FF"/>
        </w:rPr>
        <w:t xml:space="preserve"> </w:t>
      </w:r>
      <w:r>
        <w:rPr>
          <w:rFonts w:ascii="Times New Roman" w:cs="Times New Roman" w:eastAsia="Times New Roman" w:hAnsi="Times New Roman"/>
          <w:sz w:val="20"/>
          <w:szCs w:val="20"/>
          <w:u w:val="single" w:color="auto"/>
          <w:color w:val="0000FF"/>
        </w:rPr>
        <w:t>the Borrower will give notice of any material default or event of default under any Funding Program and (y) promptly upon request by the Administrative Agent, copies of all required material reports delivered to any Funding Agency as required under the applicable Funding Program during the applicable period.</w:t>
      </w:r>
    </w:p>
    <w:p>
      <w:pPr>
        <w:spacing w:after="0" w:line="179" w:lineRule="exact"/>
        <w:rPr>
          <w:rFonts w:ascii="Times New Roman" w:cs="Times New Roman" w:eastAsia="Times New Roman" w:hAnsi="Times New Roman"/>
          <w:sz w:val="20"/>
          <w:szCs w:val="20"/>
          <w:u w:val="single" w:color="auto"/>
          <w:color w:val="0000FF"/>
        </w:rPr>
      </w:pPr>
    </w:p>
    <w:p>
      <w:pPr>
        <w:jc w:val="both"/>
        <w:ind w:firstLine="1304"/>
        <w:spacing w:after="0" w:line="254" w:lineRule="auto"/>
        <w:tabs>
          <w:tab w:leader="none" w:pos="1944"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 Certificate</w:t>
      </w:r>
      <w:r>
        <w:rPr>
          <w:rFonts w:ascii="Times New Roman" w:cs="Times New Roman" w:eastAsia="Times New Roman" w:hAnsi="Times New Roman"/>
          <w:sz w:val="20"/>
          <w:szCs w:val="20"/>
          <w:color w:val="auto"/>
        </w:rPr>
        <w:t>. Promptly after the occurrence thereof, a notice of any change in the information provided in the Beneficial Ownership Certification that would result in a change to the list of beneficial owners identified in such certification.</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Information</w:t>
      </w:r>
      <w:r>
        <w:rPr>
          <w:rFonts w:ascii="Times New Roman" w:cs="Times New Roman" w:eastAsia="Times New Roman" w:hAnsi="Times New Roman"/>
          <w:sz w:val="19"/>
          <w:szCs w:val="19"/>
          <w:color w:val="auto"/>
        </w:rPr>
        <w:t>. Such other reports and information as any of the Lenders may from time to time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reasonably request.</w:t>
      </w:r>
    </w:p>
    <w:p>
      <w:pPr>
        <w:spacing w:after="0" w:line="19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u w:val="single" w:color="auto"/>
          <w:color w:val="auto"/>
        </w:rPr>
        <w:t>Preservation of Existence, Etc</w:t>
      </w:r>
      <w:r>
        <w:rPr>
          <w:rFonts w:ascii="Times New Roman" w:cs="Times New Roman" w:eastAsia="Times New Roman" w:hAnsi="Times New Roman"/>
          <w:sz w:val="20"/>
          <w:szCs w:val="20"/>
          <w:color w:val="auto"/>
        </w:rPr>
        <w:t xml:space="preserve">. Each Loan Party shall, and shall cause each of its respective Restricted Subsidiaries (other than Immaterial Subsidiaries) to, maintain (a) its legal existence as a corporation, limited partnership or limited liability company or other entity, as the case may be as of the Closing Date or the date of formation or acquisition thereof and its license or qualification and good standing in each jurisdiction in which its ownership or lease of property or the nature of its business makes such license or qualification necessary, except as otherwise permitted in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and (b) all licenses, franchises, permits and other authorizations (including all Licenses) and Intellectual Property, the loss, revocation, termination, suspension or adverse modification of which would reasonably be expected to result in a Material Adverse Change or as otherwise permitted under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Payment of Taxes</w:t>
      </w:r>
      <w:r>
        <w:rPr>
          <w:rFonts w:ascii="Times New Roman" w:cs="Times New Roman" w:eastAsia="Times New Roman" w:hAnsi="Times New Roman"/>
          <w:sz w:val="20"/>
          <w:szCs w:val="20"/>
          <w:color w:val="auto"/>
        </w:rPr>
        <w:t>. Each Loan Party shall, and shall cause each Restricted Subsidiary to, duly pay and discharge all taxes and other governmental charges upon it or any of its properties, assets, income or profits, prior to the date on which penalties attach thereto, except to the extent (i) that such taxes or governmental charges are being contested in good faith and by appropriate and lawful proceedings diligently conducted and for which such reserve or other appropriate provisions, if any, as shall be required by GAAP shall have been made or (ii) where the failure to pay such taxes would not, individually or in the aggregate, reasonably be expected to result in a Material Adverse Change.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b w:val="1"/>
          <w:bCs w:val="1"/>
          <w:u w:val="single" w:color="auto"/>
          <w:color w:val="auto"/>
        </w:rPr>
        <w:t>Maintenance of Insurance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and shall cause each Restricted Subsidiary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 all as reasonably determined by the Administrative Agent. Such insurance policies shall contain additional insured, mortgagee and lender loss payable special endorsements in form and substance satisfactory to the Administrative Agent naming the Administrative Agent as additional insured, mortgagee and lender loss payee, as applicable, and providing the Administrative Agent with notice of cancellation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8" w:name="page199"/>
    <w:bookmarkEnd w:id="198"/>
    <w:p>
      <w:pPr>
        <w:jc w:val="both"/>
        <w:ind w:firstLine="1304"/>
        <w:spacing w:after="0" w:line="246" w:lineRule="auto"/>
        <w:tabs>
          <w:tab w:leader="none" w:pos="19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to the extent required under the Flood Laws, obtain and maintain flood insurance for such structures and contents constituting Collateral located in a flood hazard zone, in such amounts as similar structures and contents are insured by prudent companies in similar circumstances carrying on similar businesses and otherwise satisfactory to the Administrative Agent (but, in any event, providing all flood insurance required by applicable Law).</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each Loan Party shall deliver evidence of the insurance policies and endorsements described above to the Administrative Agent on or prior to the Closing Date. The Borrower will deliver to the Administrative Agent one or more certificates of insurance and endorsements evidencing renewal of the insurance coverage required hereunder within two (2) Business Days (or such later date as the Administrative Agent shall agree to in its reasonable discretion) after the completion of such renewal of the insurance coverage plus such other evidence of payment of premiums therefor as Administrative Agent may reasonably request in writing.</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fails to, or fails to cause any Restricted Subsidiary to, obtain and maintain any of the policies of insurance required to be maintained pursuant to the provisions of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or to pay any premium in whole or in part, the Administrative Agent may, without waiving or releasing any obligation or Default or Event of Default, at the Loan Parties’ expense, but without any obligation to do so, procure such policies or pay such premiums. All sums so disbursed by the Administrative Agent, including any reasonable and documented out-of-pocket expenses incurred by the Administrative Agent and reasonable fees, charges and disbursements of counsel for the Administrative Agent, shall be payable by the Loan Parties to the Administrative Agent on demand and shall be additional Obligations hereunder and under the other Loan Documents, secured by the Collateral.</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b w:val="1"/>
          <w:bCs w:val="1"/>
          <w:u w:val="single" w:color="auto"/>
          <w:color w:val="auto"/>
        </w:rPr>
        <w:t>Maintenance of Properties</w:t>
      </w:r>
      <w:r>
        <w:rPr>
          <w:rFonts w:ascii="Times New Roman" w:cs="Times New Roman" w:eastAsia="Times New Roman" w:hAnsi="Times New Roman"/>
          <w:sz w:val="20"/>
          <w:szCs w:val="20"/>
          <w:color w:val="auto"/>
        </w:rPr>
        <w:t>. Each Loan Party shall, and shall cause each Restricted Subsidiary to, maintain in good repair, working order and condition (ordinary wear and tear excepted) in accordance with the general practice of other businesses of similar character and size, all of those properties useful or necessary to its business, and from time to time, such Loan Party will make or cause to be made all appropriate repairs, renewals or replacements thereof, except as such action or inaction would not, individually or in the aggregate, reasonably be expected to result in a Material Adverse Change.</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b w:val="1"/>
          <w:bCs w:val="1"/>
          <w:u w:val="single" w:color="auto"/>
          <w:color w:val="auto"/>
        </w:rPr>
        <w:t>Visitation Rights</w:t>
      </w:r>
      <w:r>
        <w:rPr>
          <w:rFonts w:ascii="Times New Roman" w:cs="Times New Roman" w:eastAsia="Times New Roman" w:hAnsi="Times New Roman"/>
          <w:sz w:val="20"/>
          <w:szCs w:val="20"/>
          <w:color w:val="auto"/>
        </w:rPr>
        <w:t xml:space="preserve">. Each Loan Party shall, and shall cause each Restricted Subsidiary to, permit any of the officers or authorized employees or representatives of the Administrative Agent to visit and inspect during normal business hours any of its properties and to examine and make excerpts from its books and records and discuss its business affairs, finances and accounts with its officers and to conduct reviews of each Loan Party’s Collateral, all in such detail and at such times and as often as the Required Lenders or the Administrative Agent may reasonably request, all at the Borrower’s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the occurrence and continuance of an Event of Default, (i) the Administrative Agent shall provide the Borrower with at least three (3) Business Days’ notice prior to any visit or inspection and (ii) the Administrative Agent shall not make more than one (1) such visit or inspection in any calendar year.</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b w:val="1"/>
          <w:bCs w:val="1"/>
          <w:u w:val="single" w:color="auto"/>
          <w:color w:val="auto"/>
        </w:rPr>
        <w:t>Keeping of Records and Books of Account</w:t>
      </w:r>
      <w:r>
        <w:rPr>
          <w:rFonts w:ascii="Times New Roman" w:cs="Times New Roman" w:eastAsia="Times New Roman" w:hAnsi="Times New Roman"/>
          <w:sz w:val="20"/>
          <w:szCs w:val="20"/>
          <w:color w:val="auto"/>
        </w:rPr>
        <w:t>. The Loan Parties shall, and shall cause each Restricted Subsidiary of any Loan Party to, maintain and keep proper books of record and account that enable the Loan Parties and their Restricted Subsidiaries to issue financial statements in accordance with GAAP and as otherwise required by applicable Laws of any Governmental Authority having jurisdiction over any Loan Party or any Restricted Subsidiary of the Loan Parties, and in which full, true and correct entries shall be made in all material respects of all its dealings and business and financial affairs.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99" w:name="page200"/>
    <w:bookmarkEnd w:id="199"/>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304"/>
        <w:spacing w:after="0" w:line="249" w:lineRule="auto"/>
        <w:tabs>
          <w:tab w:leader="none" w:pos="194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101"/>
        </w:rPr>
        <w:t xml:space="preserve">Each Loan Party shall, and shall cause each </w:t>
      </w:r>
      <w:r>
        <w:rPr>
          <w:rFonts w:ascii="Times New Roman" w:cs="Times New Roman" w:eastAsia="Times New Roman" w:hAnsi="Times New Roman"/>
          <w:sz w:val="20"/>
          <w:szCs w:val="20"/>
          <w:color w:val="000000"/>
        </w:rPr>
        <w:t>Restricted</w:t>
      </w:r>
      <w:r>
        <w:rPr>
          <w:rFonts w:ascii="Times New Roman" w:cs="Times New Roman" w:eastAsia="Times New Roman" w:hAnsi="Times New Roman"/>
          <w:sz w:val="20"/>
          <w:szCs w:val="20"/>
          <w:color w:val="010101"/>
        </w:rPr>
        <w:t xml:space="preserve"> Subsidiary to, comply with all applicable Laws, except where failure to comply with any applicable Law would not result in fines, penalties, remediation costs, other similar liabilities or injunctive relief that, in the aggregate, </w:t>
      </w:r>
      <w:r>
        <w:rPr>
          <w:rFonts w:ascii="Times New Roman" w:cs="Times New Roman" w:eastAsia="Times New Roman" w:hAnsi="Times New Roman"/>
          <w:sz w:val="20"/>
          <w:szCs w:val="20"/>
          <w:color w:val="000000"/>
        </w:rPr>
        <w:t>would</w:t>
      </w:r>
      <w:r>
        <w:rPr>
          <w:rFonts w:ascii="Times New Roman" w:cs="Times New Roman" w:eastAsia="Times New Roman" w:hAnsi="Times New Roman"/>
          <w:sz w:val="20"/>
          <w:szCs w:val="20"/>
          <w:color w:val="010101"/>
        </w:rPr>
        <w:t xml:space="preserve"> reasonably be expected to result in a Material Adverse Change.</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101"/>
        </w:rPr>
        <w:t xml:space="preserve">Each of the Loan Parties shall, and shall cause each of its </w:t>
      </w:r>
      <w:r>
        <w:rPr>
          <w:rFonts w:ascii="Times New Roman" w:cs="Times New Roman" w:eastAsia="Times New Roman" w:hAnsi="Times New Roman"/>
          <w:sz w:val="20"/>
          <w:szCs w:val="20"/>
          <w:color w:val="000000"/>
        </w:rPr>
        <w:t>Restricted</w:t>
      </w:r>
      <w:r>
        <w:rPr>
          <w:rFonts w:ascii="Times New Roman" w:cs="Times New Roman" w:eastAsia="Times New Roman" w:hAnsi="Times New Roman"/>
          <w:sz w:val="20"/>
          <w:szCs w:val="20"/>
          <w:color w:val="010101"/>
        </w:rPr>
        <w:t xml:space="preserve"> Subsidiaries, Affiliates, officers, directors, employees and agents to, comply with all applicable</w:t>
      </w:r>
    </w:p>
    <w:p>
      <w:pPr>
        <w:spacing w:after="0" w:line="159" w:lineRule="exact"/>
        <w:rPr>
          <w:sz w:val="20"/>
          <w:szCs w:val="20"/>
          <w:color w:val="auto"/>
        </w:rPr>
      </w:pPr>
    </w:p>
    <w:p>
      <w:pPr>
        <w:jc w:val="both"/>
        <w:ind w:firstLine="1304"/>
        <w:spacing w:after="0" w:line="249" w:lineRule="auto"/>
        <w:tabs>
          <w:tab w:leader="none" w:pos="1546" w:val="left"/>
        </w:tabs>
        <w:numPr>
          <w:ilvl w:val="0"/>
          <w:numId w:val="161"/>
        </w:numPr>
        <w:rPr>
          <w:rFonts w:ascii="Times New Roman" w:cs="Times New Roman" w:eastAsia="Times New Roman" w:hAnsi="Times New Roman"/>
          <w:sz w:val="20"/>
          <w:szCs w:val="20"/>
          <w:color w:val="010101"/>
        </w:rPr>
      </w:pPr>
      <w:r>
        <w:rPr>
          <w:rFonts w:ascii="Times New Roman" w:cs="Times New Roman" w:eastAsia="Times New Roman" w:hAnsi="Times New Roman"/>
          <w:sz w:val="20"/>
          <w:szCs w:val="20"/>
          <w:color w:val="010101"/>
        </w:rPr>
        <w:t>Anti-Corruption Laws, (ii) Anti-Terrorism Laws and (iii) Sanctions. The Borrower shall implement and maintain in effect policies and procedures designed to ensure compliance by the Loan Parties and their respective Restricted Subsidiaries, Affiliates, officers, directors, employees and agents with all applicable (i) Anti-Corruption Laws, (ii) Anti-Terrorism Laws and (iii) Sanctions.</w:t>
      </w:r>
    </w:p>
    <w:p>
      <w:pPr>
        <w:spacing w:after="0" w:line="180" w:lineRule="exact"/>
        <w:rPr>
          <w:sz w:val="20"/>
          <w:szCs w:val="20"/>
          <w:color w:val="auto"/>
        </w:rPr>
      </w:pPr>
    </w:p>
    <w:p>
      <w:pPr>
        <w:jc w:val="both"/>
        <w:ind w:firstLine="1304"/>
        <w:spacing w:after="0" w:line="250" w:lineRule="auto"/>
        <w:tabs>
          <w:tab w:leader="none" w:pos="1944" w:val="left"/>
        </w:tabs>
        <w:numPr>
          <w:ilvl w:val="1"/>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101"/>
        </w:rPr>
        <w:t xml:space="preserve">Each of the Loan Parties shall, and shall cause each of the </w:t>
      </w:r>
      <w:r>
        <w:rPr>
          <w:rFonts w:ascii="Times New Roman" w:cs="Times New Roman" w:eastAsia="Times New Roman" w:hAnsi="Times New Roman"/>
          <w:sz w:val="20"/>
          <w:szCs w:val="20"/>
          <w:color w:val="000000"/>
        </w:rPr>
        <w:t>Restricted</w:t>
      </w:r>
      <w:r>
        <w:rPr>
          <w:rFonts w:ascii="Times New Roman" w:cs="Times New Roman" w:eastAsia="Times New Roman" w:hAnsi="Times New Roman"/>
          <w:sz w:val="20"/>
          <w:szCs w:val="20"/>
          <w:color w:val="010101"/>
        </w:rPr>
        <w:t xml:space="preserve"> Subsidiaries to (i) conduct its operations and keep and maintain its real property in compliance with all Environmental Laws and environmental permits;</w:t>
      </w:r>
    </w:p>
    <w:p>
      <w:pPr>
        <w:spacing w:after="0" w:line="1" w:lineRule="exact"/>
        <w:rPr>
          <w:rFonts w:ascii="Times New Roman" w:cs="Times New Roman" w:eastAsia="Times New Roman" w:hAnsi="Times New Roman"/>
          <w:sz w:val="20"/>
          <w:szCs w:val="20"/>
          <w:color w:val="auto"/>
        </w:rPr>
      </w:pPr>
    </w:p>
    <w:p>
      <w:pPr>
        <w:jc w:val="both"/>
        <w:ind w:firstLine="8"/>
        <w:spacing w:after="0"/>
        <w:tabs>
          <w:tab w:leader="none" w:pos="304" w:val="left"/>
        </w:tabs>
        <w:numPr>
          <w:ilvl w:val="0"/>
          <w:numId w:val="163"/>
        </w:numPr>
        <w:rPr>
          <w:rFonts w:ascii="Times New Roman" w:cs="Times New Roman" w:eastAsia="Times New Roman" w:hAnsi="Times New Roman"/>
          <w:sz w:val="20"/>
          <w:szCs w:val="20"/>
          <w:color w:val="010101"/>
        </w:rPr>
      </w:pPr>
      <w:r>
        <w:rPr>
          <w:rFonts w:ascii="Times New Roman" w:cs="Times New Roman" w:eastAsia="Times New Roman" w:hAnsi="Times New Roman"/>
          <w:sz w:val="20"/>
          <w:szCs w:val="20"/>
          <w:color w:val="010101"/>
        </w:rPr>
        <w:t>obtain and renew all environmental permits necessary for its operations and properties; and (iii) implement any and all investigation, remediation, removal and response actions that are necessary to maintain the value and marketability of the real property or to otherwise comply with Environmental Laws pertaining to any of its real property, in each case, except as such action or inaction would not, individually or in the aggregate, reasonably be expected to result in a Material Adverse Change (</w:t>
      </w:r>
      <w:r>
        <w:rPr>
          <w:rFonts w:ascii="Times New Roman" w:cs="Times New Roman" w:eastAsia="Times New Roman" w:hAnsi="Times New Roman"/>
          <w:sz w:val="20"/>
          <w:szCs w:val="20"/>
          <w:u w:val="single" w:color="auto"/>
          <w:color w:val="010101"/>
        </w:rPr>
        <w:t>provided</w:t>
      </w:r>
      <w:r>
        <w:rPr>
          <w:rFonts w:ascii="Times New Roman" w:cs="Times New Roman" w:eastAsia="Times New Roman" w:hAnsi="Times New Roman"/>
          <w:sz w:val="20"/>
          <w:szCs w:val="20"/>
          <w:color w:val="010101"/>
        </w:rPr>
        <w:t xml:space="preserve">, </w:t>
      </w:r>
      <w:r>
        <w:rPr>
          <w:rFonts w:ascii="Times New Roman" w:cs="Times New Roman" w:eastAsia="Times New Roman" w:hAnsi="Times New Roman"/>
          <w:sz w:val="20"/>
          <w:szCs w:val="20"/>
          <w:u w:val="single" w:color="auto"/>
          <w:color w:val="010101"/>
        </w:rPr>
        <w:t>however</w:t>
      </w:r>
      <w:r>
        <w:rPr>
          <w:rFonts w:ascii="Times New Roman" w:cs="Times New Roman" w:eastAsia="Times New Roman" w:hAnsi="Times New Roman"/>
          <w:sz w:val="20"/>
          <w:szCs w:val="20"/>
          <w:color w:val="010101"/>
        </w:rPr>
        <w:t xml:space="preserve">, that neither a Loan Party nor any of its </w:t>
      </w:r>
      <w:r>
        <w:rPr>
          <w:rFonts w:ascii="Times New Roman" w:cs="Times New Roman" w:eastAsia="Times New Roman" w:hAnsi="Times New Roman"/>
          <w:sz w:val="20"/>
          <w:szCs w:val="20"/>
          <w:color w:val="000000"/>
        </w:rPr>
        <w:t>Restricted</w:t>
      </w:r>
      <w:r>
        <w:rPr>
          <w:rFonts w:ascii="Times New Roman" w:cs="Times New Roman" w:eastAsia="Times New Roman" w:hAnsi="Times New Roman"/>
          <w:sz w:val="20"/>
          <w:szCs w:val="20"/>
          <w:color w:val="010101"/>
        </w:rPr>
        <w:t xml:space="preserve"> Subsidiaries shall be required to undertake any such investigation, remediation, removal, response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b w:val="1"/>
          <w:bCs w:val="1"/>
          <w:u w:val="single" w:color="auto"/>
          <w:color w:val="auto"/>
        </w:rPr>
        <w:t>Further Assurances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In each case, subject to the terms, conditions and limitations contained herein and in the other Loan Documents, each Loan Party shall, and shall cause each Restricted Subsidiary to, from time to time, at its expense, preserve and protect the Administrative Agent’s Lien on and Prior Security Interest in the Collateral whether now owned or hereafter acquired as a continuing Prior Security Interest therein, and shall do or make, or cause each Restricted Subsidiary to do or make, such other acts, deliveries and things as the Administrative Agent in its reasonable discretion may request in writing from time to time in order to consummate the transactions contemplated hereby, preserve, perfect and protect the Liens granted or purported to be granted under the Loan Documents and to exercise and enforce its rights and remedies thereunder with respect to the Collateral.</w:t>
      </w:r>
    </w:p>
    <w:p>
      <w:pPr>
        <w:spacing w:after="0" w:line="189" w:lineRule="exact"/>
        <w:rPr>
          <w:rFonts w:ascii="Times New Roman" w:cs="Times New Roman" w:eastAsia="Times New Roman" w:hAnsi="Times New Roman"/>
          <w:sz w:val="20"/>
          <w:szCs w:val="20"/>
          <w:color w:val="auto"/>
        </w:rPr>
      </w:pPr>
    </w:p>
    <w:p>
      <w:pPr>
        <w:jc w:val="both"/>
        <w:ind w:firstLine="1304"/>
        <w:spacing w:after="0" w:line="256" w:lineRule="auto"/>
        <w:tabs>
          <w:tab w:leader="none" w:pos="1944" w:val="left"/>
        </w:tabs>
        <w:numPr>
          <w:ilvl w:val="0"/>
          <w:numId w:val="1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Subsidiaries</w:t>
      </w:r>
      <w:r>
        <w:rPr>
          <w:rFonts w:ascii="Times New Roman" w:cs="Times New Roman" w:eastAsia="Times New Roman" w:hAnsi="Times New Roman"/>
          <w:sz w:val="19"/>
          <w:szCs w:val="19"/>
          <w:color w:val="auto"/>
        </w:rPr>
        <w:t xml:space="preserve">. In furtherance, and not in limitation, of </w:t>
      </w: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xml:space="preserve">, promptly upon (and in any event within forty-five (45) days after (or such later date as the Administrative Agent shall agree to in its sole discretion)) (I) the creation or acquisition of any direct or indirect Subsidiary (other than an Excluded Subsidiary, an Unrestricted Subsidiary or a Material Foreign Subsidiary) by any Loan Party or any Subsidiary (other than an Excluded Subsidiary, an Unrestricted Subsidiary or a Material Foreign Subsidiary) of any Loan Party, or (II) any existing Unrestricted Subsidiary becoming a Restricted Subsidiary (other than an Excluded Subsidiary or a Material Foreign Subsidiary) or (III) any existing Restricted Subsidiary that was an Excluded Subsidiary or a Material Foreign Subsidiary ceasing to be an Excluded Subsidiary or a Material Foreign Subsidiary, each such Subsidiary and the Loan Parties will execute and deliver to the Administrative Agent a duly executed Joinder Agreement in accordance with </w:t>
      </w:r>
      <w:r>
        <w:rPr>
          <w:rFonts w:ascii="Times New Roman" w:cs="Times New Roman" w:eastAsia="Times New Roman" w:hAnsi="Times New Roman"/>
          <w:sz w:val="19"/>
          <w:szCs w:val="19"/>
          <w:u w:val="single" w:color="auto"/>
          <w:color w:val="auto"/>
        </w:rPr>
        <w:t>Section 12.12</w:t>
      </w:r>
      <w:r>
        <w:rPr>
          <w:rFonts w:ascii="Times New Roman" w:cs="Times New Roman" w:eastAsia="Times New Roman" w:hAnsi="Times New Roman"/>
          <w:sz w:val="19"/>
          <w:szCs w:val="19"/>
          <w:color w:val="auto"/>
        </w:rPr>
        <w:t>, pursuant to which (i) such Subsidiary shall become a party hereto as a Guarantor and shall become a party to the Security Agreement as a Grantor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0" w:name="page201"/>
    <w:bookmarkEnd w:id="200"/>
    <w:p>
      <w:pPr>
        <w:jc w:val="both"/>
        <w:spacing w:after="0"/>
        <w:rPr>
          <w:sz w:val="20"/>
          <w:szCs w:val="20"/>
          <w:color w:val="auto"/>
        </w:rPr>
      </w:pPr>
      <w:r>
        <w:rPr>
          <w:rFonts w:ascii="Times New Roman" w:cs="Times New Roman" w:eastAsia="Times New Roman" w:hAnsi="Times New Roman"/>
          <w:sz w:val="20"/>
          <w:szCs w:val="20"/>
          <w:color w:val="auto"/>
        </w:rPr>
        <w:t>defined therein), and (ii) the Equity Interests of such Subsidiary shall be pledged by the applicable Loan Party to the extent provided in the Collateral Documents. As promptly as reasonably possible, the Loan Parties and their respective Subsidiaries will deliver all certificates evidencing such Equity Interests, together with undated, executed transfer powers, and such other Collateral Documents and such other documents, certificates and opinions (including opinions of local counsel in the jurisdiction of organization of each such new Subsidiary) regarding such Subsidiary, in form, content and scope reasonably satisfactory to the Administrative Agent, as the Administrative Agent may reasonably request in connection therewith and will take such other action as the Administrative Agent may reasonably request to create in favor of the Administrative Agent a Prior Security Interest in the Collateral, to the extent provided in the Collateral Documents, for the Secured Obligations. Notwithstanding anything herein to the contrary, in connection with a Limited Condition Acquisition, to the extent that any Collateral (including the creation or perfection of any security interest) is not or cannot be provided on the closing date of such Limited Condition Acquisition (other than (1) a Lien on Collateral that may be perfected solely by the filing of a financing statement under and in connection with the UCC, (2) a Lien on Collateral that may be perfected solely by the filing of a security agreement with either the United States Patent and Trademark Office or the United States Copyright Office and (3) a pledge of the Equity Interests of the Acquired Business with respect to which a lien may be perfected upon closing by the delivery of a stock or equivalent certificate together with a stock power or similar instrument of transfer endorsed in blank (unless the Administrative Agent agrees in its sole discretion to receive such certificate and such stock power or instrument of transfer on a date following such closing in its sole determination)) after the Borrower’s use of commercially reasonable efforts to do so, then the provision and/or perfection of such collateral shall not constitute a condition precedent to the availability and the funding of such Indebtedness on the closing date of such Limited Condition Acquisition but may instead be delivered and/or perfected within sixty (60) days (or such longer period as the Administrative Agent may reasonably agree in its sole discretion) after such closing date pursuant to arrangements to be mutually agreed by the Administrative Agent and the Borrower.</w:t>
      </w:r>
    </w:p>
    <w:p>
      <w:pPr>
        <w:spacing w:after="0" w:line="205" w:lineRule="exact"/>
        <w:rPr>
          <w:sz w:val="20"/>
          <w:szCs w:val="20"/>
          <w:color w:val="auto"/>
        </w:rPr>
      </w:pPr>
    </w:p>
    <w:p>
      <w:pPr>
        <w:ind w:left="1960" w:hanging="656"/>
        <w:spacing w:after="0"/>
        <w:tabs>
          <w:tab w:leader="none" w:pos="1960" w:val="left"/>
        </w:tabs>
        <w:numPr>
          <w:ilvl w:val="1"/>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64" w:lineRule="auto"/>
        <w:tabs>
          <w:tab w:leader="none" w:pos="1944" w:val="left"/>
        </w:tabs>
        <w:numPr>
          <w:ilvl w:val="1"/>
          <w:numId w:val="1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Property</w:t>
      </w:r>
      <w:r>
        <w:rPr>
          <w:rFonts w:ascii="Times New Roman" w:cs="Times New Roman" w:eastAsia="Times New Roman" w:hAnsi="Times New Roman"/>
          <w:sz w:val="19"/>
          <w:szCs w:val="19"/>
          <w:color w:val="auto"/>
        </w:rPr>
        <w:t xml:space="preserve">. Pursuant to the terms of this </w:t>
      </w:r>
      <w:r>
        <w:rPr>
          <w:rFonts w:ascii="Times New Roman" w:cs="Times New Roman" w:eastAsia="Times New Roman" w:hAnsi="Times New Roman"/>
          <w:sz w:val="19"/>
          <w:szCs w:val="19"/>
          <w:u w:val="single" w:color="auto"/>
          <w:color w:val="auto"/>
        </w:rPr>
        <w:t>Section 6.10</w:t>
      </w:r>
      <w:r>
        <w:rPr>
          <w:rFonts w:ascii="Times New Roman" w:cs="Times New Roman" w:eastAsia="Times New Roman" w:hAnsi="Times New Roman"/>
          <w:sz w:val="19"/>
          <w:szCs w:val="19"/>
          <w:color w:val="auto"/>
        </w:rPr>
        <w:t xml:space="preserve"> and of the Security Agreement, the Loan Parties will (i) promptly (and in any event on or before the earlier of (x) if applicable, the time required by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xml:space="preserve"> or</w:t>
      </w:r>
    </w:p>
    <w:p>
      <w:pPr>
        <w:jc w:val="both"/>
        <w:ind w:firstLine="8"/>
        <w:spacing w:after="0" w:line="252" w:lineRule="auto"/>
        <w:tabs>
          <w:tab w:leader="none" w:pos="284" w:val="left"/>
        </w:tabs>
        <w:numPr>
          <w:ilvl w:val="0"/>
          <w:numId w:val="1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next submission of a Compliance Certificate) notify the Administrative Agent of (A) any Equity Interest, and (B) any commercial tort claim known to any Loan Party (such that an officer of any Loan Party has actual knowledge of the existence of a tort cause of action and not merely of the existence of the facts giving rise to such cause of action) that such Loan Party knows to involve an amount in controversy, in the aggregate with any other known commercial tort claim of any Loan Party, in excess of the greater of (i) $20,000,000 and (ii) 25% of EBITDA of the Borrower and the Restricted Subsidiaries for the Test Period, and (ii) on or before the earlier of (x) if applicable, the time required by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xml:space="preserve"> or</w:t>
      </w:r>
    </w:p>
    <w:p>
      <w:pPr>
        <w:jc w:val="both"/>
        <w:ind w:firstLine="8"/>
        <w:spacing w:after="0" w:line="242" w:lineRule="auto"/>
        <w:tabs>
          <w:tab w:leader="none" w:pos="296"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next submission of a Compliance Certificate in connection with the financial statements required to be delivered pursuant to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deliver updated Annexes to the Security Agreement as and when required under the Security Agreement.</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Administrative Agent may elect not to request any documents, instruments, filings or opinions as contemplated by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or the Security Agreement and the other Loan Documents if it determines in its reasonable discretion that the costs to the Loan Parties of perfecting a security interest or Lien in such property exceed the relative benefit of such security interest to the Secured Parties.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b w:val="1"/>
          <w:bCs w:val="1"/>
          <w:u w:val="single" w:color="auto"/>
          <w:color w:val="auto"/>
        </w:rPr>
        <w:t>CoBank Equity and Securities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1" w:name="page202"/>
    <w:bookmarkEnd w:id="201"/>
    <w:p>
      <w:pPr>
        <w:jc w:val="both"/>
        <w:ind w:firstLine="1304"/>
        <w:spacing w:after="0" w:line="243" w:lineRule="auto"/>
        <w:tabs>
          <w:tab w:leader="none" w:pos="194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CoBank (or its affiliates) is a Lender hereunder, the Borrower shall (a) maintain its status as an entity eligible to borrow from CoBank (or its affiliates) and (b) acquire equity in CoBank in such amounts and at such times as CoBank may require in accordance with CoBank’s Bylaws and Capital Plan (as each may be amended from time to time), except that the maximum amount of equity that the Borrower may be required to purchase in CoBank in connection with the Loans made by CoBank (or its affiliates) may not exceed the maximum amount permitted by the Bylaws and the Capital Plan at the time this Agreement is entered into. The Borrower acknowledges receipt of a copy of (i) CoBank’s most recent annual report, and if more recent, CoBank’s latest quarterly report, (ii) CoBank’s Notice to Prospective Stockholders and (iii) CoBank’s Bylaws and Capital Plan, which describe the nature of all of the CoBank Equities as well as capitalization requirements, and agrees to be bound by the terms thereof.</w:t>
      </w:r>
    </w:p>
    <w:p>
      <w:pPr>
        <w:spacing w:after="0" w:line="185"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44" w:val="left"/>
        </w:tabs>
        <w:numPr>
          <w:ilvl w:val="1"/>
          <w:numId w:val="1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acknowledges that CoBank’s Bylaws and Capital Plan (as each may be amended from time to time) shall govern (i) the rights and obligations of the parties with respect to the CoBank Equities and any patronage refunds or other distributions made on account thereof or on account of the Borrower’s patronage with CoBank,</w:t>
      </w:r>
    </w:p>
    <w:p>
      <w:pPr>
        <w:jc w:val="both"/>
        <w:ind w:firstLine="8"/>
        <w:spacing w:after="0" w:line="241" w:lineRule="auto"/>
        <w:tabs>
          <w:tab w:leader="none" w:pos="305" w:val="left"/>
        </w:tabs>
        <w:numPr>
          <w:ilvl w:val="0"/>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eligibility for patronage distributions from CoBank (in the form of CoBank Equities and cash) and (iii) patronage distributions, if any, in the event of a sale of a participation interest. CoBank reserves the right to assign or sell participations in all or any part of its (or its affiliate’s) Commitments or outstanding Loans hereunder on a non-patronage basis.</w:t>
      </w:r>
    </w:p>
    <w:p>
      <w:pPr>
        <w:spacing w:after="0" w:line="188"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1"/>
          <w:numId w:val="1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or in any other Loan Document to the contrary, each party hereto acknowledges that: (i) CoBank has a statutory first Lien pursuant to the Farm Credit Act of 1971 (as amended from time to time) on all CoBank Equities that the Borrower may now own or hereafter acquire, which statutory Lien shall be for CoBank’s (or its affiliate’s) sole and exclusive benefit; (ii) during the existence of any Event of Default, CoBank may at its sole discretion, but shall not be required to, foreclose on its statutory first Lien on the CoBank Equities and/or set off the value thereof or of any cash patronage against the Secured Obligations; (iii) during the existence of any Event of Default, CoBank may at its sole discretion, but shall not be required to, without notice except as required by applicable Law, retire and cancel all or part of the CoBank Equities owned by or allocated to the Borrower in accordance with the Farm Credit Act of 1971 (as amended from time to time) and any regulations promulgated pursuant thereto in total or partial liquidation of the Secured Obligations for such value as may be required pursuant applicable Law and CoBank’s Bylaws and Capital Plan (as each may be amended from time to time); (iv) the CoBank Equities shall not constitute security for the Secured Obligations due to the Administrative Agent, any other Lender or any other Secured Party; (v) to the extent that any of the Loan Documents create a Lien on the CoBank Equities, such Lien shall be for CoBank’s (or its affiliate’s) sole and exclusive benefit and shall not be subject to pro rata sharing hereunder; (vi) any setoff effectuated pursuant to the preceding clauses (ii) or (iii) may be undertaken whether or not the Secured Obligations are currently due and payable; and (vii) CoBank shall have no obligation to retire the CoBank Equities upon any Event of Default, Default or any other default by the Borrower or any other Loan Party, or at any other time, either for application to the Obligations or otherwise. The Borrower acknowledges that any corresponding tax liability associated with CoBank’s application of the value of the CoBank Equities to any portion of the Obligations is the sole responsibility of the Borrower.</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color w:val="auto"/>
        </w:rPr>
        <w:t>. The proceeds of (i) the Term A-1 Loans shall be used to refinance the outstanding principal balance of the revolver loans advanced to the Borrower under that certain Fourth Amended and Restated Credit Agreement dated as of December 19, 2014, among the Borrower, CoBank, as administrative agent, the other loan parties party thereto, and the other lenders party thereto, and (ii) the Revolving A-1 Loans shall be used to provide working capital and Letters of Credit from time to time for the Borrower and its Subsidiaries and for other general corporate purposes. The Loan Parties will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2" w:name="page203"/>
    <w:bookmarkEnd w:id="202"/>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the Letters of Credit and the proceeds of the Loans only in accordance with </w:t>
      </w:r>
      <w:r>
        <w:rPr>
          <w:rFonts w:ascii="Times New Roman" w:cs="Times New Roman" w:eastAsia="Times New Roman" w:hAnsi="Times New Roman"/>
          <w:sz w:val="20"/>
          <w:szCs w:val="20"/>
          <w:u w:val="single" w:color="auto"/>
          <w:color w:val="auto"/>
        </w:rPr>
        <w:t>Sections 5.11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5.24</w:t>
      </w:r>
      <w:r>
        <w:rPr>
          <w:rFonts w:ascii="Times New Roman" w:cs="Times New Roman" w:eastAsia="Times New Roman" w:hAnsi="Times New Roman"/>
          <w:sz w:val="20"/>
          <w:szCs w:val="20"/>
          <w:color w:val="auto"/>
        </w:rPr>
        <w:t xml:space="preserve"> and as permitted by applicable Law.</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b w:val="1"/>
          <w:bCs w:val="1"/>
          <w:u w:val="single" w:color="auto"/>
          <w:color w:val="auto"/>
        </w:rPr>
        <w:t>Compliance with ERISA and IRC</w:t>
      </w:r>
      <w:r>
        <w:rPr>
          <w:rFonts w:ascii="Times New Roman" w:cs="Times New Roman" w:eastAsia="Times New Roman" w:hAnsi="Times New Roman"/>
          <w:sz w:val="20"/>
          <w:szCs w:val="20"/>
          <w:color w:val="auto"/>
        </w:rPr>
        <w:t>. Each Loan Party will (a) comply in all material respects with applicable provisions of ERISA and the IRC with respect to all Plans, (b) without the prior written consent of Agent and the Required Lenders, not take any action or fail to take action the result of which could result in a Loan Party or ERISA Affiliate incurring a material liability to the PBGC or to a Multiemployer Plan (other than to pay contributions or premiums payable in the ordinary course), (c) not participate in any prohibited transaction that could result in other than a de minimis civil penalty excise tax or correction obligation under ERISA or the IRC, and (d) operate each Plan in such a manner that will not incur any material tax liability under the IRC.</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b w:val="1"/>
          <w:bCs w:val="1"/>
          <w:u w:val="single" w:color="auto"/>
          <w:color w:val="auto"/>
        </w:rPr>
        <w:t>Designation of Subsidiaries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4"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and from time to time designate (or re-designate) any of its direct or indirect Subsidiaries (including any existing Subsidiary and any newly acquired or newly formed Subsidiary) to be an Unrestricted Subsidiary unless such Subsidiary or any of its Subsidiaries owns any Equity Interests or Indebtedness of, or owns or holds any Lien on, any property of, the Borrower or any Restricted Subsidiary of the Borrower;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no Event of Default shall have occurred and be continuing immediately before and immediately after giving effect to such designation, (ii) the Borrower shall be in compliance on a pro forma basis immediately after giving effect to such designation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 and (iii) such designation complies with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may designate (or re-designate) any Unrestricted Subsidiary to be a Restricted Subsidiary;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no Event of Default shall have occurred and be continuing immediately before and immediately after giving effect to such designation and (ii) Borrower shall be in compliance on a pro forma basis immediately after giving effect to such designation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 </w:t>
      </w:r>
      <w:r>
        <w:rPr>
          <w:rFonts w:ascii="Times New Roman" w:cs="Times New Roman" w:eastAsia="Times New Roman" w:hAnsi="Times New Roman"/>
          <w:sz w:val="20"/>
          <w:szCs w:val="20"/>
          <w:u w:val="single" w:color="auto"/>
          <w:color w:val="auto"/>
        </w:rPr>
        <w:t>provided further that</w:t>
      </w:r>
      <w:r>
        <w:rPr>
          <w:rFonts w:ascii="Times New Roman" w:cs="Times New Roman" w:eastAsia="Times New Roman" w:hAnsi="Times New Roman"/>
          <w:sz w:val="20"/>
          <w:szCs w:val="20"/>
          <w:color w:val="auto"/>
        </w:rPr>
        <w:t>, Indebtedness and Investments of the applicable Subsidiary and any Liens encumbering its property, in each case, existing as of the time of such designation shall be deemed incurred or established, as applicable, at the time of such designation.</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designating any Restricted Subsidiary as an Unrestricted Subsidiary, all outstanding Investments by the Borrower and its Restricted Subsidiaries (except to the extent repaid) in the Subsidiary so designated will be deemed to be Investments in an amount determined as set forth in the definition of Investment.</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designation by the Borrower shall be notified by the Borrower to the Administrative Agent by promptly delivering to the Administrative Agent a certificate of an authorized officer of the Borrower certifying that such designation complies with the foregoing provisions of this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whereupon such designation shall be immediately effective.</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(i) if any Restricted Subsidiary owns or holds any Material Intellectual Property, such Restricted Subsidiary may not be designated as an Unrestricted Subsidiary and (ii) neither the Borrower nor any of its Restricted Subsidiaries shall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20"/>
          <w:szCs w:val="20"/>
          <w:color w:val="auto"/>
        </w:rPr>
        <w:t>any Investment consisting of, or otherwise Dispose of, any Material Intellectual Property to, any Unrestricted Subsidiary.</w:t>
      </w:r>
    </w:p>
    <w:p>
      <w:pPr>
        <w:spacing w:after="0" w:line="21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 xml:space="preserve">6.18 </w:t>
      </w:r>
      <w:r>
        <w:rPr>
          <w:rFonts w:ascii="Times New Roman" w:cs="Times New Roman" w:eastAsia="Times New Roman" w:hAnsi="Times New Roman"/>
          <w:sz w:val="19"/>
          <w:szCs w:val="19"/>
          <w:b w:val="1"/>
          <w:bCs w:val="1"/>
          <w:u w:val="single" w:color="auto"/>
          <w:color w:val="auto"/>
        </w:rPr>
        <w:t>Post-Closing Obligations</w:t>
      </w:r>
      <w:r>
        <w:rPr>
          <w:rFonts w:ascii="Times New Roman" w:cs="Times New Roman" w:eastAsia="Times New Roman" w:hAnsi="Times New Roman"/>
          <w:sz w:val="19"/>
          <w:szCs w:val="19"/>
          <w:color w:val="auto"/>
        </w:rPr>
        <w:t>. Each of the Loan Parties covenants and agrees that it shall, and shall cause each Restricted Subsidiary to, perform the obligations set forth on Schedule 6.18 on or before the date provided on Schedule 6.18 (as such date may be extended by the Administrative Agent in its reasonable discretion) with respect to each such obligation unless the Administrative Agent has agreed in its reasonable discretion in writing to waive such obligation in its entirety.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VII. NEGATIVE COVENANTS</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u w:val="single" w:color="auto"/>
          <w:color w:val="auto"/>
        </w:rPr>
        <w:t>Indebtedness</w:t>
      </w:r>
      <w:r>
        <w:rPr>
          <w:rFonts w:ascii="Times New Roman" w:cs="Times New Roman" w:eastAsia="Times New Roman" w:hAnsi="Times New Roman"/>
          <w:sz w:val="20"/>
          <w:szCs w:val="20"/>
          <w:color w:val="auto"/>
        </w:rPr>
        <w:t>. No Loan Party shall, nor shall any Loan Party permit any Restricted Subsidiary to, at any time create, incur, assume or suffer to exist any Indebtedness, except:</w:t>
      </w:r>
    </w:p>
    <w:p>
      <w:pPr>
        <w:spacing w:after="0" w:line="156" w:lineRule="exact"/>
        <w:rPr>
          <w:sz w:val="20"/>
          <w:szCs w:val="20"/>
          <w:color w:val="auto"/>
        </w:rPr>
      </w:pPr>
    </w:p>
    <w:p>
      <w:pPr>
        <w:ind w:left="1960" w:hanging="656"/>
        <w:spacing w:after="0"/>
        <w:tabs>
          <w:tab w:leader="none" w:pos="196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this Agreement and the other Loan Documents;</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returned items, netting services, employee credit cards (and related credit card processing services), debit cards, stored value cards, purchase cards (including so-called “procurement cards” or “P-cards”), overdraft protections and automatic clearinghouse arrangements and other cash management and similar arrangements incurred in the ordinary course of business;</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in each case, arising from agreements of Borrower or any Restricted Subsidiary providing for indemnification, adjustment of purchase price, deferred purchase price, earn-out payments or similar obligations;</w:t>
      </w:r>
    </w:p>
    <w:p>
      <w:pPr>
        <w:spacing w:after="0" w:line="174"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unpaid insurance premiums owing to insurance companies and insurance brokers incurred in connection with the financing of insurance premiums in the ordinary course of business;</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endorsements for collection, deposit or negotiation and warranties of products or services, in each case incurred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under guaranties made in the ordinary course of business of obligations of any Loan Party, which obligations are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obligation is subordinated to the Obligations, such guaranty shall be subordinated to the same extent;</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existing Indebtedness as set forth on </w:t>
      </w:r>
      <w:r>
        <w:rPr>
          <w:rFonts w:ascii="Times New Roman" w:cs="Times New Roman" w:eastAsia="Times New Roman" w:hAnsi="Times New Roman"/>
          <w:sz w:val="20"/>
          <w:szCs w:val="20"/>
          <w:u w:val="single" w:color="auto"/>
          <w:color w:val="auto"/>
        </w:rPr>
        <w:t>Schedule 7.1(h)</w:t>
      </w:r>
      <w:r>
        <w:rPr>
          <w:rFonts w:ascii="Times New Roman" w:cs="Times New Roman" w:eastAsia="Times New Roman" w:hAnsi="Times New Roman"/>
          <w:sz w:val="20"/>
          <w:szCs w:val="20"/>
          <w:color w:val="auto"/>
        </w:rPr>
        <w:t xml:space="preserve"> (including any extensions or renewals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(ii)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4" w:name="page205"/>
    <w:bookmarkEnd w:id="204"/>
    <w:p>
      <w:pPr>
        <w:ind w:right="20"/>
        <w:spacing w:after="0" w:line="268" w:lineRule="auto"/>
        <w:rPr>
          <w:sz w:val="20"/>
          <w:szCs w:val="20"/>
          <w:color w:val="auto"/>
        </w:rPr>
      </w:pPr>
      <w:r>
        <w:rPr>
          <w:rFonts w:ascii="Times New Roman" w:cs="Times New Roman" w:eastAsia="Times New Roman" w:hAnsi="Times New Roman"/>
          <w:sz w:val="20"/>
          <w:szCs w:val="20"/>
          <w:color w:val="auto"/>
        </w:rPr>
        <w:t>renewed or extended and the interest rate applicable to any such refinancing, refunding, renewing or extending Indebtedness does not exceed the then applicable market interest rate;</w:t>
      </w:r>
    </w:p>
    <w:p>
      <w:pPr>
        <w:spacing w:after="0" w:line="161" w:lineRule="exact"/>
        <w:rPr>
          <w:sz w:val="20"/>
          <w:szCs w:val="20"/>
          <w:color w:val="auto"/>
        </w:rPr>
      </w:pPr>
    </w:p>
    <w:p>
      <w:pPr>
        <w:jc w:val="both"/>
        <w:ind w:firstLine="1304"/>
        <w:spacing w:after="0" w:line="246" w:lineRule="auto"/>
        <w:tabs>
          <w:tab w:leader="none" w:pos="1944"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(A) with respect to Purchase Money Security Interests, Synthetic Lease Obligations and Capital Leases for fixed or capital assets set forth on </w:t>
      </w:r>
      <w:r>
        <w:rPr>
          <w:rFonts w:ascii="Times New Roman" w:cs="Times New Roman" w:eastAsia="Times New Roman" w:hAnsi="Times New Roman"/>
          <w:sz w:val="20"/>
          <w:szCs w:val="20"/>
          <w:u w:val="single" w:color="auto"/>
          <w:color w:val="auto"/>
        </w:rPr>
        <w:t>Schedule 7.1(i)</w:t>
      </w:r>
      <w:r>
        <w:rPr>
          <w:rFonts w:ascii="Times New Roman" w:cs="Times New Roman" w:eastAsia="Times New Roman" w:hAnsi="Times New Roman"/>
          <w:sz w:val="20"/>
          <w:szCs w:val="20"/>
          <w:color w:val="auto"/>
        </w:rPr>
        <w:t>, and (B) Indebtedness incurred with respect to Purchase Money Security Interests, Synthetic Lease Obligations and Capital Leases for fixed or capital assets not to exceed in the aggregate amount at any time the greater of (i) $10,000,000 and (ii) 15% of EBITDA of the Borrower and the Restricted Subsidiaries for the Test Period;</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solely among Loan Parties;</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(contingent or otherwise) of any Loan Party arising under (i) any Secured Hedge or</w:t>
      </w:r>
    </w:p>
    <w:p>
      <w:pPr>
        <w:spacing w:after="0" w:line="21" w:lineRule="exact"/>
        <w:rPr>
          <w:rFonts w:ascii="Times New Roman" w:cs="Times New Roman" w:eastAsia="Times New Roman" w:hAnsi="Times New Roman"/>
          <w:sz w:val="20"/>
          <w:szCs w:val="20"/>
          <w:color w:val="auto"/>
        </w:rPr>
      </w:pPr>
    </w:p>
    <w:p>
      <w:pPr>
        <w:jc w:val="both"/>
        <w:ind w:firstLine="8"/>
        <w:spacing w:after="0" w:line="241" w:lineRule="auto"/>
        <w:tabs>
          <w:tab w:leader="none" w:pos="291"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under any Secured Bank Product entered into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no Loan Party shall enter into or incur any Secured Hedge that constitutes a Swap Obligation if at the time it enters into or incurs such Swap Obligation it does not constitute an “eligible contract participant” as defined in the Commodity Exchange Act, and (ii) the Loan Parties and their Subsidiaries shall enter into a Secured Hedge only for hedging (rather than speculative) purposes;</w:t>
      </w:r>
    </w:p>
    <w:p>
      <w:pPr>
        <w:spacing w:after="0" w:line="18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and other Contingent Obligations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44" w:val="left"/>
        </w:tabs>
        <w:numPr>
          <w:ilvl w:val="1"/>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(other than revolving credit facilities or commitments therefor) that becomes a Restricted Subsidiary that is assumed in connection with any Permitted Acquisition, in an aggregate amount at any time not to exceed 100% of EBITDA of the Borrower and the Restricted Subsidiaries for the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jc w:val="both"/>
        <w:ind w:firstLine="8"/>
        <w:spacing w:after="0" w:line="252" w:lineRule="auto"/>
        <w:tabs>
          <w:tab w:leader="none" w:pos="254" w:val="left"/>
        </w:tabs>
        <w:numPr>
          <w:ilvl w:val="0"/>
          <w:numId w:val="1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Indebtedness was existing at the time of closing such Permitted Acquisition and not incurred in contemplation of such Permitted Acquisition, (ii) no portion of such Indebtedness matures prior to the latest maturity date of any of the Loans,</w:t>
      </w:r>
    </w:p>
    <w:p>
      <w:pPr>
        <w:jc w:val="both"/>
        <w:ind w:firstLine="8"/>
        <w:spacing w:after="0" w:line="241" w:lineRule="auto"/>
        <w:tabs>
          <w:tab w:leader="none" w:pos="394"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before and immediately after giving effect to the incurrence or assumption thereof and any related transactions, no Default or Event of Default has occurred and is continuing and (iv) immediately after giving effect to the incurrence or assumption thereof and any related transactions, the Borrower shall be in compliance on a pro forma basis with the financial covenant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w:t>
      </w:r>
    </w:p>
    <w:p>
      <w:pPr>
        <w:spacing w:after="0" w:line="18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with respect to cash management and similar arrangements in the ordinary course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93"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officers or employees of the Borrower and its Restricted Subsidiaries incurred in the ordinary course of business;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Permitted Stimulus Indebtedness;</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of the Borrower in an aggregate amount at any time not to exceed the greater of</w:t>
      </w:r>
    </w:p>
    <w:p>
      <w:pPr>
        <w:spacing w:after="0" w:line="21" w:lineRule="exact"/>
        <w:rPr>
          <w:rFonts w:ascii="Times New Roman" w:cs="Times New Roman" w:eastAsia="Times New Roman" w:hAnsi="Times New Roman"/>
          <w:sz w:val="20"/>
          <w:szCs w:val="20"/>
          <w:color w:val="auto"/>
        </w:rPr>
      </w:pPr>
    </w:p>
    <w:p>
      <w:pPr>
        <w:jc w:val="both"/>
        <w:ind w:firstLine="8"/>
        <w:spacing w:after="0" w:line="241" w:lineRule="auto"/>
        <w:tabs>
          <w:tab w:leader="none" w:pos="245"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$50,000,000 and (ii) 50% of EBITDA of the Borrower and the Restricted Subsidiaries for the Test Period; provided that no more than $10,000,000 of Indebtedness incurred pursuant to this clause (r) may be secured Indebtedness (and any such secured Indebtedness shall be subordinated in right of payment and remedies to the Obligations on terms reasonably acceptable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5" w:name="page206"/>
    <w:bookmarkEnd w:id="205"/>
    <w:p>
      <w:pPr>
        <w:jc w:val="both"/>
        <w:ind w:firstLine="1304"/>
        <w:spacing w:after="0" w:line="249" w:lineRule="auto"/>
        <w:tabs>
          <w:tab w:leader="none" w:pos="194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Foreign Restricted Subsidiaries (other than GTT and its Subsidiaries, One Communications and its Subsidiaries, and CAH Holdco and its Subsidiaries) in an aggregate amount at any time not to exceed the greater of (i) $10,000,000 and (ii) 10% of EBITDA of the Borrower and the Restricted Subsidiaries for the Test Period;</w:t>
      </w:r>
    </w:p>
    <w:p>
      <w:pPr>
        <w:spacing w:after="0" w:line="178"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RTFC Indebtedness and any refinancing Indebtedness therefor refinanced not to exceed an aggregate principal amount of $60,000,000 at any time; and</w:t>
      </w:r>
    </w:p>
    <w:p>
      <w:pPr>
        <w:spacing w:after="0" w:line="15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 incurred by GTT and its Subsidiaries, the aggregate amount of which shall not exceed at any time an amount equal to (w) EBITDA of GTT and its Subsidiaries on a consolidated basis for the then most recently completed four (4) fiscal quarters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(x) 1.5; and (ii) incurred by One Communications and its Subsidiaries, the aggregate amount of which shall not exceed at any time an amount equal to (y) EBITDA of One Communications and its Subsidiaries on a consolidated basis for the then most recently completed four (4) fiscal quarters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(z) (i) 1.5 or, (ii) to the extent One Communications or its Affiliates use all or any portion of such Indebtedness to redeem or repurchase, through a tender offer or otherwise, all or any portion of the outstanding shares of capital stock of One Communications not indirectly owned by Borrower, 2.0.</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u w:val="single" w:color="auto"/>
          <w:color w:val="auto"/>
        </w:rPr>
        <w:t>Liens</w:t>
      </w:r>
      <w:r>
        <w:rPr>
          <w:rFonts w:ascii="Times New Roman" w:cs="Times New Roman" w:eastAsia="Times New Roman" w:hAnsi="Times New Roman"/>
          <w:sz w:val="20"/>
          <w:szCs w:val="20"/>
          <w:color w:val="auto"/>
        </w:rPr>
        <w:t>. No Loan Party shall, nor shall any Loan Party permit any Restricted Subsidiary to, at any time create, incur, assume or suffer to exist any Lien on any of its property or assets, tangible or intangible, now owned or hereafter acquired, or agree or become liable to do so, except Permitted Liens.</w:t>
      </w:r>
    </w:p>
    <w:p>
      <w:pPr>
        <w:spacing w:after="0" w:line="16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u w:val="single" w:color="auto"/>
          <w:color w:val="auto"/>
        </w:rPr>
        <w:t>Affiliate Transactions</w:t>
      </w:r>
      <w:r>
        <w:rPr>
          <w:rFonts w:ascii="Times New Roman" w:cs="Times New Roman" w:eastAsia="Times New Roman" w:hAnsi="Times New Roman"/>
          <w:sz w:val="20"/>
          <w:szCs w:val="20"/>
          <w:color w:val="auto"/>
        </w:rPr>
        <w:t xml:space="preserve">. No Loan Party shall, nor shall any Loan Party permit any Restricted Subsidiary to, enter into or carry out any transaction with any Affiliate of the Borrower on terms that are less favorable than those that might be obtained at the time from a Person who is not such an Affiliate unless such transaction (a) (i) is not otherwise prohibited by this Agreement, (ii) is in accordance with all applicable Law, and (iii) (A) is among the Loan Parties, (B) (x) is entered into in the ordinary course of business upon fair and reasonable arm’s-length terms and conditions no less favorable to such Loan Party or such Restricted Subsidiary than would be obtained in a comparable arm’s length transaction with a Person not an Affiliate of the Borrower and, to the extent such transaction or series of transactions involves an aggregate amount in excess of $2,500,000, is disclosed in advance in writing to the Administrative Agent, (C) relates to payment of directors’ fees and reimbursement of actual out-of-pocket expenses incurred in connection with attending board of director meetings, or (D) is intercompany Indebtedness permitted by </w:t>
      </w:r>
      <w:r>
        <w:rPr>
          <w:rFonts w:ascii="Times New Roman" w:cs="Times New Roman" w:eastAsia="Times New Roman" w:hAnsi="Times New Roman"/>
          <w:sz w:val="20"/>
          <w:szCs w:val="20"/>
          <w:u w:val="single" w:color="auto"/>
          <w:color w:val="auto"/>
        </w:rPr>
        <w:t>Section 7.1(k)</w:t>
      </w:r>
      <w:r>
        <w:rPr>
          <w:rFonts w:ascii="Times New Roman" w:cs="Times New Roman" w:eastAsia="Times New Roman" w:hAnsi="Times New Roman"/>
          <w:sz w:val="20"/>
          <w:szCs w:val="20"/>
          <w:color w:val="auto"/>
        </w:rPr>
        <w:t xml:space="preserve">, an advance permitted by </w:t>
      </w:r>
      <w:r>
        <w:rPr>
          <w:rFonts w:ascii="Times New Roman" w:cs="Times New Roman" w:eastAsia="Times New Roman" w:hAnsi="Times New Roman"/>
          <w:sz w:val="20"/>
          <w:szCs w:val="20"/>
          <w:u w:val="single" w:color="auto"/>
          <w:color w:val="auto"/>
        </w:rPr>
        <w:t>Section 7.5(b)</w:t>
      </w:r>
      <w:r>
        <w:rPr>
          <w:rFonts w:ascii="Times New Roman" w:cs="Times New Roman" w:eastAsia="Times New Roman" w:hAnsi="Times New Roman"/>
          <w:sz w:val="20"/>
          <w:szCs w:val="20"/>
          <w:color w:val="auto"/>
        </w:rPr>
        <w:t xml:space="preserve">, an intercompany loan, advance or other Investment permitted by </w:t>
      </w:r>
      <w:r>
        <w:rPr>
          <w:rFonts w:ascii="Times New Roman" w:cs="Times New Roman" w:eastAsia="Times New Roman" w:hAnsi="Times New Roman"/>
          <w:sz w:val="20"/>
          <w:szCs w:val="20"/>
          <w:u w:val="single" w:color="auto"/>
          <w:color w:val="auto"/>
        </w:rPr>
        <w:t>Section 7.5(b)</w:t>
      </w:r>
      <w:r>
        <w:rPr>
          <w:rFonts w:ascii="Times New Roman" w:cs="Times New Roman" w:eastAsia="Times New Roman" w:hAnsi="Times New Roman"/>
          <w:sz w:val="20"/>
          <w:szCs w:val="20"/>
          <w:color w:val="auto"/>
        </w:rPr>
        <w:t xml:space="preserve">, a Restricted Payment permitted by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or a management fee permitted by </w:t>
      </w:r>
      <w:r>
        <w:rPr>
          <w:rFonts w:ascii="Times New Roman" w:cs="Times New Roman" w:eastAsia="Times New Roman" w:hAnsi="Times New Roman"/>
          <w:sz w:val="20"/>
          <w:szCs w:val="20"/>
          <w:u w:val="single" w:color="auto"/>
          <w:color w:val="auto"/>
        </w:rPr>
        <w:t>Section 7.18</w:t>
      </w:r>
      <w:r>
        <w:rPr>
          <w:rFonts w:ascii="Times New Roman" w:cs="Times New Roman" w:eastAsia="Times New Roman" w:hAnsi="Times New Roman"/>
          <w:sz w:val="20"/>
          <w:szCs w:val="20"/>
          <w:color w:val="auto"/>
        </w:rPr>
        <w:t xml:space="preserve">, (b) is among the Excluded Subsidiaries, (c) is for payment of compensation to directors, officers and employees in the ordinary course of business for services actually rendered in their capacities as directors, officers and employee, or (d) is pursuant to a shared services agreements among the Loan Parties and their Restricted Subsidiaries entered into in the ordinary course of business;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with respect to any such shared services agreements under which any Loan Party has any monetary liability, the terms and conditions with respect to such monetary liability are not substantially less favorable to such Loan Party than would be obtained in a comparable arm’s length transaction with a Person that is not an Affiliate.</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u w:val="single" w:color="auto"/>
          <w:color w:val="auto"/>
        </w:rPr>
        <w:t>Contingent Obligations</w:t>
      </w:r>
      <w:r>
        <w:rPr>
          <w:rFonts w:ascii="Times New Roman" w:cs="Times New Roman" w:eastAsia="Times New Roman" w:hAnsi="Times New Roman"/>
          <w:sz w:val="20"/>
          <w:szCs w:val="20"/>
          <w:color w:val="auto"/>
        </w:rPr>
        <w:t>. No Loan Party shall, nor shall any Loan Party permit any Restricted Subsidiary to, at any time, directly or indirectly, create or become or be liable with respect to any Contingent Obligation except for those:</w:t>
      </w:r>
    </w:p>
    <w:p>
      <w:pPr>
        <w:spacing w:after="0" w:line="15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resulting from endorsement of negotiable instruments for collection in the ordinary course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6" w:name="page207"/>
    <w:bookmarkEnd w:id="206"/>
    <w:p>
      <w:pPr>
        <w:jc w:val="both"/>
        <w:ind w:firstLine="1304"/>
        <w:spacing w:after="0" w:line="246"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arising in the ordinary course of business with respect to customary indemnification obligations incurred in the ordinary course of business and (ii) in connection with Permitted Acquisitions and Permitted Investments and permitted dispositions of assets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such obligations shall in no event exceed the amount of proceeds received in connection therewith, subject to carve outs from such limitation on such obligations for fraud and for other customary reasons);</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incurred in the ordinary course of business with respect to surety and appeal bonds, performance and return-of-money bonds and other similar obligations in an aggregate amount at any time not to exceed the greater of (i) $10,000,000 and (ii) 10% of EBITDA of the Borrower and the Restricted Subsidiaries for the Test Period;</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constituting Investments permitted pursuant to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any Loan Party of Indebtedness permitted hereunder (other than Indebtedness of any Subsidiary that is not a Loan Party and Excluded Swap Obligations)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guaranty obligation shall in no event exceed the amount of such Indebtedness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other related costs and expenses of collection as set forth in such guaranty);</w:t>
      </w:r>
    </w:p>
    <w:p>
      <w:pPr>
        <w:spacing w:after="0" w:line="17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with respect to deferred compensation to officers or employees of the Borrower and its Restricted Subsidiaries incurred in the ordinary course of business;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arising under the Loan Documents and in connection with any Secured Hedge permitted hereunder;</w:t>
      </w:r>
    </w:p>
    <w:p>
      <w:pPr>
        <w:spacing w:after="0" w:line="227" w:lineRule="exact"/>
        <w:rPr>
          <w:rFonts w:ascii="Times New Roman" w:cs="Times New Roman" w:eastAsia="Times New Roman" w:hAnsi="Times New Roman"/>
          <w:sz w:val="19"/>
          <w:szCs w:val="19"/>
          <w:color w:val="auto"/>
        </w:rPr>
      </w:pPr>
    </w:p>
    <w:p>
      <w:pPr>
        <w:jc w:val="both"/>
        <w:ind w:firstLine="1304"/>
        <w:spacing w:after="0" w:line="244"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arising with respect to Permitted Stimulus Indebtedness upon terms and conditions (including as to any proposed limitation on distributions or dividends to be made by any Loan Party or Restricted Subsidiary providing such Contingent Obligation) reasonably acceptable to Administrative Agent;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aggregate outstanding amount of Investments in Stimulus Recipient Subsidiaries and the amount of Contingent Obligations entered into by the Borrower or any of its Restricted Subsidiaries (other than Stimulus Recipient Subsidiaries) in respect of Permitted Stimulus Indebtedness shall not exceed in the aggregate at any time the greater of (i) $30,000,000 and (ii) 35% of EBITDA of the Borrower and the Restricted Subsidiaries for the Test Period;</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any Foreign Restricted Subsidiary of Indebtedness of a Foreign Restricted Subsidiary which is permitted hereunder, in an aggregate amount at any time not to exceed the greater of (i) $40,000,000 and (ii) 45% of EBITDA of the Borrower and the Restricted Subsidiaries for the Test Period;</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arising in the ordinary course of business with respect to customary indemnification obligations incurred in connection with liability insurance coverage; </w:t>
      </w:r>
      <w:r>
        <w:rPr>
          <w:rFonts w:ascii="Times New Roman" w:cs="Times New Roman" w:eastAsia="Times New Roman" w:hAnsi="Times New Roman"/>
          <w:sz w:val="20"/>
          <w:szCs w:val="20"/>
          <w:color w:val="FF0000"/>
          <w:strike w:val="1"/>
        </w:rPr>
        <w:t>and</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with respect to cash management</w:t>
      </w:r>
      <w:r>
        <w:rPr>
          <w:rFonts w:ascii="Times New Roman" w:cs="Times New Roman" w:eastAsia="Times New Roman" w:hAnsi="Times New Roman"/>
          <w:sz w:val="20"/>
          <w:szCs w:val="20"/>
          <w:color w:val="FF0000"/>
          <w:strike w:val="1"/>
        </w:rPr>
        <w:t>.</w:t>
      </w:r>
      <w:r>
        <w:rPr>
          <w:rFonts w:ascii="Times New Roman" w:cs="Times New Roman" w:eastAsia="Times New Roman" w:hAnsi="Times New Roman"/>
          <w:sz w:val="20"/>
          <w:szCs w:val="20"/>
          <w:u w:val="single" w:color="auto"/>
          <w:color w:val="0000FF"/>
        </w:rPr>
        <w:t>; and</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78"/>
        </w:numPr>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u w:val="single" w:color="auto"/>
          <w:color w:val="0000FF"/>
        </w:rPr>
        <w:t>obligations of Loan Parties or Restricted Subsidiaries (i) in favor of Funding Agencies, and (ii) with respect to (A) any cash collateral provided to a Funding Agency or cash collateral securing letters of credit or similar instruments provided to a Funding Agency, or (B) letters of credit, escrow or similar arrangements, in each case, for the benefit of a Funding Agency and in connection with Funding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7" w:name="page208"/>
    <w:bookmarkEnd w:id="207"/>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u w:val="single" w:color="auto"/>
          <w:color w:val="auto"/>
        </w:rPr>
        <w:t>Loans and Investments</w:t>
      </w:r>
      <w:r>
        <w:rPr>
          <w:rFonts w:ascii="Times New Roman" w:cs="Times New Roman" w:eastAsia="Times New Roman" w:hAnsi="Times New Roman"/>
          <w:sz w:val="20"/>
          <w:szCs w:val="20"/>
          <w:color w:val="auto"/>
        </w:rPr>
        <w:t>. No Loan Party shall, nor shall any Loan Party permit any Restricted Subsidiary to, at any time make or suffer to remain outstanding any Investment or agree, become or remain liable to make any Investment, except:</w:t>
      </w:r>
    </w:p>
    <w:p>
      <w:pPr>
        <w:spacing w:after="0" w:line="175" w:lineRule="exact"/>
        <w:rPr>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arising and trade credit extended on usual and customary terms in the ordinary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course of business;</w:t>
      </w:r>
    </w:p>
    <w:p>
      <w:pPr>
        <w:spacing w:after="0" w:line="193"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and employees of Borrower or any Restricted Subsidiary (i) for reasonable and customary business-related travel, entertainment, relocation and analogous ordinary business purposes (including employee payroll advances), (ii) in connection with such Person’s purchase of equity interests of Borrower to the extent that the cash proceeds of such loans and advances are directly or indirectly contributed to Borrower in cash and (iii) for purposes not described in the foregoing subclauses (i) and (ii), in an aggregate principal amount outstanding pursuant to this subclause (iii) not to exceed $1,000,000 at any time outstanding;</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cash and Cash Equivalents;</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and other Investments solely among Loan Parties;</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payable to, or equity interests issued by, account debtors to any Loan Party in good faith settlement of delinquent obligations and pursuant to any plan of reorganization or similar proceedings upon the bankruptcy or insolvency of any such account debtor;</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set forth on </w:t>
      </w:r>
      <w:r>
        <w:rPr>
          <w:rFonts w:ascii="Times New Roman" w:cs="Times New Roman" w:eastAsia="Times New Roman" w:hAnsi="Times New Roman"/>
          <w:sz w:val="20"/>
          <w:szCs w:val="20"/>
          <w:u w:val="single" w:color="auto"/>
          <w:color w:val="auto"/>
        </w:rPr>
        <w:t>Schedule 7.5</w:t>
      </w:r>
      <w:r>
        <w:rPr>
          <w:rFonts w:ascii="Times New Roman" w:cs="Times New Roman" w:eastAsia="Times New Roman" w:hAnsi="Times New Roman"/>
          <w:sz w:val="20"/>
          <w:szCs w:val="20"/>
          <w:color w:val="auto"/>
        </w:rPr>
        <w:t xml:space="preserve"> hereto;</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Interests of any Subsidiary owned by the Borrower or any other Subsidiary on the Closing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w:t>
      </w:r>
    </w:p>
    <w:p>
      <w:pPr>
        <w:spacing w:after="0" w:line="193"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CoBank Equities and any other stock or securities of, or Investments in, CoBank or its investment services or programs;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Guaranties and other Contingent Obligations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Secured Hedge permitted under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 and Permitted Investments;</w:t>
      </w:r>
    </w:p>
    <w:p>
      <w:pPr>
        <w:spacing w:after="0" w:line="215"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 and customary trade arrangements with customers consistent with past practices;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Person acquired, or Investments constituting part of the assets acquired (including, in each case, by way of merger or consolidation) to the extent that such Investments were not made in contemplation of or in connection with such acquisition, merger or consolidation and were in existence on the date of such acquisition, merger or consolidation;</w:t>
      </w:r>
    </w:p>
    <w:p>
      <w:pPr>
        <w:spacing w:after="0" w:line="17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Investment not otherwise permitted by this Section 7.5 (including an Investment in an Unrestricted Subsidiary and/or designation of an existing Subsidiary as an Unrestricted Subsidiary),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no Event of Default exists immediately before or will result immediately after giving effect to such Investment, (ii) the Borrower shall be in compliance on a pro forma basis immediately after giving effect to such Restricted Payment with Article VIII for the Test Period, and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9"/>
          <w:szCs w:val="19"/>
          <w:color w:val="auto"/>
        </w:rPr>
        <w:t xml:space="preserve">at the time any such Investment is made, (I) the sum of (1) the aggregate amount of such Investment and/or designation, </w:t>
      </w:r>
      <w:r>
        <w:rPr>
          <w:rFonts w:ascii="Times New Roman" w:cs="Times New Roman" w:eastAsia="Times New Roman" w:hAnsi="Times New Roman"/>
          <w:sz w:val="19"/>
          <w:szCs w:val="19"/>
          <w:u w:val="single" w:color="auto"/>
          <w:color w:val="auto"/>
        </w:rPr>
        <w:t>plus</w:t>
      </w:r>
    </w:p>
    <w:p>
      <w:pPr>
        <w:spacing w:after="0" w:line="32" w:lineRule="exact"/>
        <w:rPr>
          <w:sz w:val="20"/>
          <w:szCs w:val="20"/>
          <w:color w:val="auto"/>
        </w:rPr>
      </w:pPr>
    </w:p>
    <w:p>
      <w:pPr>
        <w:jc w:val="both"/>
        <w:ind w:firstLine="8"/>
        <w:spacing w:after="0" w:line="241" w:lineRule="auto"/>
        <w:tabs>
          <w:tab w:leader="none" w:pos="281"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prior Investments or designations made pursuant to this Section 7.5(o) (excluding all such prior Investments made by the Borrower or its Subsidiaries in Unrestricted Subsidiaries which subsequent to the date of such Investments have been re-designated as (and at the time of such Investment are designated as) Restricted Subsidiaries),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(3) any Restricted Payment made pursuant to Section 7.6(c), does not exceed (II) the greater of (i) $30,000,000 and (ii) 35% of EBITDA of the Borrower and the Restricted Subsidiaries for the Test Period; and</w:t>
      </w:r>
    </w:p>
    <w:p>
      <w:pPr>
        <w:spacing w:after="0" w:line="186"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44" w:val="left"/>
        </w:tabs>
        <w:numPr>
          <w:ilvl w:val="1"/>
          <w:numId w:val="1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a Stimulus Recipient Subsidiary upon terms and conditions (including as to any proposed limitation on distributions or dividends to be made by such Stimulus Recipient Subsidiary) reasonably acceptable to Administrative Agent;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the aggregate outstanding amount of Investments in Stimulus Recipient Subsidiaries and the amount of Contingent Obligations entered into by the Borrower or any of its Restricted Subsidiaries (other than Stimulus Recipient Subsidiaries) in respect of Permitted Stimulus Indebtedness shall not exceed in the aggregate at any time the greater of (i) $30,000,000 and (ii) 35% of EBITDA of the Borrower and the Restricted Subsidiaries for the Test Period;</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u w:val="single" w:color="auto"/>
          <w:color w:val="auto"/>
        </w:rPr>
        <w:t>Dividends and Related Distributions</w:t>
      </w:r>
      <w:r>
        <w:rPr>
          <w:rFonts w:ascii="Times New Roman" w:cs="Times New Roman" w:eastAsia="Times New Roman" w:hAnsi="Times New Roman"/>
          <w:sz w:val="20"/>
          <w:szCs w:val="20"/>
          <w:color w:val="auto"/>
        </w:rPr>
        <w:t>. No Loan Party shall, nor shall any Loan Party permit any Restricted Subsidiary to, declare or make, directly or indirectly, any Restricted Payment, or incur any obligation (contingent or otherwise) to do so, except that:</w:t>
      </w:r>
    </w:p>
    <w:p>
      <w:pPr>
        <w:spacing w:after="0" w:line="173" w:lineRule="exact"/>
        <w:rPr>
          <w:sz w:val="20"/>
          <w:szCs w:val="20"/>
          <w:color w:val="auto"/>
        </w:rPr>
      </w:pPr>
    </w:p>
    <w:p>
      <w:pPr>
        <w:jc w:val="both"/>
        <w:ind w:firstLine="1304"/>
        <w:spacing w:after="0" w:line="254" w:lineRule="auto"/>
        <w:tabs>
          <w:tab w:leader="none" w:pos="19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Restricted Subsidiary may make Restricted Payments to any Loan Party that owns an Equity Interest in such Loan Party or Restricted Subsidiary, ratably according to their respective holdings of the type of Equity Interest in respect of which such Restricted Payment is being made;</w:t>
      </w:r>
    </w:p>
    <w:p>
      <w:pPr>
        <w:spacing w:after="0" w:line="17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exists immediately before or will result immediately after giving effect to such Restricted Payment, the Borrower or any Restricted Subsidiaries may (i) declare or pay cash dividends to its members and (ii) purchase, redeem or otherwise acquire for cash Equity Interests issued by it, in each case, in connection with (x) the termination of an employee or pursuant to any board approved plan, or (y) the exercise of options to purchase the Borrower’s capital stock or the vesting of other equity awards if such Equity Interests represent a portion of the exercise price of such options or taxes payable in connection with the vesting of such awards, in each case to the extent that such declarations, payments, purchases, redemptions, or acquisition, together with all other declarations, payments, purchases, redemptions, or acquisition pursuant to this clause (b) in the preceding twelve months, do not exceed in the aggregate amount the greater of (i) $5,000,000 and (ii) 7.5% of EBITDA of the Borrower and the Restricted Subsidiaries for the Test Period;</w:t>
      </w:r>
    </w:p>
    <w:p>
      <w:pPr>
        <w:spacing w:after="0" w:line="192"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Payment not otherwise permitted by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provided that, (i) no Event of Default exists immediately before or will result immediately after giving effect to such Restricted Payment, (ii) the Borrower shall be in compliance on a pro forma basis immediately after giving effect to such Restricted Payment with Article VIII, and (iii) at the time any such Restricted Payment is made, (I) the sum of (1) the aggregate amount of such Restricted Payment,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any prior Restricted Payments made pursuant to this Section 7.6(c),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(3) any Investment made pursuant to Section 7.5(o) (excluding all such prior Investments made by the Borrower or its Subsidiaries in Unrestricted Subsidiaries which subsequent to the date of such Investments have been re-designated as (and at the time of such Restricted Payment are designated as) Restricted Subsidiaries), does not exceed (II) the greater of (i) $30,000,000 and (ii) 35% of EBITDA of the Borrower and the Restricted Subsidiaries for the Test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09" w:name="page210"/>
    <w:bookmarkEnd w:id="209"/>
    <w:p>
      <w:pPr>
        <w:jc w:val="both"/>
        <w:ind w:firstLine="1304"/>
        <w:spacing w:after="0" w:line="273" w:lineRule="auto"/>
        <w:tabs>
          <w:tab w:leader="none" w:pos="1944" w:val="left"/>
        </w:tabs>
        <w:numPr>
          <w:ilvl w:val="0"/>
          <w:numId w:val="1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Restricted Payment to the extent that such Restricted Payment, together with all other Restricted Payments pursuant to this clause (d) in the preceding twelve months, does not exceed in the aggregate amount the greater of (i) $30,000,000 and (ii) 35% of EBITDA of the Borrower and the Restricted Subsidiaries for the Test Period; and</w:t>
      </w:r>
    </w:p>
    <w:p>
      <w:pPr>
        <w:spacing w:after="0" w:line="158" w:lineRule="exact"/>
        <w:rPr>
          <w:rFonts w:ascii="Times New Roman" w:cs="Times New Roman" w:eastAsia="Times New Roman" w:hAnsi="Times New Roman"/>
          <w:sz w:val="19"/>
          <w:szCs w:val="19"/>
          <w:color w:val="auto"/>
        </w:rPr>
      </w:pPr>
    </w:p>
    <w:p>
      <w:pPr>
        <w:jc w:val="both"/>
        <w:ind w:firstLine="1304"/>
        <w:spacing w:after="0" w:line="249" w:lineRule="auto"/>
        <w:tabs>
          <w:tab w:leader="none" w:pos="1944"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Restricted Payment (other than a Restricted Payment made by the Borrower) so long as (i) immediately before and immediately after giving effect to such Restricted Payment, no Default or Event of Default exists or will exist, and (ii) immediately after giving effect to such Restricted Payment, the Total Net Leverage Ratio for the Test Period does not exceed 2.25:1.00.</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b w:val="1"/>
          <w:bCs w:val="1"/>
          <w:u w:val="single" w:color="auto"/>
          <w:color w:val="auto"/>
        </w:rPr>
        <w:t>Liquidations, Mergers, Consolidations, Acquisitions</w:t>
      </w:r>
      <w:r>
        <w:rPr>
          <w:rFonts w:ascii="Times New Roman" w:cs="Times New Roman" w:eastAsia="Times New Roman" w:hAnsi="Times New Roman"/>
          <w:sz w:val="20"/>
          <w:szCs w:val="20"/>
          <w:color w:val="auto"/>
        </w:rPr>
        <w:t xml:space="preserve">. No Loan Party shall, nor shall any Loan Party permit any Restricted Subsidiary to, (i) dissolve, liquidate or wind-up its affairs, (ii) become a party to any merger or consolidation, or (iii) acquire by purchase, lease or otherwise all or substantially all of the assets or capital stock of any other Person or group of related Persons;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jc w:val="both"/>
        <w:ind w:right="20" w:firstLine="1304"/>
        <w:spacing w:after="0" w:line="274" w:lineRule="auto"/>
        <w:tabs>
          <w:tab w:leader="none" w:pos="1944" w:val="left"/>
        </w:tabs>
        <w:numPr>
          <w:ilvl w:val="0"/>
          <w:numId w:val="1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Subsidiary may merge with (i)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the continuing or surviving Person, or (ii) any one or more other Restricted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when any Loan Party is merging with another Subsidiary that is not a Loan Party, the Loan Party shall be the continuing or surviving Person;</w:t>
      </w:r>
    </w:p>
    <w:p>
      <w:pPr>
        <w:spacing w:after="0" w:line="156" w:lineRule="exact"/>
        <w:rPr>
          <w:rFonts w:ascii="Times New Roman" w:cs="Times New Roman" w:eastAsia="Times New Roman" w:hAnsi="Times New Roman"/>
          <w:sz w:val="19"/>
          <w:szCs w:val="19"/>
          <w:color w:val="auto"/>
        </w:rPr>
      </w:pPr>
    </w:p>
    <w:p>
      <w:pPr>
        <w:jc w:val="both"/>
        <w:ind w:right="20" w:firstLine="1304"/>
        <w:spacing w:after="0" w:line="254" w:lineRule="auto"/>
        <w:tabs>
          <w:tab w:leader="none" w:pos="194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Dispose of all or substantially all of its assets (upon voluntary liquidation or otherwise) to the Borrower or to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transferor in such a transaction is a Loan Party, then the transferee must either be the Borrower or another Loan Party;</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Excluded Subsidiary whose Equity Interests do not constitute Collateral may liquidate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dissolve; and</w:t>
      </w:r>
    </w:p>
    <w:p>
      <w:pPr>
        <w:spacing w:after="0" w:line="193"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and Restricted Subsidiaries may consummate Permitted Acquisitions, Permitted Investments, and Dispositions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or Subsidiary of Loan Party shall engage in, allow or be party to any Division without the written prior consent of the Administrative Agent in its sole discretion.</w:t>
      </w:r>
    </w:p>
    <w:p>
      <w:pPr>
        <w:spacing w:after="0" w:line="15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b w:val="1"/>
          <w:bCs w:val="1"/>
          <w:u w:val="single" w:color="auto"/>
          <w:color w:val="auto"/>
        </w:rPr>
        <w:t>Dispositions of Assets or Subsidiaries</w:t>
      </w:r>
      <w:r>
        <w:rPr>
          <w:rFonts w:ascii="Times New Roman" w:cs="Times New Roman" w:eastAsia="Times New Roman" w:hAnsi="Times New Roman"/>
          <w:sz w:val="20"/>
          <w:szCs w:val="20"/>
          <w:color w:val="auto"/>
        </w:rPr>
        <w:t>. No Loan Party shall, nor shall any Loan Party permit any Restricted Subsidiary to, Dispose of (including pursuant to any sale and leaseback transaction), voluntarily or involuntarily, any of its properties or assets, tangible or intangible (including sale, assignment, discount or other disposition of accounts, contract rights, chattel paper, equipment or general intangibles with or without recourse or of capital stock, shares of beneficial interest, partnership interests or limited liability company interests or other equity interests of a Subsidiary of such Loan Party), except:</w:t>
      </w:r>
    </w:p>
    <w:p>
      <w:pPr>
        <w:spacing w:after="0" w:line="183" w:lineRule="exact"/>
        <w:rPr>
          <w:sz w:val="20"/>
          <w:szCs w:val="20"/>
          <w:color w:val="auto"/>
        </w:rPr>
      </w:pPr>
    </w:p>
    <w:p>
      <w:pPr>
        <w:jc w:val="both"/>
        <w:ind w:firstLine="1304"/>
        <w:spacing w:after="0" w:line="254" w:lineRule="auto"/>
        <w:tabs>
          <w:tab w:leader="none" w:pos="1944"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assets in the ordinary course of business that are replaced by substitute assets acquired or leased as permitted in this Agreement, so long as such substitute assets are subject to the Administrative Agent’s Prior Security Interest therein;</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involving the sale of inventory to customers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0" w:name="page211"/>
    <w:bookmarkEnd w:id="210"/>
    <w:p>
      <w:pPr>
        <w:ind w:firstLine="1304"/>
        <w:spacing w:after="0" w:line="268"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obsolete or worn-out assets in the ordinary course of business that are no longer necessary or required in the conduct of such Loan Party’s or such Restricted Subsidiary’s business;</w:t>
      </w:r>
    </w:p>
    <w:p>
      <w:pPr>
        <w:spacing w:after="0" w:line="160"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assets among Loan Parties, so long as such sold or transferred assets are subject to the Administrative Agent’s Prior Security Interest therein;</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(i) among Excluded Subsidiaries or (ii) by an Excluded Subsidiary to a Loan Party;</w:t>
      </w:r>
    </w:p>
    <w:p>
      <w:pPr>
        <w:spacing w:after="0" w:line="227"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Disposition permitted by </w:t>
      </w:r>
      <w:r>
        <w:rPr>
          <w:rFonts w:ascii="Times New Roman" w:cs="Times New Roman" w:eastAsia="Times New Roman" w:hAnsi="Times New Roman"/>
          <w:sz w:val="20"/>
          <w:szCs w:val="20"/>
          <w:u w:val="single" w:color="auto"/>
          <w:color w:val="auto"/>
        </w:rPr>
        <w:t>Sections 7.5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Cash Equivalents;</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 of a Loan Party’s or Restricted Subsidiary’s interest in its respective property through leasing or subleasing of such property in the ordinary course of business;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required by the applicable Law;</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 of non-core assets of any Person acquired pursuant to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Disposition occurs within 18 months of such Permitted Acquisition;</w:t>
      </w:r>
    </w:p>
    <w:p>
      <w:pPr>
        <w:spacing w:after="0" w:line="15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up to 5% of the common equity interest of any Loan Party (other than Borrower) or Restricted Subsidiary to the management of such Loan Party or Restricted Subsidiary (to the extent such Loan Party’s or Restricted Subsidiary’s governing documents permit such Loan Party or Restricted Subsidiary to approve the sale of the assets or merger of such Loan Party or Restricted Subsidiary without the consent of such management shareholders, in each case, for so long as this Agreement is in effect and until Payment In Full and a certificate of an authorized officer of such Loan Party or Restricted Subsidiary certifying to the same is delivered to Administrative Agent and the Lenders in form and substance satisfactory to Administrative Agent);</w:t>
      </w:r>
    </w:p>
    <w:p>
      <w:pPr>
        <w:spacing w:after="0" w:line="185"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by a Loan Party or any Restricted Subsidiary of the capital stock or other equity interests in any (i) Unrestricted Subsidiary or (ii) any Excluded Subsidiary whose Equity Interests do not constitute Collateral; provided, that, with respect to the foregoing clause (ii), the Borrower shall be in compliance on a pro forma basis immediately after giving effect to such Disposition with Article VIII for the Test Period; provided further that upon the reasonable request of the Administrative Agent the Borrower shall deliver a certificate of a Compliance Officer of the Borrower (supported by reasonably detailed calculations) certifying as to the foregoing;</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leasing or subleasing of a Loan Party’s respective property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not otherwise permitted so long as the fair market value of all assets Disposed of (including the proposed Disposition) would not exceed in the aggregate amount the greater of (i) $25,000,000 and (ii) 30% of EBITDA of the Borrower and the Restricted Subsidiaries for the Test Period;</w:t>
      </w:r>
    </w:p>
    <w:p>
      <w:pPr>
        <w:spacing w:after="0" w:line="17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Dispositions of assets (but excluding any Disposition of any equity interest in any Loan Party or any Restricted Subsidiary) if all of the following conditions are met: (i) no Event of Default exists immediately before or will result immediately after such Disposition, (ii) Borrower shall be in compliance on a pro forma basis immediately after giving effect to such Disposition with Article VIII for the Test Period, and (iii) except as to Dispositions pursuant to call options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1" w:name="page212"/>
    <w:bookmarkEnd w:id="211"/>
    <w:p>
      <w:pPr>
        <w:jc w:val="both"/>
        <w:spacing w:after="0" w:line="246" w:lineRule="auto"/>
        <w:rPr>
          <w:sz w:val="20"/>
          <w:szCs w:val="20"/>
          <w:color w:val="auto"/>
        </w:rPr>
      </w:pPr>
      <w:r>
        <w:rPr>
          <w:rFonts w:ascii="Times New Roman" w:cs="Times New Roman" w:eastAsia="Times New Roman" w:hAnsi="Times New Roman"/>
          <w:sz w:val="20"/>
          <w:szCs w:val="20"/>
          <w:color w:val="auto"/>
        </w:rPr>
        <w:t>on the Closing Date or Dispositions of assets acquired after the Closing Date pursuant to call options entered into after the Closing Date by Borrower or any of the Restricted Subsidiaries that are consistent with the practices of Borrower and the Restricted Subsidiaries on or prior to the Closing Date, at least 60% of the EBITDA of all Restricted Subsidiaries (excluding the Borrower) is attributable to Contributing Qualifying Subsidiaries, determined on a pro forma basis immediately after giving effect to any such Disposition pursuant to this clause (o); and</w:t>
      </w:r>
    </w:p>
    <w:p>
      <w:pPr>
        <w:spacing w:after="0" w:line="184" w:lineRule="exact"/>
        <w:rPr>
          <w:sz w:val="20"/>
          <w:szCs w:val="20"/>
          <w:color w:val="auto"/>
        </w:rPr>
      </w:pPr>
    </w:p>
    <w:p>
      <w:pPr>
        <w:jc w:val="both"/>
        <w:ind w:firstLine="1304"/>
        <w:spacing w:after="0" w:line="250" w:lineRule="auto"/>
        <w:tabs>
          <w:tab w:leader="none" w:pos="1944"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asset swaps of domestic wireless assets in an aggregate market value amount not to exceed the greater of (i) $50,000,000 and (ii) 50% of EBITDA of the Borrower and the Restricted Subsidiaries for the Test Period and</w:t>
      </w:r>
    </w:p>
    <w:p>
      <w:pPr>
        <w:spacing w:after="0" w:line="1" w:lineRule="exact"/>
        <w:rPr>
          <w:rFonts w:ascii="Times New Roman" w:cs="Times New Roman" w:eastAsia="Times New Roman" w:hAnsi="Times New Roman"/>
          <w:sz w:val="20"/>
          <w:szCs w:val="20"/>
          <w:color w:val="auto"/>
        </w:rPr>
      </w:pPr>
    </w:p>
    <w:p>
      <w:pPr>
        <w:jc w:val="both"/>
        <w:ind w:firstLine="8"/>
        <w:spacing w:after="0" w:line="241" w:lineRule="auto"/>
        <w:tabs>
          <w:tab w:leader="none" w:pos="322"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swaps of foreign wireless assets in an aggregate market value amount not to exceed the greater of (i) $15,000,000 and (ii) 20% of EBITDA of the Borrower and the Restricted Subsidiaries for the Test Period if, in each case, (i) immediately after giving effect to such asset swap, Borrower is in compliance on a pro forma basis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 and (ii) no Default or Event of Default then exists or shall result from such asset swap;</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u w:val="single" w:color="auto"/>
          <w:color w:val="0000FF"/>
        </w:rPr>
        <w:t>provided, however, that no Loan Party or Restricted Subsidiary shall make any Disposition of any Funding Program Assets, any Funding Program Award Funds, Funding Program In-kind Assets, Funding Program Cash Assets, or any Funding Program Matching Funds to, or make any Investment using any Funding Program Assets, any Funding Program Award Funds, Funding Program In-kind Assets, Funding Program Cash Assets, or any Funding Program Matching Funds in, or enter into any transaction where any Funding Program Assets, any Funding Program Award Funds, Funding Program In-kind Assets, Funding Program Cash Assets, or any Funding Program Matching Funds are payable to, any other Loan Party or Restricted Subsidiary, except to the extent (a) (i) such transaction is (A) not in violation of the terms of the applicable Funding Program Agreement, (B) with another Loan Party or Restricted Subsidiary, and (C) appropriate and desirable, in the commercially reasonable discretion of the applicable Loan Party or Subsidiary of any Loan Party, to facilitate fulfillment of a grantee’s obligations under a Funding Program, and (ii) by no later than the date that the Borrower submits its next Compliance Certificate, the Borrower has provided notice of such transaction to the Administrative Agent, along with a reasonable description of such transaction, or (b) otherwise consented to by the Administrative Agent in its sole discretion.</w:t>
      </w:r>
    </w:p>
    <w:p>
      <w:pPr>
        <w:spacing w:after="0" w:line="17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10101"/>
        </w:rPr>
        <w:t>No Loan Party shall (a) use the proceeds of any Loan or other Credit Extension hereunder,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10101"/>
        </w:rPr>
        <w:t>whether directly or indirectly, and whether immediately, incidentally or ultimately, to purchase or carry margin stock (within the meaning of Regulation U of the Board) or to extend credit to others for the purpose of purchasing or carrying margin stock or to refund indebtedness originally incurred for such purpose or (b) request any Credit Extension or use (or permit the use by any of its Subsidiaries or its or their respective Affiliates, directors, officers, employees or agents) the proceeds of any Credit Extension, whether directly or indirectly, in violation of Anti-Corruption Laws, Anti-Terrorism Laws, Sanctions or other applicable Law.</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b w:val="1"/>
          <w:bCs w:val="1"/>
          <w:u w:val="single" w:color="auto"/>
          <w:color w:val="auto"/>
        </w:rPr>
        <w:t>Continuation of or Change in Business</w:t>
      </w:r>
      <w:r>
        <w:rPr>
          <w:rFonts w:ascii="Times New Roman" w:cs="Times New Roman" w:eastAsia="Times New Roman" w:hAnsi="Times New Roman"/>
          <w:sz w:val="20"/>
          <w:szCs w:val="20"/>
          <w:color w:val="auto"/>
        </w:rPr>
        <w:t>. No Loan Party shall, nor shall any Loan Party permit any Restricted Subsidiary to, engage in any business other than the business of owning, constructing, managing and operating Communications Systems, or other lines of business necessary or ancillary to the foregoing or consistent with advances in the Communications Systems industry, in each case, substantially as conducted and operated by such Loan Party or Restricted Subsidiary on the Closing Date, and such Loan Party or Restricted Subsidiary shall not permit any material change in such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2" w:name="page213"/>
    <w:bookmarkEnd w:id="212"/>
    <w:p>
      <w:pPr>
        <w:jc w:val="both"/>
        <w:ind w:right="20" w:firstLine="648"/>
        <w:spacing w:after="0" w:line="272"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b w:val="1"/>
          <w:bCs w:val="1"/>
          <w:u w:val="single" w:color="auto"/>
          <w:color w:val="auto"/>
        </w:rPr>
        <w:t>Fiscal Year</w:t>
      </w:r>
      <w:r>
        <w:rPr>
          <w:rFonts w:ascii="Times New Roman" w:cs="Times New Roman" w:eastAsia="Times New Roman" w:hAnsi="Times New Roman"/>
          <w:sz w:val="20"/>
          <w:szCs w:val="20"/>
          <w:color w:val="auto"/>
        </w:rPr>
        <w:t>. The Borrower shall not, and shall not permit any Restricted Subsidiary to, change its fiscal year from the twelve-month period beginning January 1 and ending December 31.</w:t>
      </w:r>
    </w:p>
    <w:p>
      <w:pPr>
        <w:spacing w:after="0" w:line="1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b w:val="1"/>
          <w:bCs w:val="1"/>
          <w:u w:val="single" w:color="auto"/>
          <w:color w:val="auto"/>
        </w:rPr>
        <w:t>Changes in Organizational Documents</w:t>
      </w:r>
      <w:r>
        <w:rPr>
          <w:rFonts w:ascii="Times New Roman" w:cs="Times New Roman" w:eastAsia="Times New Roman" w:hAnsi="Times New Roman"/>
          <w:sz w:val="20"/>
          <w:szCs w:val="20"/>
          <w:color w:val="auto"/>
        </w:rPr>
        <w:t xml:space="preserve">. No Loan Party shall, nor shall any Loan Party permit any Restricted Subsidiary to, amend in any respect its Organizational Documents in a manner that is materially adverse to the interests of the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10 days prior notice will be delivered to Administrative Agent of any modification that results in a Loan Party (or any entity whose equity interest is pledged by a Loan Party pursuant to the Pledge and Security Agreement opting into Article 8 of the UCC).</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7.15 </w:t>
      </w:r>
      <w:r>
        <w:rPr>
          <w:rFonts w:ascii="Times New Roman" w:cs="Times New Roman" w:eastAsia="Times New Roman" w:hAnsi="Times New Roman"/>
          <w:sz w:val="20"/>
          <w:szCs w:val="20"/>
          <w:b w:val="1"/>
          <w:bCs w:val="1"/>
          <w:u w:val="single" w:color="auto"/>
          <w:color w:val="auto"/>
        </w:rPr>
        <w:t>Negative Pledges; Other Inconsistent Agreements</w:t>
      </w:r>
      <w:r>
        <w:rPr>
          <w:rFonts w:ascii="Times New Roman" w:cs="Times New Roman" w:eastAsia="Times New Roman" w:hAnsi="Times New Roman"/>
          <w:sz w:val="20"/>
          <w:szCs w:val="20"/>
          <w:color w:val="auto"/>
        </w:rPr>
        <w:t>. Each of the Loan Parties covenants and agrees that it shall not, and shall not permit any Restricted Subsidiary to, enter into any agreement containing any provision which would</w:t>
      </w:r>
    </w:p>
    <w:p>
      <w:pPr>
        <w:jc w:val="both"/>
        <w:ind w:firstLine="8"/>
        <w:spacing w:after="0" w:line="239" w:lineRule="auto"/>
        <w:tabs>
          <w:tab w:leader="none" w:pos="298"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 breached by any Borrowing by the Borrower hereunder or by the performance by the Loan Parties or Restricted Subsidiaries of any of their obligations hereunder or under any other Loan Document, (b) limit the ability of any Loan Party or any Restricted Subsidiary of any Loan Party to create, incur, assume or suffer to exist Liens on property of such Person; </w:t>
      </w:r>
      <w:r>
        <w:rPr>
          <w:rFonts w:ascii="Times New Roman" w:cs="Times New Roman" w:eastAsia="Times New Roman" w:hAnsi="Times New Roman"/>
          <w:sz w:val="20"/>
          <w:szCs w:val="20"/>
          <w:u w:val="single" w:color="auto"/>
          <w:color w:val="0000FF"/>
        </w:rPr>
        <w:t>provided, however, that this clause (b) shall not prohibit restrictions on liens with respect to any Funding Program Assets, any Funding Program Award Funds, any Funding Program Matching Funds, any Funding Program Deposit Accounts, any Funding Program In-kind Assets and any Funding Program Cash Assets;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(c) create or permit to exist or become effective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any encumbrance or restriction on the ability of any Loan Party or Restricted Subsidiary of any Loan Party to (i) make Restricted Payments to any Loan Party, or pay any Indebtedness owed to any Loan Party, (ii) make loans or advances to any Loan Party, (iii) transfer any of its assets or properties to any Loan Party, or (iv) Guarantee the Indebtedness of any Loan Party, </w:t>
      </w:r>
      <w:r>
        <w:rPr>
          <w:rFonts w:ascii="Times New Roman" w:cs="Times New Roman" w:eastAsia="Times New Roman" w:hAnsi="Times New Roman"/>
          <w:sz w:val="20"/>
          <w:szCs w:val="20"/>
          <w:color w:val="FF0000"/>
          <w:strike w:val="1"/>
        </w:rPr>
        <w:t>or</w:t>
      </w:r>
      <w:r>
        <w:rPr>
          <w:rFonts w:ascii="Times New Roman" w:cs="Times New Roman" w:eastAsia="Times New Roman" w:hAnsi="Times New Roman"/>
          <w:sz w:val="20"/>
          <w:szCs w:val="20"/>
          <w:u w:val="single" w:color="auto"/>
          <w:color w:val="0000FF"/>
        </w:rPr>
        <w:t>provided, however, that this clause (c) shall not prohibit negative pledges incurred or provided in favor of any</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FF"/>
        </w:rPr>
        <w:t>Funding Agency pursuant to any Funding Program; or</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(d) require the grant of a Lien to secure an obligation of such Person</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if a Lien is granted to secure another obligation of such Person; </w:t>
      </w:r>
      <w:r>
        <w:rPr>
          <w:rFonts w:ascii="Times New Roman" w:cs="Times New Roman" w:eastAsia="Times New Roman" w:hAnsi="Times New Roman"/>
          <w:sz w:val="20"/>
          <w:szCs w:val="20"/>
          <w:u w:val="single" w:color="auto"/>
          <w:color w:val="000000"/>
        </w:rPr>
        <w:t>provided</w:t>
      </w:r>
      <w:r>
        <w:rPr>
          <w:rFonts w:ascii="Times New Roman" w:cs="Times New Roman" w:eastAsia="Times New Roman" w:hAnsi="Times New Roman"/>
          <w:sz w:val="20"/>
          <w:szCs w:val="20"/>
          <w:color w:val="000000"/>
        </w:rPr>
        <w:t xml:space="preserve"> that clauses (b) and (c) shall not prohibit (v) restrictions and conditions imposed by applicable Law or by this Agreement, (w) any negative pledge incurred or provided in favor of any holder of Indebtedness permitted under Sections </w:t>
      </w:r>
      <w:r>
        <w:rPr>
          <w:rFonts w:ascii="Times New Roman" w:cs="Times New Roman" w:eastAsia="Times New Roman" w:hAnsi="Times New Roman"/>
          <w:sz w:val="20"/>
          <w:szCs w:val="20"/>
          <w:u w:val="single" w:color="auto"/>
          <w:color w:val="000000"/>
        </w:rPr>
        <w:t>7.1(a)</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(i)</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(m)</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u w:val="single" w:color="auto"/>
          <w:color w:val="000000"/>
        </w:rPr>
        <w:t>(t)</w:t>
      </w:r>
      <w:r>
        <w:rPr>
          <w:rFonts w:ascii="Times New Roman" w:cs="Times New Roman" w:eastAsia="Times New Roman" w:hAnsi="Times New Roman"/>
          <w:sz w:val="20"/>
          <w:szCs w:val="20"/>
          <w:color w:val="000000"/>
        </w:rPr>
        <w:t xml:space="preserve">, or </w:t>
      </w:r>
      <w:r>
        <w:rPr>
          <w:rFonts w:ascii="Times New Roman" w:cs="Times New Roman" w:eastAsia="Times New Roman" w:hAnsi="Times New Roman"/>
          <w:sz w:val="20"/>
          <w:szCs w:val="20"/>
          <w:u w:val="single" w:color="auto"/>
          <w:color w:val="000000"/>
        </w:rPr>
        <w:t>(u)</w:t>
      </w:r>
      <w:r>
        <w:rPr>
          <w:rFonts w:ascii="Times New Roman" w:cs="Times New Roman" w:eastAsia="Times New Roman" w:hAnsi="Times New Roman"/>
          <w:sz w:val="20"/>
          <w:szCs w:val="20"/>
          <w:color w:val="000000"/>
        </w:rPr>
        <w:t xml:space="preserve">, solely to the extent any such negative pledge relates to the property financed by or the subject of such Indebtedness, (x) any negative pledge incurred through customary non-assignment clauses in agreements entered into in the ordinary course of business, (y) any negative pledge incurred under contracts for the sale of assets permitted by </w:t>
      </w:r>
      <w:r>
        <w:rPr>
          <w:rFonts w:ascii="Times New Roman" w:cs="Times New Roman" w:eastAsia="Times New Roman" w:hAnsi="Times New Roman"/>
          <w:sz w:val="20"/>
          <w:szCs w:val="20"/>
          <w:u w:val="single" w:color="auto"/>
          <w:color w:val="000000"/>
        </w:rPr>
        <w:t>Section 7.8</w:t>
      </w:r>
      <w:r>
        <w:rPr>
          <w:rFonts w:ascii="Times New Roman" w:cs="Times New Roman" w:eastAsia="Times New Roman" w:hAnsi="Times New Roman"/>
          <w:sz w:val="20"/>
          <w:szCs w:val="20"/>
          <w:color w:val="000000"/>
        </w:rPr>
        <w:t>, or (z) restrictions contained in loan and security documentation evidencing Indebtedness permitted under Section 7.1(p) or grant documentation evidencing a grant obtained from a Stimulus Source Agency, in each case, which only prohibit Liens upon the assets of the applicable Stimulus Recipient Subsidiary.</w:t>
      </w:r>
    </w:p>
    <w:p>
      <w:pPr>
        <w:spacing w:after="0" w:line="20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 xml:space="preserve">7.18 </w:t>
      </w:r>
      <w:r>
        <w:rPr>
          <w:rFonts w:ascii="Times New Roman" w:cs="Times New Roman" w:eastAsia="Times New Roman" w:hAnsi="Times New Roman"/>
          <w:sz w:val="20"/>
          <w:szCs w:val="20"/>
          <w:b w:val="1"/>
          <w:bCs w:val="1"/>
          <w:u w:val="single" w:color="auto"/>
          <w:color w:val="auto"/>
        </w:rPr>
        <w:t>Management Fees</w:t>
      </w:r>
      <w:r>
        <w:rPr>
          <w:rFonts w:ascii="Times New Roman" w:cs="Times New Roman" w:eastAsia="Times New Roman" w:hAnsi="Times New Roman"/>
          <w:sz w:val="20"/>
          <w:szCs w:val="20"/>
          <w:color w:val="auto"/>
        </w:rPr>
        <w:t>. Each of the Loan Parties covenants and agrees that it shall not, and shall not permit any Restricted Subsidiary to, directly or indirectly, pay any management or other similar fees to any Person, except management fees paid to a Loan Party.</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7.20</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13" w:name="page214"/>
    <w:bookmarkEnd w:id="21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19"/>
          <w:szCs w:val="19"/>
          <w:b w:val="1"/>
          <w:bCs w:val="1"/>
          <w:u w:val="single" w:color="auto"/>
          <w:color w:val="010101"/>
        </w:rPr>
        <w:t>Anti-Corruption; Anti-Terrorism; Sanctions</w:t>
      </w:r>
      <w:r>
        <w:rPr>
          <w:rFonts w:ascii="Times New Roman" w:cs="Times New Roman" w:eastAsia="Times New Roman" w:hAnsi="Times New Roman"/>
          <w:sz w:val="19"/>
          <w:szCs w:val="19"/>
          <w:color w:val="010101"/>
        </w:rPr>
        <w:t>.</w:t>
      </w:r>
    </w:p>
    <w:p>
      <w:pPr>
        <w:spacing w:after="0" w:line="219" w:lineRule="exact"/>
        <w:rPr>
          <w:sz w:val="20"/>
          <w:szCs w:val="20"/>
          <w:color w:val="auto"/>
        </w:rPr>
      </w:pPr>
    </w:p>
    <w:p>
      <w:pPr>
        <w:jc w:val="both"/>
        <w:ind w:firstLine="1304"/>
        <w:spacing w:after="0" w:line="254" w:lineRule="auto"/>
        <w:tabs>
          <w:tab w:leader="none" w:pos="19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101"/>
        </w:rPr>
        <w:t>None of the Loan Parties or their respective Subsidiaries, Affiliates, officers, directors, employees or agents will engage in any dealings or transactions with any Sanctioned Person or in violation of any applicable Anti-Corruption Laws, Anti-Terrorism Laws or Sanctions.</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010101"/>
        </w:rPr>
        <w:t>No Loan Party will fund all or any part of any payment under this Agreement or any other Loan Document out of proceeds derived from transactions that violate Sanctions, or with any Sanctioned Person, or with or connected to any Sanctioned Country.</w:t>
      </w:r>
    </w:p>
    <w:p>
      <w:pPr>
        <w:spacing w:after="0" w:line="17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u w:val="single" w:color="auto"/>
          <w:color w:val="0000FF"/>
        </w:rPr>
        <w:t>7.22 Funding Program Deposit Accounts. Notwithstanding anything contained in Article VII or elsewhere in this Agreement or any other Loan Document, (a) no funds other than Funding Program Award Funds, Funding Program Matching Funds, Funding Program Cash Assets, proceeds of any Funding Program Asset or Funding Program In-kind Asset or other funds to be used solely with respect to any project in connection with any Funding Program (and required by such Funding Program to be deposited into a Funding Program Deposit Account) shall be deposited or held in any Funding Program Deposit Account at any time, and (b) a Loan Party or Restricted Subsidiary shall not be required to provide notice or obtain consent to classify an asset as a Funding Program In-kind Asset or Funding Program Cash Assets when doing so to satisfy a matching obligation required by a Funding Program.</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VIII.  FINANCIAL COVENANTS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u w:val="single" w:color="auto"/>
          <w:color w:val="auto"/>
        </w:rPr>
        <w:t>Maximum Total Net Leverage Ratio</w:t>
      </w:r>
      <w:r>
        <w:rPr>
          <w:rFonts w:ascii="Times New Roman" w:cs="Times New Roman" w:eastAsia="Times New Roman" w:hAnsi="Times New Roman"/>
          <w:sz w:val="20"/>
          <w:szCs w:val="20"/>
          <w:color w:val="auto"/>
        </w:rPr>
        <w:t>. Commencing with the last day of the fiscal quarter ending June 30, 2023, the Borrower shall maintain at all times, measured at each such fiscal quarter end, a Total Net Leverage Ratio of less than or equal to 3.25:1.00; provided, however, upon the occurrence of a Qualifying Acquisition, during the fiscal quarter in which such Qualifying Acquisition occurred and for the subsequent three fiscal quarters, the Borrower shall maintain at all times, measured at each such fiscal quarter end, a Total Net Leverage Ratio of less than or equal to 3.75:1.00.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IX.  EVENTS OF DEFAULT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u w:val="single" w:color="auto"/>
          <w:color w:val="auto"/>
        </w:rPr>
        <w:t>Events of Default</w:t>
      </w:r>
      <w:r>
        <w:rPr>
          <w:rFonts w:ascii="Times New Roman" w:cs="Times New Roman" w:eastAsia="Times New Roman" w:hAnsi="Times New Roman"/>
          <w:sz w:val="20"/>
          <w:szCs w:val="20"/>
          <w:color w:val="auto"/>
        </w:rPr>
        <w:t>. An Event of Default means the occurrence or existence of any one or more of the following events or conditions (whatever the reason therefor and whether voluntary, involuntary or effected by operation of Law):</w:t>
      </w:r>
    </w:p>
    <w:p>
      <w:pPr>
        <w:spacing w:after="0" w:line="200" w:lineRule="exact"/>
        <w:rPr>
          <w:sz w:val="20"/>
          <w:szCs w:val="20"/>
          <w:color w:val="auto"/>
        </w:rPr>
      </w:pPr>
    </w:p>
    <w:p>
      <w:pPr>
        <w:spacing w:after="0" w:line="208" w:lineRule="exact"/>
        <w:rPr>
          <w:sz w:val="20"/>
          <w:szCs w:val="20"/>
          <w:color w:val="auto"/>
        </w:rPr>
      </w:pPr>
    </w:p>
    <w:p>
      <w:pPr>
        <w:jc w:val="both"/>
        <w:ind w:firstLine="1304"/>
        <w:spacing w:after="0" w:line="245" w:lineRule="auto"/>
        <w:tabs>
          <w:tab w:leader="none" w:pos="194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Under Loan Documents</w:t>
      </w:r>
      <w:r>
        <w:rPr>
          <w:rFonts w:ascii="Times New Roman" w:cs="Times New Roman" w:eastAsia="Times New Roman" w:hAnsi="Times New Roman"/>
          <w:sz w:val="20"/>
          <w:szCs w:val="20"/>
          <w:color w:val="auto"/>
        </w:rPr>
        <w:t>. Failure by the Borrower or any other Loan Party to pay, (i) on the date on which such payment becomes due in accordance with the terms of this Agreement or any other applicable Loan Document, any principal of any Loan (including scheduled installments, mandatory prepayments or the payment due at maturity), Reimbursement Obligation or Letter of Credit Borrowing or (ii) within three (3) Business Days after such amount is due, any interest on any Loan, Reimbursement Obligation or Letter of Credit Borrowing or any other amount owing hereunder or under the other Loan Documents, or any other Secured Obligation;</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Warranty</w:t>
      </w:r>
      <w:r>
        <w:rPr>
          <w:rFonts w:ascii="Times New Roman" w:cs="Times New Roman" w:eastAsia="Times New Roman" w:hAnsi="Times New Roman"/>
          <w:sz w:val="20"/>
          <w:szCs w:val="20"/>
          <w:color w:val="auto"/>
        </w:rPr>
        <w:t>. Any representation, warranty, certification or statement of fact made or deemed made at any time by any of the Loan Parties or any Restricted Subsidiary herein or in any other Loan Document, or in any certificate or statement furnished in writing pursuant to the provisions hereof or thereof, shall have been false or misleading as of the time it was made or furnished (i) as stated if such representation or warranty contains an express materiality qualification or (ii) in any material respect if such representation or warranty does not contain such qualification (including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14" w:name="page215"/>
    <w:bookmarkEnd w:id="214"/>
    <w:p>
      <w:pPr>
        <w:spacing w:after="0" w:line="268" w:lineRule="auto"/>
        <w:rPr>
          <w:sz w:val="20"/>
          <w:szCs w:val="20"/>
          <w:color w:val="auto"/>
        </w:rPr>
      </w:pPr>
      <w:r>
        <w:rPr>
          <w:rFonts w:ascii="Times New Roman" w:cs="Times New Roman" w:eastAsia="Times New Roman" w:hAnsi="Times New Roman"/>
          <w:sz w:val="20"/>
          <w:szCs w:val="20"/>
          <w:color w:val="auto"/>
        </w:rPr>
        <w:t>representations and warranties as of the closing date of any Limited Condition Acquisition, regardless of whether the accuracy thereof is a condition precedent to the initial funding or such other advance);</w:t>
      </w:r>
    </w:p>
    <w:p>
      <w:pPr>
        <w:spacing w:after="0" w:line="161" w:lineRule="exact"/>
        <w:rPr>
          <w:sz w:val="20"/>
          <w:szCs w:val="20"/>
          <w:color w:val="auto"/>
        </w:rPr>
      </w:pPr>
    </w:p>
    <w:p>
      <w:pPr>
        <w:ind w:left="1960" w:hanging="656"/>
        <w:spacing w:after="0"/>
        <w:tabs>
          <w:tab w:leader="none" w:pos="1960"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Certain Covenants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right="20" w:firstLine="1952"/>
        <w:spacing w:after="0" w:line="254" w:lineRule="auto"/>
        <w:tabs>
          <w:tab w:leader="none" w:pos="2592"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 the Loan Parties or any of the Restricted Subsidiaries shall default in the observance or performance of any covenant contained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(subject to the cure rights set forth in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hereof);</w:t>
      </w:r>
    </w:p>
    <w:p>
      <w:pPr>
        <w:spacing w:after="0" w:line="17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2"/>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 the Loan Parties or any of the Restricted Subsidiaries shall default in the observance or performance of any covenant contained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such default shall continue unremedied for a period of five (5) Business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failure to observe or perform any covenant contained in </w:t>
      </w:r>
      <w:r>
        <w:rPr>
          <w:rFonts w:ascii="Times New Roman" w:cs="Times New Roman" w:eastAsia="Times New Roman" w:hAnsi="Times New Roman"/>
          <w:sz w:val="20"/>
          <w:szCs w:val="20"/>
          <w:u w:val="single" w:color="auto"/>
          <w:color w:val="auto"/>
        </w:rPr>
        <w:t>Section 6.1(e)</w:t>
      </w:r>
      <w:r>
        <w:rPr>
          <w:rFonts w:ascii="Times New Roman" w:cs="Times New Roman" w:eastAsia="Times New Roman" w:hAnsi="Times New Roman"/>
          <w:sz w:val="20"/>
          <w:szCs w:val="20"/>
          <w:color w:val="auto"/>
        </w:rPr>
        <w:t>, delivery of the applicable notice shall automatically cure the Default or Event of Default resulting from the failure to deliver such notice;</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Other Covenants</w:t>
      </w:r>
      <w:r>
        <w:rPr>
          <w:rFonts w:ascii="Times New Roman" w:cs="Times New Roman" w:eastAsia="Times New Roman" w:hAnsi="Times New Roman"/>
          <w:sz w:val="20"/>
          <w:szCs w:val="20"/>
          <w:color w:val="auto"/>
        </w:rPr>
        <w:t>. Any of the Loan Parties or any of the Restricted Subsidiaries shall default in the observance or performance of any other covenant, condition or provision hereof or of any other Loan Document, and such default shall continue unremedied for the specified cure period with respect thereto or, if no such cure period is specified, for a period of forty-five (45) days after the earlier of (i) the Administrative Agent’s delivery of written notice thereof to the Borrower and (ii) an Authorized Officer or any other executive officer of any Loan Party or Restricted Subsidiary having obtained knowledge thereof;</w:t>
      </w:r>
    </w:p>
    <w:p>
      <w:pPr>
        <w:spacing w:after="0" w:line="18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1"/>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Defaults in Other Agreements or Indebtedness</w:t>
      </w:r>
      <w:r>
        <w:rPr>
          <w:rFonts w:ascii="Times New Roman" w:cs="Times New Roman" w:eastAsia="Times New Roman" w:hAnsi="Times New Roman"/>
          <w:sz w:val="20"/>
          <w:szCs w:val="20"/>
          <w:color w:val="auto"/>
        </w:rPr>
        <w:t>. A default or event of default shall occur (unless waived) at any time under the terms of any other agreement with respect to Indebtedness or any other credit extension in an aggregate principal amount (including undrawn committed or available amounts) in excess of the greater of (i) $25,000,000 and (ii) 30% of EBITDA of the Borrower and the Restricted Subsidiaries for the Test Period, or with respect to any Hedge Agreement, the Hedge Termination Value of which is equal to or in excess of the greater of (i) $25,000,000 and (ii) 30% of EBITDA of the Borrower and the Restricted Subsidiaries for the Test Period, and, in each case, such breach, default or event of default (x) arises from the failure to pay (beyond any period of grace permitted with respect thereto) any related Indebtedness or other credit extensions when due (whether at stated maturity, by acceleration or otherwise) or (y) the effect of which is to cause, or to permit the holder or holders of such Indebtedness (or a trustee or agent on behalf of such holder or holders) to cause, with the giving of notice and/or lapse of time, if required, the acceleration of any related Indebtedness or other credit extensions (whether or not such right shall have been waived) or the termination of any commitment to lend;</w:t>
      </w:r>
    </w:p>
    <w:p>
      <w:pPr>
        <w:spacing w:after="0" w:line="189" w:lineRule="exact"/>
        <w:rPr>
          <w:rFonts w:ascii="Times New Roman" w:cs="Times New Roman" w:eastAsia="Times New Roman" w:hAnsi="Times New Roman"/>
          <w:sz w:val="20"/>
          <w:szCs w:val="20"/>
          <w:color w:val="auto"/>
        </w:rPr>
      </w:pPr>
    </w:p>
    <w:p>
      <w:pPr>
        <w:jc w:val="both"/>
        <w:ind w:firstLine="1304"/>
        <w:spacing w:after="0" w:line="256" w:lineRule="auto"/>
        <w:tabs>
          <w:tab w:leader="none" w:pos="1944" w:val="left"/>
        </w:tabs>
        <w:numPr>
          <w:ilvl w:val="1"/>
          <w:numId w:val="19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Final Judgments or Orders</w:t>
      </w:r>
      <w:r>
        <w:rPr>
          <w:rFonts w:ascii="Times New Roman" w:cs="Times New Roman" w:eastAsia="Times New Roman" w:hAnsi="Times New Roman"/>
          <w:sz w:val="19"/>
          <w:szCs w:val="19"/>
          <w:color w:val="auto"/>
        </w:rPr>
        <w:t>. Any final judgments or orders for the payment of money in an aggregate amount in excess of the greater of (i) $25,000,000 and (ii) 30% of EBITDA of the Borrower and the Restricted Subsidiaries for the Test Period shall be entered against any Loan Party or any Restricted Subsidiary by a court having jurisdiction in the premises (in any case to the extent not adequately covered by insurance as to which the insurance company has not denied coverage), which judgment is not discharged, satisfied, vacated, bonded or stayed pending appeal within a period of sixty</w:t>
      </w:r>
    </w:p>
    <w:p>
      <w:pPr>
        <w:spacing w:after="0" w:line="4"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from the date of entry so long as such judgment is uninsured;</w:t>
      </w:r>
    </w:p>
    <w:p>
      <w:pPr>
        <w:spacing w:after="0" w:line="19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 Unenforceable</w:t>
      </w:r>
      <w:r>
        <w:rPr>
          <w:rFonts w:ascii="Times New Roman" w:cs="Times New Roman" w:eastAsia="Times New Roman" w:hAnsi="Times New Roman"/>
          <w:sz w:val="20"/>
          <w:szCs w:val="20"/>
          <w:color w:val="auto"/>
        </w:rPr>
        <w:t>.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5" w:name="page216"/>
    <w:bookmarkEnd w:id="215"/>
    <w:p>
      <w:pPr>
        <w:jc w:val="both"/>
        <w:spacing w:after="0" w:line="253" w:lineRule="auto"/>
        <w:rPr>
          <w:sz w:val="20"/>
          <w:szCs w:val="20"/>
          <w:color w:val="auto"/>
        </w:rPr>
      </w:pPr>
      <w:r>
        <w:rPr>
          <w:rFonts w:ascii="Times New Roman" w:cs="Times New Roman" w:eastAsia="Times New Roman" w:hAnsi="Times New Roman"/>
          <w:sz w:val="20"/>
          <w:szCs w:val="20"/>
          <w:color w:val="auto"/>
        </w:rPr>
        <w:t>ineffective or inoperative or shall in any way be challenged or contested by any party thereto (other than the Administrative Agent or any Lender) or cease to give or provide the respective Liens, security interests, rights, titles, interests, remedies, powers or privileges intended to be created thereby;</w:t>
      </w:r>
    </w:p>
    <w:p>
      <w:pPr>
        <w:spacing w:after="0" w:line="176" w:lineRule="exact"/>
        <w:rPr>
          <w:sz w:val="20"/>
          <w:szCs w:val="20"/>
          <w:color w:val="auto"/>
        </w:rPr>
      </w:pPr>
    </w:p>
    <w:p>
      <w:pPr>
        <w:jc w:val="both"/>
        <w:ind w:firstLine="1304"/>
        <w:spacing w:after="0" w:line="246" w:lineRule="auto"/>
        <w:tabs>
          <w:tab w:leader="none" w:pos="194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Interests Unenforceable</w:t>
      </w:r>
      <w:r>
        <w:rPr>
          <w:rFonts w:ascii="Times New Roman" w:cs="Times New Roman" w:eastAsia="Times New Roman" w:hAnsi="Times New Roman"/>
          <w:sz w:val="20"/>
          <w:szCs w:val="20"/>
          <w:color w:val="auto"/>
        </w:rPr>
        <w:t xml:space="preserve">. Any Lien purported to be created under any Collateral Document shall cease to be, or shall be asserted by any Loan Party not to be, a valid or perfected Lien on any portion of the Collateral, with the priority required by the applicable Collateral Document, except (i) as a result of a release pursuant to </w:t>
      </w:r>
      <w:r>
        <w:rPr>
          <w:rFonts w:ascii="Times New Roman" w:cs="Times New Roman" w:eastAsia="Times New Roman" w:hAnsi="Times New Roman"/>
          <w:sz w:val="20"/>
          <w:szCs w:val="20"/>
          <w:u w:val="single" w:color="auto"/>
          <w:color w:val="auto"/>
        </w:rPr>
        <w:t>Section 11.1(f)</w:t>
      </w:r>
      <w:r>
        <w:rPr>
          <w:rFonts w:ascii="Times New Roman" w:cs="Times New Roman" w:eastAsia="Times New Roman" w:hAnsi="Times New Roman"/>
          <w:sz w:val="20"/>
          <w:szCs w:val="20"/>
          <w:color w:val="auto"/>
        </w:rPr>
        <w:t xml:space="preserve"> or (ii) as a result of the sale or other disposition of the applicable Collateral or the release of the applicable Loan Party or any of the Restricted Subsidiaries in a transaction permitted under the Loan Documents;</w:t>
      </w:r>
    </w:p>
    <w:p>
      <w:pPr>
        <w:spacing w:after="0" w:line="18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Uninsured Losses; Proceedings Against Assets</w:t>
      </w:r>
      <w:r>
        <w:rPr>
          <w:rFonts w:ascii="Times New Roman" w:cs="Times New Roman" w:eastAsia="Times New Roman" w:hAnsi="Times New Roman"/>
          <w:sz w:val="20"/>
          <w:szCs w:val="20"/>
          <w:color w:val="auto"/>
        </w:rPr>
        <w:t>. There shall occur any uninsured damage to or loss, theft or destruction of any portion of the Collateral with a fair market value in the aggregate in excess of the greater of (i) $25,000,000 and (ii) 30% of EBITDA of the Borrower and the Restricted Subsidiaries for the Test Period, or the Collateral or any other of the Restricted Subsidiaries’ assets with a fair market value in the aggregate in excess of the greater of $25,000,000 and 30% of EBITDA of the Borrower and the Restricted Subsidiaries for the Test Period is attached, seized, levied upon or subjected to a writ or distress warrant; or such come within the possession of any receiver, trustee, custodian or assignee for the benefit of creditors and the same is not cured within thirty (30) days thereafter;</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Events Relating to Employee Benefit Plans</w:t>
      </w:r>
      <w:r>
        <w:rPr>
          <w:rFonts w:ascii="Times New Roman" w:cs="Times New Roman" w:eastAsia="Times New Roman" w:hAnsi="Times New Roman"/>
          <w:sz w:val="20"/>
          <w:szCs w:val="20"/>
          <w:color w:val="auto"/>
        </w:rPr>
        <w:t>. (i) Any Loan Party or any of its respective Restricted Subsidiaries fails to make full payment when due of all amounts which, under the provisions of any Plans or any applicable provisions of the IRC or ERISA, any such Person is required to pay as contributions thereto and such failure results in or would reasonably be expected to result in a Material Adverse Change; or (ii) an accumulated funding deficiency occurs or exists, whether or not waived, with respect to any such Plans which would reasonably be expected to result in a Material Adverse Change; or (iii) any Plan of any Loan Party or any of its respective Restricted Subsidiaries loses its status as a qualified plan under the IRC and such loss results in or would reasonably be expected to result in a Material Adverse Change;</w:t>
      </w:r>
    </w:p>
    <w:p>
      <w:pPr>
        <w:spacing w:after="0" w:line="18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 Change of Control shall have occurred;</w:t>
      </w:r>
    </w:p>
    <w:p>
      <w:pPr>
        <w:spacing w:after="0" w:line="215"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w:t>
      </w:r>
      <w:r>
        <w:rPr>
          <w:rFonts w:ascii="Times New Roman" w:cs="Times New Roman" w:eastAsia="Times New Roman" w:hAnsi="Times New Roman"/>
          <w:sz w:val="20"/>
          <w:szCs w:val="20"/>
          <w:color w:val="auto"/>
        </w:rPr>
        <w:t>. (i) An Insolvency Proceeding shall have been instituted against any Loan Party or Restricted Subsidiary and such Insolvency Proceeding shall remain undismissed or unstayed and in effect for a period of sixty (60) consecutive days or such court shall enter a decree or order granting any of the relief sought in such Insolvency Proceeding, (ii) any Loan Party or Restricted Subsidiary institutes, or takes any action in furtherance of, an Insolvency Proceeding, (iii) an order granting the relief requested in any Insolvency Proceeding (including, but not limited to, an order for relief under federal bankruptcy laws) shall be entered, (iv) any Loan Party or Restricted Subsidiary shall commence a voluntary case under, file a petition seeking to take advantage of, any bankruptcy, insolvency, reorganization or other similar law, domestic or foreign, (v) any Loan Party or Restricted Subsidiary shall consent to or fail to contest in a timely and appropriate manner any petition filed against it in any Insolvency Proceeding, (vi) any Loan Party or Restricted Subsidiary shall apply for or consent to, or fail to contest in a timely and appropriate manner, the appointment of, or the taking of possession by, a receiver, custodian, trustee, or liquidator of itself or of a substantial part of its property, domestic or foreign, (vii) any Loan Party or Restricted Subsidiary shall take any action to approve or authorize any of the foregoing, or (viii) any Loan Party or any Restricted Subsidiary ceases to be Solvent or admits in writing its inability to pay its debts as they mature;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6" w:name="page217"/>
    <w:bookmarkEnd w:id="216"/>
    <w:p>
      <w:pPr>
        <w:jc w:val="both"/>
        <w:ind w:firstLine="1304"/>
        <w:spacing w:after="0" w:line="249" w:lineRule="auto"/>
        <w:tabs>
          <w:tab w:leader="none" w:pos="194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FCC and PUC Matters</w:t>
      </w:r>
      <w:r>
        <w:rPr>
          <w:rFonts w:ascii="Times New Roman" w:cs="Times New Roman" w:eastAsia="Times New Roman" w:hAnsi="Times New Roman"/>
          <w:sz w:val="20"/>
          <w:szCs w:val="20"/>
          <w:color w:val="auto"/>
        </w:rPr>
        <w:t>. Any Material License shall be cancelled, expired, revoked, terminated, rescinded, annulled, suspended or modified in an adverse manner (other than any modification imposed generally upon licenses in the same service), the effect of which has resulted in, or would reasonably be expected to result in, a Material Adverse Change; or</w:t>
      </w:r>
    </w:p>
    <w:p>
      <w:pPr>
        <w:spacing w:after="0" w:line="178"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Expropriation</w:t>
      </w:r>
      <w:r>
        <w:rPr>
          <w:rFonts w:ascii="Times New Roman" w:cs="Times New Roman" w:eastAsia="Times New Roman" w:hAnsi="Times New Roman"/>
          <w:sz w:val="20"/>
          <w:szCs w:val="20"/>
          <w:color w:val="auto"/>
        </w:rPr>
        <w:t>. Any federal, state or local Governmental Authority takes any action which would reasonably be expected to result in the expropriation or condemnation of all or any substantial portion of the assets of the Borrower or any of its Restricted Subsidiaries, if the assets subject to (or reasonably expected to be subject to) such expropriation or condemnation, individually or in the aggregate, account for 25% or more of EBITDA of the Borrower and the Restricted Subsidiaries for the Test Period.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b w:val="1"/>
          <w:bCs w:val="1"/>
          <w:u w:val="single" w:color="auto"/>
          <w:color w:val="auto"/>
        </w:rPr>
        <w:t>Consequences of Event of Default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Events of Default Other Than Bankruptcy, Insolvency or Reorganization Proceedings</w:t>
      </w:r>
      <w:r>
        <w:rPr>
          <w:rFonts w:ascii="Times New Roman" w:cs="Times New Roman" w:eastAsia="Times New Roman" w:hAnsi="Times New Roman"/>
          <w:sz w:val="20"/>
          <w:szCs w:val="20"/>
          <w:color w:val="auto"/>
        </w:rPr>
        <w:t xml:space="preserve">. If an Event of Default specified under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9.1(l)</w:t>
      </w:r>
      <w:r>
        <w:rPr>
          <w:rFonts w:ascii="Times New Roman" w:cs="Times New Roman" w:eastAsia="Times New Roman" w:hAnsi="Times New Roman"/>
          <w:sz w:val="20"/>
          <w:szCs w:val="20"/>
          <w:color w:val="auto"/>
        </w:rPr>
        <w:t>)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(i) by written notice to the Borrower, declare the unpaid principal amount of the Loans then outstanding and all interest accrued thereon, any unpaid fees and all other Indebtedness of the Borrower to the Lenders hereunder and thereunder to be forthwith due and payable, and the same shall thereupon become and be immediately due and payable to the Administrative Agent for the benefit of each Lender without presentment, demand, protest or any other notice of any kind, all of which are hereby waived, and (ii) require the Borrower to, and the Borrower shall thereupon, Cash Collateralize all outstanding Letters of Credit, and the Borrower hereby pledges to the Administrative Agent and the Lenders, and grants to the Administrative Agent and the Lenders a security interest in, all such cash as security for such Secured Obligations; and</w:t>
      </w:r>
    </w:p>
    <w:p>
      <w:pPr>
        <w:spacing w:after="0" w:line="18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 Insolvency or Reorganization Proceedings</w:t>
      </w:r>
      <w:r>
        <w:rPr>
          <w:rFonts w:ascii="Times New Roman" w:cs="Times New Roman" w:eastAsia="Times New Roman" w:hAnsi="Times New Roman"/>
          <w:sz w:val="20"/>
          <w:szCs w:val="20"/>
          <w:color w:val="auto"/>
        </w:rPr>
        <w:t xml:space="preserve">. If an Event of Default specified under </w:t>
      </w:r>
      <w:r>
        <w:rPr>
          <w:rFonts w:ascii="Times New Roman" w:cs="Times New Roman" w:eastAsia="Times New Roman" w:hAnsi="Times New Roman"/>
          <w:sz w:val="20"/>
          <w:szCs w:val="20"/>
          <w:u w:val="single" w:color="auto"/>
          <w:color w:val="auto"/>
        </w:rPr>
        <w:t>Section 9.1(l)</w:t>
      </w:r>
      <w:r>
        <w:rPr>
          <w:rFonts w:ascii="Times New Roman" w:cs="Times New Roman" w:eastAsia="Times New Roman" w:hAnsi="Times New Roman"/>
          <w:sz w:val="20"/>
          <w:szCs w:val="20"/>
          <w:color w:val="auto"/>
        </w:rPr>
        <w:t xml:space="preserve"> shall occur, the Lenders shall be under no further obligations to make Loans hereunder and the Issuing Lender shall be under no obligation to issue Letters of Credit and the unpaid principal amount of the Loans then outstanding and all interest accrued thereon, any unpaid fees and all other Indebtedness of the Borrower to the Lenders hereunder and thereunder automatically shall be immediately due and payable, and the obligation of the Borrower to Cash Collateralize all outstanding Letters of Credit shall automatically become effective, in each case, without presentment, demand, protest or notice of any kind, all of which are hereby expressly waived; and</w:t>
      </w:r>
    </w:p>
    <w:p>
      <w:pPr>
        <w:spacing w:after="0" w:line="18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Set-off</w:t>
      </w:r>
      <w:r>
        <w:rPr>
          <w:rFonts w:ascii="Times New Roman" w:cs="Times New Roman" w:eastAsia="Times New Roman" w:hAnsi="Times New Roman"/>
          <w:sz w:val="20"/>
          <w:szCs w:val="20"/>
          <w:color w:val="auto"/>
        </w:rPr>
        <w:t xml:space="preserve">. If an Event of Default shall have occurred and be continuing, each Lender, the Issuing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to or for the credit or the account of the Borrower or any other Loan Party against any and all of the obligations of the Borrower or such Loan Party now or hereafter existing under this Agreement or any other Loan Document to such Lender or the Issuing Lender or their respective Affiliates, irrespective of whether or not such Lender, Issuing Lender or Affiliate shall have made any demand under this Agreement or any other Loan Document and although such obligations of the Borrower or such Loan Party may be contingent or unmatured or are owed to a branch, office or Affiliate of such Lender or the Issuing Lender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shall exercise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7" w:name="page218"/>
    <w:bookmarkEnd w:id="217"/>
    <w:p>
      <w:pPr>
        <w:jc w:val="both"/>
        <w:spacing w:after="0" w:line="257" w:lineRule="auto"/>
        <w:rPr>
          <w:sz w:val="20"/>
          <w:szCs w:val="20"/>
          <w:color w:val="auto"/>
        </w:rPr>
      </w:pPr>
      <w:r>
        <w:rPr>
          <w:rFonts w:ascii="Times New Roman" w:cs="Times New Roman" w:eastAsia="Times New Roman" w:hAnsi="Times New Roman"/>
          <w:sz w:val="19"/>
          <w:szCs w:val="19"/>
          <w:color w:val="auto"/>
        </w:rPr>
        <w:t xml:space="preserve">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9"/>
          <w:szCs w:val="19"/>
          <w:u w:val="single" w:color="auto"/>
          <w:color w:val="auto"/>
        </w:rPr>
        <w:t>Section 2.15</w:t>
      </w:r>
      <w:r>
        <w:rPr>
          <w:rFonts w:ascii="Times New Roman" w:cs="Times New Roman" w:eastAsia="Times New Roman" w:hAnsi="Times New Roman"/>
          <w:sz w:val="19"/>
          <w:szCs w:val="19"/>
          <w:color w:val="auto"/>
        </w:rPr>
        <w:t xml:space="preserve"> and, pending such payment, shall be segregated by such Defaulting Lender from its other funds and deemed held in trust for the benefit of the Administrative Agent, the Issuing Lender, and the Lenders, and (y) the Defaulting Lender shall provide promptly to the Administrative Agent a statement describing in reasonable detail the Obligations owing to such Defaulting Lender as to which it exercised such right of setoff. The rights of each Lender, the Issuing Lender and their respective Affiliates under this Section are in addition to other rights and remedies (including other rights of setoff) that such Lender, the Issuing Lender or their respective Affiliates may have. Each Lender and the Issuing Lender agrees to notify the Borrower and the Administrative Agent promptly after any such setoff and application;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to give such notice shall not affect the validity of such setoff and application.</w:t>
      </w:r>
    </w:p>
    <w:p>
      <w:pPr>
        <w:spacing w:after="0" w:line="175" w:lineRule="exact"/>
        <w:rPr>
          <w:sz w:val="20"/>
          <w:szCs w:val="20"/>
          <w:color w:val="auto"/>
        </w:rPr>
      </w:pPr>
    </w:p>
    <w:p>
      <w:pPr>
        <w:jc w:val="both"/>
        <w:ind w:firstLine="1304"/>
        <w:spacing w:after="0" w:line="249" w:lineRule="auto"/>
        <w:tabs>
          <w:tab w:leader="none" w:pos="1944"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After the exercise of remedies provided for in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(or after the Loans have automatically become immediately due and payable and the Letter of Credit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any amounts received on account of the Secured Obligations shall be applied by the Administrative Agent in the following order:</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Obligations constituting fees, indemnities, expenses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amounts (including fees, charges and disbursements of counsel to the Administrative Agent) payable to the Administrative Agent in its capacity as such;</w:t>
      </w:r>
    </w:p>
    <w:p>
      <w:pPr>
        <w:spacing w:after="0" w:line="16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payment of that portion of the Obligations constituting indemnities, expenses, and other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(other than principal, interest and fees) payable to the Lenders and the Issuing Lender (including fees, charges and disbursements of counsel to the respective Lenders and the Issuing Lender and amounts payable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ratably among them in proportion to the amounts described in this clause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payable to them;</w:t>
      </w:r>
    </w:p>
    <w:p>
      <w:pPr>
        <w:spacing w:after="0" w:line="176"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payment of that portion of the Obligations constituting accrued and unpaid interest on the Loans,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Letter of Credit Borrowings and other Obligations, and fees (including Letter of Credit Fees and Unused Commitment Fees), ratably among the Lenders and the Issuing Lender in proportion to the respective amounts described in this clause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payable to them;</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payment of that portion of the Obligations constituting unpaid principal of the Loans and Letter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Credit Borrowings, ratably among the Lenders and the Issuing Lender in proportion to the respective amounts described in this clause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held by them;</w:t>
      </w:r>
    </w:p>
    <w:p>
      <w:pPr>
        <w:spacing w:after="0" w:line="169"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to the Administrative Agent for the account of the Issuing Lender, to Cash Collateralize that portion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Letter of Credit Obligations comprised of the aggregate undrawn amount of Letters of Credit;</w:t>
      </w:r>
    </w:p>
    <w:p>
      <w:pPr>
        <w:spacing w:after="0" w:line="152"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to payment of all other Obligations, ratably among the Secured Parties in proportion to the respective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amounts described in this clause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held by them;</w:t>
      </w:r>
    </w:p>
    <w:p>
      <w:pPr>
        <w:spacing w:after="0" w:line="152"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to payment or Cash Collateralization (if agreed by the applicable Loan Parties and any a provider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any Secured Bank Product or Secured Hedge, as applicable) of that portion of Other Liabilities then outstanding, ratably among the Secured Parties providing the Secured Bank Products and Secured Hedges giving rise to such Other Liabilities in proportion to the respective amounts described in this clause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held by them;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18" w:name="page219"/>
    <w:bookmarkEnd w:id="218"/>
    <w:p>
      <w:pPr>
        <w:ind w:left="660" w:right="20" w:firstLine="648"/>
        <w:spacing w:after="0" w:line="272" w:lineRule="auto"/>
        <w:rPr>
          <w:sz w:val="20"/>
          <w:szCs w:val="20"/>
          <w:color w:val="auto"/>
        </w:rPr>
      </w:pPr>
      <w:r>
        <w:rPr>
          <w:rFonts w:ascii="Times New Roman" w:cs="Times New Roman" w:eastAsia="Times New Roman" w:hAnsi="Times New Roman"/>
          <w:sz w:val="20"/>
          <w:szCs w:val="20"/>
          <w:i w:val="1"/>
          <w:iCs w:val="1"/>
          <w:color w:val="auto"/>
        </w:rPr>
        <w:t>Last</w:t>
      </w:r>
      <w:r>
        <w:rPr>
          <w:rFonts w:ascii="Times New Roman" w:cs="Times New Roman" w:eastAsia="Times New Roman" w:hAnsi="Times New Roman"/>
          <w:sz w:val="20"/>
          <w:szCs w:val="20"/>
          <w:color w:val="auto"/>
        </w:rPr>
        <w:t>, the balance, if any, after Payment In Full of all of the Secured Obligations, to the Loan Parties or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required by Law.</w:t>
      </w:r>
    </w:p>
    <w:p>
      <w:pPr>
        <w:spacing w:after="0" w:line="1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 xml:space="preserve">Amounts used to Cash Collateralize Secured Obligations pursuant to clause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above shall be applied to satisfy drawings under such Letters of Credit as they occur or to pay such Other Liabilities as they come due, as the case may be. If any amount remains on deposit as Cash Collateral after all Letters of Credit have either been fully drawn or expired and/or after Payment In Full of the Other Liabilities, such remaining amount shall be applied to the other Secured Obligations, if any, and/or to the Loan Parties or as otherwise required by Law, in the order set forth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Amounts distributed with respect to any Secured Obligations attributable to Other Liabilities shall be equal to the lesser of</w:t>
      </w:r>
    </w:p>
    <w:p>
      <w:pPr>
        <w:spacing w:after="0" w:line="22" w:lineRule="exact"/>
        <w:rPr>
          <w:sz w:val="20"/>
          <w:szCs w:val="20"/>
          <w:color w:val="auto"/>
        </w:rPr>
      </w:pPr>
    </w:p>
    <w:p>
      <w:pPr>
        <w:jc w:val="both"/>
        <w:ind w:firstLine="8"/>
        <w:spacing w:after="0"/>
        <w:tabs>
          <w:tab w:leader="none" w:pos="271"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amount of such Other Liabilities last reported to the Administrative Agent or (b) the actual amount of such Other Liabilities as calculated by the methodology reported to the Administrative Agent for determining the amount due. The Administrative Agent shall have no obligation to calculate the amount to be distributed with respect to any such Other Liabilities, but may rely upon written notice of the amount (setting forth a reasonably detailed calculation) from the applicable Lender or its Affiliate providing such Secured Bank Products or Secured Hedge. In the absence of such notice, the Administrative Agent may assume the amount to be distributed is the amount of such obligations last reported to it.</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and to the extent the Administrative Agent has received notice or other evidence that any amount claimed as a Secured Obligation is or could reasonably be determined to be an Excluded Swap Obligation with respect to any Loan Party, amounts received from such Loan Party or its assets shall not be applied to such Excluded Swap Obligations with respect to such Loan Party, and adjustments shall be made with respect to amounts received from other Loan Parties and their assets as the Administrative Agent may determine, in consultation with or at the direction of, the Lenders to be equitable (which may include the purchase and sale of participation interests) so that, to the maximum extent practical, the benefit of all amounts received from the Loan Parties and their assets are shared in accordance with the allocation of recoveries set forth above that would apply if the applicable Swap Obligations were not Excluded Swap Obligations. Each Loan Party acknowledges and consents to the foregoing.</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b w:val="1"/>
          <w:bCs w:val="1"/>
          <w:u w:val="single" w:color="auto"/>
          <w:color w:val="auto"/>
        </w:rPr>
        <w:t>Right to Cure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7" w:lineRule="auto"/>
        <w:tabs>
          <w:tab w:leader="none" w:pos="1944" w:val="left"/>
        </w:tabs>
        <w:numPr>
          <w:ilvl w:val="1"/>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to the contrary, in the event that the Loan Parties fail to comply with the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any cash received by the Borrower in connection with an Equity Issuance constituting or in respect of Qualified Equity Interests of the Borrower on or before the date that is twenty</w:t>
      </w:r>
    </w:p>
    <w:p>
      <w:pPr>
        <w:jc w:val="both"/>
        <w:ind w:firstLine="8"/>
        <w:spacing w:after="0"/>
        <w:tabs>
          <w:tab w:leader="none" w:pos="425"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calendar days after the earlier of (i) the date on which the related Compliance Certificate was delivered to the Administrative Agent and (ii) the date on which the related Compliance Certificate was due under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xml:space="preserve"> (such date, the “</w:t>
      </w:r>
      <w:r>
        <w:rPr>
          <w:rFonts w:ascii="Times New Roman" w:cs="Times New Roman" w:eastAsia="Times New Roman" w:hAnsi="Times New Roman"/>
          <w:sz w:val="20"/>
          <w:szCs w:val="20"/>
          <w:b w:val="1"/>
          <w:bCs w:val="1"/>
          <w:color w:val="auto"/>
        </w:rPr>
        <w:t>Cure Deadline</w:t>
      </w:r>
      <w:r>
        <w:rPr>
          <w:rFonts w:ascii="Times New Roman" w:cs="Times New Roman" w:eastAsia="Times New Roman" w:hAnsi="Times New Roman"/>
          <w:sz w:val="20"/>
          <w:szCs w:val="20"/>
          <w:color w:val="auto"/>
        </w:rPr>
        <w:t xml:space="preserve">”) shall, at the option of the Borrower, be included in the calculation of, and increase on a dollar-for-dollar basis, EBITDA of the Borrower and the Restricted Subsidiaries for such fiscal quarter and each subsequent Test Period that includes such fiscal quarter, solely for the purposes of determining compliance with the applicable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not for any other purpose under this Agreement (including to determine pricing, financial ratio-based conditions, the availability or the amount of any covenant baskets, carve-outs, unrestricted cash or other items governed by a reference to EBITDA) (any such contribution so included in the calculation of EBITDA, a “</w:t>
      </w:r>
      <w:r>
        <w:rPr>
          <w:rFonts w:ascii="Times New Roman" w:cs="Times New Roman" w:eastAsia="Times New Roman" w:hAnsi="Times New Roman"/>
          <w:sz w:val="20"/>
          <w:szCs w:val="20"/>
          <w:b w:val="1"/>
          <w:bCs w:val="1"/>
          <w:color w:val="auto"/>
        </w:rPr>
        <w:t>Specified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Contribution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 no more than two (2) Specified Equity Contributions may be made in any consecutive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four fiscal quarter period and no more than five (5) Specified Equity Contributions may be made during the term of the Facilities, (b) a Specified Equity Contribution shall not be greater than the amount required to cause the Loan Parties to be in compliance with the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shall not be required to be used to repay the Loans and (c) there shall be no effect given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19" w:name="page220"/>
    <w:bookmarkEnd w:id="219"/>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reduction of Indebtedness with the proceeds of any Specified Equity Contribution for purposes of determining compliance with the applicable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If, after giving effect to the foregoing pro forma adjustment (but not, for the avoidance of doubt, giving pro forma effect to any repayment of Indebtedness in connection therewith), the Loan Parties are in compliance with the applicable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the Loan Parties shall be deemed to have satisfied the requirements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as of the relevant date of determination with the same effect as though there had been no failure to comply on such date, and the applicable breach or default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that had occurred shall be deemed cured solely for the purposes of determining compliance with the applicable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not for any other purpose under this Agreement (including to determine pricing, financial ratio-based conditions, the availability or the amount of any covenant baskets, carve-outs, unrestricted cash or other items governed by a reference to EBITDA).</w:t>
      </w:r>
    </w:p>
    <w:p>
      <w:pPr>
        <w:spacing w:after="0" w:line="191" w:lineRule="exact"/>
        <w:rPr>
          <w:sz w:val="20"/>
          <w:szCs w:val="20"/>
          <w:color w:val="auto"/>
        </w:rPr>
      </w:pPr>
    </w:p>
    <w:p>
      <w:pPr>
        <w:jc w:val="both"/>
        <w:ind w:firstLine="1304"/>
        <w:spacing w:after="0" w:line="243" w:lineRule="auto"/>
        <w:tabs>
          <w:tab w:leader="none" w:pos="1944"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to the contrary, until the expiration of the applicable Cure Deadline, the Lenders shall not be permitted to (and shall not) accelerate the Loans held by them or exercise any rights or remedies against any Loan Party or any of the Collateral on the basis of a failure to comply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Borrower has exercised its cure right set forth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(i) the Borrower shall not be permitted (and shall not) to borrow Revolving Loans or Swing Line Loans or obtain Letters of Credit and (ii) the Loan Parties and their Subsidiaries shall not be permitted (and shall not) take any action hereunder pursuant to which the ability of such Loan Party or Subsidiary to take such action is subject to the absence of a Default or Event of Default, as applicable.</w:t>
      </w:r>
    </w:p>
    <w:p>
      <w:pPr>
        <w:spacing w:after="0" w:line="185" w:lineRule="exact"/>
        <w:rPr>
          <w:rFonts w:ascii="Times New Roman" w:cs="Times New Roman" w:eastAsia="Times New Roman" w:hAnsi="Times New Roman"/>
          <w:sz w:val="20"/>
          <w:szCs w:val="20"/>
          <w:color w:val="auto"/>
        </w:rPr>
      </w:pPr>
    </w:p>
    <w:p>
      <w:pPr>
        <w:ind w:left="3640" w:hanging="338"/>
        <w:spacing w:after="0"/>
        <w:tabs>
          <w:tab w:leader="none" w:pos="3640" w:val="left"/>
        </w:tabs>
        <w:numPr>
          <w:ilvl w:val="1"/>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ADMINISTRATIVE AGENT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u w:val="single" w:color="auto"/>
          <w:color w:val="auto"/>
        </w:rPr>
        <w:t>Appointment and Authority</w:t>
      </w:r>
      <w:r>
        <w:rPr>
          <w:rFonts w:ascii="Times New Roman" w:cs="Times New Roman" w:eastAsia="Times New Roman" w:hAnsi="Times New Roman"/>
          <w:sz w:val="20"/>
          <w:szCs w:val="20"/>
          <w:color w:val="auto"/>
        </w:rPr>
        <w:t xml:space="preserve">. Each of the Lenders and the Issuing Lender (on behalf of itself and each of its Affiliates) hereby irrevocably appoints CoBank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are solely for the benefit of the Administrative Agent, the Lenders, the Affiliates of the Lenders who are Secured Parties and the Issuing Lender, and none of the Borrower, any other Loan Party or any Subsidiary of any Loan Party shall have rights as a third party beneficiary of any of such provisions. It is understood and agreed that the use of the term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u w:val="single" w:color="auto"/>
          <w:color w:val="auto"/>
        </w:rPr>
        <w:t>Rights as a Lender</w:t>
      </w:r>
      <w:r>
        <w:rPr>
          <w:rFonts w:ascii="Times New Roman" w:cs="Times New Roman" w:eastAsia="Times New Roman" w:hAnsi="Times New Roman"/>
          <w:sz w:val="20"/>
          <w:szCs w:val="20"/>
          <w:color w:val="auto"/>
        </w:rPr>
        <w:t>. The Person serving as the Administrative Agent hereunder shall have the same rights and powers in its capacity as a Lender as any other Lender and may exercise the same as though it were not the Administrative Agent and the term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of any Loan Party or other Affiliate thereof as if such Person were not the Administrative Agent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0" w:name="page221"/>
    <w:bookmarkEnd w:id="220"/>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b w:val="1"/>
          <w:bCs w:val="1"/>
          <w:u w:val="single" w:color="auto"/>
          <w:color w:val="auto"/>
        </w:rPr>
        <w:t>No Fiduciary Duty</w:t>
      </w:r>
      <w:r>
        <w:rPr>
          <w:rFonts w:ascii="Times New Roman" w:cs="Times New Roman" w:eastAsia="Times New Roman" w:hAnsi="Times New Roman"/>
          <w:sz w:val="20"/>
          <w:szCs w:val="20"/>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75" w:lineRule="exact"/>
        <w:rPr>
          <w:sz w:val="20"/>
          <w:szCs w:val="20"/>
          <w:color w:val="auto"/>
        </w:rPr>
      </w:pPr>
    </w:p>
    <w:p>
      <w:pPr>
        <w:ind w:firstLine="1304"/>
        <w:spacing w:after="0" w:line="269" w:lineRule="auto"/>
        <w:tabs>
          <w:tab w:leader="none" w:pos="19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or Event of Default has occurred and is continuing;</w:t>
      </w:r>
    </w:p>
    <w:p>
      <w:pPr>
        <w:spacing w:after="0" w:line="15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44" w:val="left"/>
        </w:tabs>
        <w:numPr>
          <w:ilvl w:val="0"/>
          <w:numId w:val="2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73" w:lineRule="exact"/>
        <w:rPr>
          <w:rFonts w:ascii="Times New Roman" w:cs="Times New Roman" w:eastAsia="Times New Roman" w:hAnsi="Times New Roman"/>
          <w:sz w:val="19"/>
          <w:szCs w:val="19"/>
          <w:color w:val="auto"/>
        </w:rPr>
      </w:pPr>
    </w:p>
    <w:p>
      <w:pPr>
        <w:jc w:val="both"/>
        <w:ind w:firstLine="1304"/>
        <w:spacing w:after="0" w:line="249" w:lineRule="auto"/>
        <w:tabs>
          <w:tab w:leader="none" w:pos="1944"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b w:val="1"/>
          <w:bCs w:val="1"/>
          <w:u w:val="single" w:color="auto"/>
          <w:color w:val="auto"/>
        </w:rPr>
        <w:t>Exculpation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4" w:lineRule="auto"/>
        <w:tabs>
          <w:tab w:leader="none" w:pos="1944"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 The Administrative Agent shall be deemed not to have knowledge of any Default or Event of Default unless and until notice describing such Default or Event of Default is given to the Administrative Agent by the Borrower, a Lender or the Issuing Lender.</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any duty to ascertain or inquire into</w:t>
      </w:r>
    </w:p>
    <w:p>
      <w:pPr>
        <w:spacing w:after="0" w:line="21" w:lineRule="exact"/>
        <w:rPr>
          <w:rFonts w:ascii="Times New Roman" w:cs="Times New Roman" w:eastAsia="Times New Roman" w:hAnsi="Times New Roman"/>
          <w:sz w:val="20"/>
          <w:szCs w:val="20"/>
          <w:color w:val="auto"/>
        </w:rPr>
      </w:pPr>
    </w:p>
    <w:p>
      <w:pPr>
        <w:jc w:val="both"/>
        <w:ind w:firstLine="8"/>
        <w:spacing w:after="0"/>
        <w:tabs>
          <w:tab w:leader="none" w:pos="238"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b w:val="1"/>
          <w:bCs w:val="1"/>
          <w:u w:val="single" w:color="auto"/>
          <w:color w:val="auto"/>
        </w:rPr>
        <w:t>Reliance by the Administrative Agent</w:t>
      </w:r>
      <w:r>
        <w:rPr>
          <w:rFonts w:ascii="Times New Roman" w:cs="Times New Roman" w:eastAsia="Times New Roman" w:hAnsi="Times New Roman"/>
          <w:sz w:val="20"/>
          <w:szCs w:val="20"/>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21" w:name="page222"/>
    <w:bookmarkEnd w:id="221"/>
    <w:p>
      <w:pPr>
        <w:jc w:val="both"/>
        <w:spacing w:after="0" w:line="244" w:lineRule="auto"/>
        <w:rPr>
          <w:sz w:val="20"/>
          <w:szCs w:val="20"/>
          <w:color w:val="auto"/>
        </w:rPr>
      </w:pPr>
      <w:r>
        <w:rPr>
          <w:rFonts w:ascii="Times New Roman" w:cs="Times New Roman" w:eastAsia="Times New Roman" w:hAnsi="Times New Roman"/>
          <w:sz w:val="20"/>
          <w:szCs w:val="20"/>
          <w:color w:val="auto"/>
        </w:rPr>
        <w:t>hereunder to the making of a Loan, or the issuance, extension, amendment, renewal, increase or reinstatement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b w:val="1"/>
          <w:bCs w:val="1"/>
          <w:u w:val="single" w:color="auto"/>
          <w:color w:val="auto"/>
        </w:rPr>
        <w:t>Delegation of Duties</w:t>
      </w:r>
      <w:r>
        <w:rPr>
          <w:rFonts w:ascii="Times New Roman" w:cs="Times New Roman" w:eastAsia="Times New Roman" w:hAnsi="Times New Roman"/>
          <w:sz w:val="20"/>
          <w:szCs w:val="20"/>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b w:val="1"/>
          <w:bCs w:val="1"/>
          <w:u w:val="single" w:color="auto"/>
          <w:color w:val="auto"/>
        </w:rPr>
        <w:t>Filing Proofs of Claim</w:t>
      </w:r>
      <w:r>
        <w:rPr>
          <w:rFonts w:ascii="Times New Roman" w:cs="Times New Roman" w:eastAsia="Times New Roman" w:hAnsi="Times New Roman"/>
          <w:sz w:val="20"/>
          <w:szCs w:val="20"/>
          <w:color w:val="auto"/>
        </w:rPr>
        <w:t>. In case of the pendency of any proceedings under any Debtor Relief Law or any other judicial proceeding relating to any Loan Party, the Administrative Agent (irrespective of whether the principal of any Loan shall then be due and payable as herein expressed or by declaration or otherwise and irrespective of whether the Administrative Agent shall have made any demand therefor) shall be entitled and empowered (but not obligated) by intervention in such proceeding or otherwise:</w:t>
      </w:r>
    </w:p>
    <w:p>
      <w:pPr>
        <w:spacing w:after="0" w:line="184" w:lineRule="exact"/>
        <w:rPr>
          <w:sz w:val="20"/>
          <w:szCs w:val="20"/>
          <w:color w:val="auto"/>
        </w:rPr>
      </w:pPr>
    </w:p>
    <w:p>
      <w:pPr>
        <w:jc w:val="both"/>
        <w:ind w:firstLine="1304"/>
        <w:spacing w:after="0" w:line="245" w:lineRule="auto"/>
        <w:tabs>
          <w:tab w:leader="none" w:pos="194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owing and unpaid principal and interest in respect to the Secured Obligations and to file such other documents as may be necessary or advisable in order to have the claims of the Lenders and the Administrative Agent (including any claim for the reasonable compensation, expenses, disbursements and advances of the Lenders, the Issuing Lender and the Administrative Agent and their respective agents and counsel and all other amounts due the Lenders, the Issuing Lender and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11.3</w:t>
      </w:r>
      <w:r>
        <w:rPr>
          <w:rFonts w:ascii="Times New Roman" w:cs="Times New Roman" w:eastAsia="Times New Roman" w:hAnsi="Times New Roman"/>
          <w:sz w:val="20"/>
          <w:szCs w:val="20"/>
          <w:color w:val="auto"/>
        </w:rPr>
        <w:t>) allowed in such proceeding;</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collect and receive any monies or other property payable or deliverable on any such claims and to</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distribute the same; and</w:t>
      </w:r>
    </w:p>
    <w:p>
      <w:pPr>
        <w:spacing w:after="0" w:line="193" w:lineRule="exact"/>
        <w:rPr>
          <w:rFonts w:ascii="Times New Roman" w:cs="Times New Roman" w:eastAsia="Times New Roman" w:hAnsi="Times New Roman"/>
          <w:sz w:val="19"/>
          <w:szCs w:val="19"/>
          <w:color w:val="auto"/>
        </w:rPr>
      </w:pPr>
    </w:p>
    <w:p>
      <w:pPr>
        <w:jc w:val="both"/>
        <w:ind w:firstLine="1304"/>
        <w:spacing w:after="0" w:line="245" w:lineRule="auto"/>
        <w:tabs>
          <w:tab w:leader="none" w:pos="1944" w:val="left"/>
        </w:tabs>
        <w:numPr>
          <w:ilvl w:val="0"/>
          <w:numId w:val="2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custodian, receiver, assignee, trustee, liquidator, sequestrator or other similar official in any such judicial proceeding is hereby authorized by each Lender and the Issuing Lender to make such payments to the Administrative Agent and, in the event that the Administrative Agent shall consent to the making of such payments directly to the Lenders and the Issuing Lender,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11.3</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b w:val="1"/>
          <w:bCs w:val="1"/>
          <w:u w:val="single" w:color="auto"/>
          <w:color w:val="auto"/>
        </w:rPr>
        <w:t>Resignation of the Administrative Agent</w:t>
      </w:r>
      <w:r>
        <w:rPr>
          <w:rFonts w:ascii="Times New Roman" w:cs="Times New Roman" w:eastAsia="Times New Roman" w:hAnsi="Times New Roman"/>
          <w:sz w:val="20"/>
          <w:szCs w:val="20"/>
          <w:color w:val="auto"/>
        </w:rPr>
        <w:t>. The Administrative Agent may at any time give notice of its resignation to the Lenders, the Issuing Lender and the Borrower. Upon receipt of any such notice of resignation, the Required Lenders shall have the right, in consultation with the Borrower, to appoint a successor Administrative Agent. If no such successor shall have been so appointed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2" w:name="page223"/>
    <w:bookmarkEnd w:id="222"/>
    <w:p>
      <w:pPr>
        <w:jc w:val="both"/>
        <w:spacing w:after="0" w:line="254" w:lineRule="auto"/>
        <w:rPr>
          <w:sz w:val="20"/>
          <w:szCs w:val="20"/>
          <w:color w:val="auto"/>
        </w:rPr>
      </w:pPr>
      <w:r>
        <w:rPr>
          <w:rFonts w:ascii="Times New Roman" w:cs="Times New Roman" w:eastAsia="Times New Roman" w:hAnsi="Times New Roman"/>
          <w:sz w:val="19"/>
          <w:szCs w:val="19"/>
          <w:color w:val="auto"/>
        </w:rPr>
        <w:t xml:space="preserve">Required Lenders and shall have accepted such appointment within thirty (30) days after the retiring Administrative Agent gives notice of its resignation (or such earlier date as the Required Lenders may approve), then the retiring Administrative Agent may (but shall not be obligated to) on behalf of the Lenders and the Issuing Lender, appoint a successor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shall notify the Borrower and the Lenders that no Person has accepted such appointment, then the Administrative Agent’s resignation shall nonetheless become effective in accordance with such notice and (i) the retiring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Administrative Agent shall continue to hold such collateral security until such time as a successor Administrative Agent is appointed) and (ii) except for any indemnity payments owed to the retiring Administrative Agent, all payments, communications and determinations provided to be made by, to or through the Administrative Agent shall instead be made by or to each Lender and the Issuing Lender directly, until such time as the Required Lenders appoint a successor Administrative Agent as provided for above in this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Upon the acceptance of a successor’s appointment as Administrative Agent hereunder, such successor shall succeed to and become vested with all of the rights, powers, privileges and duties of the retiring (or retired) Administrative Agent (other than any rights to indemnity payments owed to the retiring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11.3</w:t>
      </w:r>
      <w:r>
        <w:rPr>
          <w:rFonts w:ascii="Times New Roman" w:cs="Times New Roman" w:eastAsia="Times New Roman" w:hAnsi="Times New Roman"/>
          <w:sz w:val="19"/>
          <w:szCs w:val="19"/>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Any resignation by CoBank as Administrative Agent pursuant to this Section shall also automatically constitute its resignation as the Issuing Lender and the Swing Line Lender, with replacement of the Administrative Agent as Issuing Lender and Swing Line Lender conducted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below.</w:t>
      </w:r>
    </w:p>
    <w:p>
      <w:pPr>
        <w:spacing w:after="0" w:line="17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b w:val="1"/>
          <w:bCs w:val="1"/>
          <w:u w:val="single" w:color="auto"/>
          <w:color w:val="auto"/>
        </w:rPr>
        <w:t>Resignation of Swing Line Lender or Issuing Lender</w:t>
      </w:r>
      <w:r>
        <w:rPr>
          <w:rFonts w:ascii="Times New Roman" w:cs="Times New Roman" w:eastAsia="Times New Roman" w:hAnsi="Times New Roman"/>
          <w:sz w:val="20"/>
          <w:szCs w:val="20"/>
          <w:color w:val="auto"/>
        </w:rPr>
        <w:t xml:space="preserve">. The Swing Line Lender or the Issuing Lender may at any time give notice of its resignation to the Lenders, the Administrative Agent and the Borrower. Upon receipt of any such notice of resignation, the Required Lenders shall have the right, with approval from the Borrower (so long as no Event of Default has occurred and is continuing) to appoint a successor Swing Line Lender or Issuing Lender, such approval not to be unreasonably withheld or delayed. If no such successor shall have been so appointed by the Required Lenders and shall have accepted such appointment within thirty (30) days after the retiring Swing Line Lender or Issuing Lender (as applicable) gives notice of its resignation, then the Administrative Agent may on behalf of the Lenders, appoint a successor Swing Line Lender or Issuing Lender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shall notify the Borrower and the Lenders that no qualifying Person has accepted such appointment, then such resignation shall nonetheless become effective in accordance with such notice and the retiring Swing Line Lender or Issuing Lender (as applicable) shall be discharged from its duties and obligations hereunder and under the other Loan Documents (except that in the case of any collateral security held by the retiring Swing Line Lender or Issuing Lender (as applicable) on behalf of the Lenders or the Swing Line Lender or Issuing Lender under any of the Loan Documents, the retiring Swing Line Lender or Issuing Lender (as applicable) shall continue to hold such collateral security until such time as a successor Swing Line Lender or Issuing Lender (as applicable) is appointed). Upon the acceptance of a successor’s appointment as a Swing Line Lender or Issuing Lender (as applicable) hereunder, such successor shall succeed to and become vested with all of the rights, powers, privileges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3" w:name="page224"/>
    <w:bookmarkEnd w:id="223"/>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and duties of the retiring (or retired) Swing Line Lender or Issuing Lender (as applicable), and the retiring Swing Line Lender or Issuing Lender (as applicable) shall be discharged from all of its duties and obligations hereunder or under the other Loan Documents (if not already discharged therefrom as provided above in this Section). The fees payable by the Borrower to a successor Swing Line Lender or Issuing Lender (as applicable) shall be the same as those payable to its predecessor unless otherwise agreed between the Borrower and such successor. After the retiring Swing Line Lender’s or Issuing Lender’s (as applicable) resignation hereunder and under the other Loan Documents as a Swing Line Lender or Issuing Lender, as applicable, the provisions of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if the Administrative Agent is the resigning Issuing Lender and Swing Line Lender) shall continue in effect for the benefit of such retiring Swing Line Lender or Issuing Lender (as applicable), its sub-agents and their respective Related Parties in respect of any actions taken or omitted to be taken by any of them while the retiring Swing Line Lender or Issuing Lender (as applicable) was acting as the Swing Line Lender or Issuing Lender (as applicable).</w:t>
      </w:r>
    </w:p>
    <w:p>
      <w:pPr>
        <w:spacing w:after="0" w:line="18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addition to the foregoing requirements, upon the acceptance of a successor’s appointment as Issuing Lender hereunder, the successor Issuing Lender shall issue letters of credit in substitution for the Letters of Credit issued by the retiring Issuing Lender, if any, outstanding at the time of such succession or make other arrangements satisfactory to the retiring Issuing Lender to effectively assume the obligations of the retiring Issuing Lender with respect to such Letters of Credit.</w:t>
      </w:r>
    </w:p>
    <w:p>
      <w:pPr>
        <w:spacing w:after="0" w:line="18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b w:val="1"/>
          <w:bCs w:val="1"/>
          <w:u w:val="single" w:color="auto"/>
          <w:color w:val="auto"/>
        </w:rPr>
        <w:t>Non-Reliance on the Administrative Agent and Other Lenders</w:t>
      </w:r>
      <w:r>
        <w:rPr>
          <w:rFonts w:ascii="Times New Roman" w:cs="Times New Roman" w:eastAsia="Times New Roman" w:hAnsi="Times New Roman"/>
          <w:sz w:val="20"/>
          <w:szCs w:val="20"/>
          <w:color w:val="auto"/>
        </w:rPr>
        <w:t>. Each Lender and the Issuing Lender expressly acknowledges that neither the Administrative Agent nor the Arranger has made any representation or warranty to it, and that no act by the Administrative Agent or the Arranger hereafter taken, including any consent to, and acceptance of any assignment or review of the affairs of any Loan Party of any Affiliate thereof, shall be deemed to constitute any representation or warranty by the Administrative Agent or the Arranger to any Lender or the Issuing Lender as to any matter, including whether the Administrative Agent or the Arranger have disclosed material information in their (or their Related Parties’) possession. Each Lender and the Issuing Lender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Issuing Lender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the Issuing Lender represents and warrants that (i) the Loan Documents set forth the terms of a commercial lending facility and (ii) it is engaged in making, acquiring or holding commercial loans in the ordinary course and is entering into this Agreement as a Lender or the Issuing Lender for the purpose of making, acquiring or holding commercial loans and providing other facilities set forth herein as may be applicable to such Lender or the Issuing Lender, and not for the purpose of purchasing, acquiring or holding any other type of financial instrument, and each Lender and the Issuing Lender agrees not to assert a claim in contravention of the foregoing. Each Lender and the Issuing Lender represents and warrants that it is sophisticated with respect to decisions to make, acquire and/or hold commercial loans and to provide other facilities set forth herein, as may be applicable to such Lender or the Issuing Lender, and either it, or the Person exercising discretion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4" w:name="page225"/>
    <w:bookmarkEnd w:id="224"/>
    <w:p>
      <w:pPr>
        <w:jc w:val="both"/>
        <w:spacing w:after="0" w:line="268" w:lineRule="auto"/>
        <w:rPr>
          <w:sz w:val="20"/>
          <w:szCs w:val="20"/>
          <w:color w:val="auto"/>
        </w:rPr>
      </w:pPr>
      <w:r>
        <w:rPr>
          <w:rFonts w:ascii="Times New Roman" w:cs="Times New Roman" w:eastAsia="Times New Roman" w:hAnsi="Times New Roman"/>
          <w:sz w:val="20"/>
          <w:szCs w:val="20"/>
          <w:color w:val="auto"/>
        </w:rPr>
        <w:t>making its decision to make, acquire and/or hold such commercial loans or to provide such other facilities, is experienced in making, acquiring or holding such commercial loans or providing such other facilities.</w:t>
      </w:r>
    </w:p>
    <w:p>
      <w:pPr>
        <w:spacing w:after="0" w:line="15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b w:val="1"/>
          <w:bCs w:val="1"/>
          <w:u w:val="single" w:color="auto"/>
          <w:color w:val="auto"/>
        </w:rPr>
        <w:t>Enforcement</w:t>
      </w:r>
      <w:r>
        <w:rPr>
          <w:rFonts w:ascii="Times New Roman" w:cs="Times New Roman" w:eastAsia="Times New Roman" w:hAnsi="Times New Roman"/>
          <w:sz w:val="20"/>
          <w:szCs w:val="20"/>
          <w:color w:val="auto"/>
        </w:rPr>
        <w:t xml:space="preserve">. By its acceptance of the benefits of this Agreement and the other Loan Documents, each Secured Party agrees that (a) the Loan Documents may be enforced only by the Administrative Agent,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(b) no Secured Party shall have any right individually to enforce or seek to enforce this Agreement or the other Loan Documents or to realize upon any Collateral or other security given to secure the payment and performance of the Obligations and (c) no Secured Party has any right to notice of any action or to consent to, direct or object to any action hereunder or under any other Loan Document or otherwise in respect of the Collateral (including the release or impairment of any Collateral) other than in its capacity as a Lender or the Issuing Lender and, in such case, only to the extent expressly provided in the Loan Documents.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b w:val="1"/>
          <w:bCs w:val="1"/>
          <w:u w:val="single" w:color="auto"/>
          <w:color w:val="auto"/>
        </w:rPr>
        <w:t>No Other Duties, Etc.</w:t>
      </w:r>
      <w:r>
        <w:rPr>
          <w:rFonts w:ascii="Times New Roman" w:cs="Times New Roman" w:eastAsia="Times New Roman" w:hAnsi="Times New Roman"/>
          <w:sz w:val="20"/>
          <w:szCs w:val="20"/>
          <w:color w:val="auto"/>
        </w:rPr>
        <w:t xml:space="preserve"> Anything herein to the contrary notwithstanding, the Arranger shall not have any powers, duties or responsibilities under this Agreement or any of the other Loan Documents, except in its capacity, as applicable, as the Administrative Agent, a Lender, the Swing Line Lender or the Issuing Lender hereunder.</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b w:val="1"/>
          <w:bCs w:val="1"/>
          <w:u w:val="single" w:color="auto"/>
          <w:color w:val="auto"/>
        </w:rPr>
        <w:t>Authorization to Release Collateral and Loan Parties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The Secured Parties irrevocably authorize the Administrative Agent, at its option and in 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discretion,</w:t>
      </w:r>
    </w:p>
    <w:p>
      <w:pPr>
        <w:spacing w:after="0" w:line="194" w:lineRule="exact"/>
        <w:rPr>
          <w:sz w:val="20"/>
          <w:szCs w:val="20"/>
          <w:color w:val="auto"/>
        </w:rPr>
      </w:pPr>
    </w:p>
    <w:p>
      <w:pPr>
        <w:jc w:val="both"/>
        <w:ind w:firstLine="1952"/>
        <w:spacing w:after="0" w:line="246" w:lineRule="auto"/>
        <w:tabs>
          <w:tab w:leader="none" w:pos="259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Administrative Agent under any Loan Document (x) upon Payment In Full of all Secured Obligations, (y) that is Disposed of or to be Disposed of as part of or in connection with any sale or other disposition permitted under the Loan Documents to a Person that is not, and is not required to become, a Loan Party, or (z) subject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if approved, authorized or ratified in writing by the Required Lenders;</w:t>
      </w:r>
    </w:p>
    <w:p>
      <w:pPr>
        <w:spacing w:after="0" w:line="18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7.1(h)</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Loan Documents if such Person ceases to be a Subsidiary or is designated an Unrestricted Subsidiary as a result of a transaction permitted under the Loan Documents.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Loan Documents pursuant to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1304"/>
        <w:spacing w:after="0" w:line="246" w:lineRule="auto"/>
        <w:tabs>
          <w:tab w:leader="none" w:pos="1944"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1"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b w:val="1"/>
          <w:bCs w:val="1"/>
          <w:u w:val="single" w:color="auto"/>
          <w:color w:val="auto"/>
        </w:rPr>
        <w:t>Compliance with Flood Laws</w:t>
      </w:r>
      <w:r>
        <w:rPr>
          <w:rFonts w:ascii="Times New Roman" w:cs="Times New Roman" w:eastAsia="Times New Roman" w:hAnsi="Times New Roman"/>
          <w:sz w:val="20"/>
          <w:szCs w:val="20"/>
          <w:color w:val="auto"/>
        </w:rPr>
        <w:t>. CoBank has adopted internal policies and procedures that address requirements placed on federally regulated lenders under the Flood Laws. CoBank, as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5" w:name="page226"/>
    <w:bookmarkEnd w:id="225"/>
    <w:p>
      <w:pPr>
        <w:jc w:val="both"/>
        <w:spacing w:after="0" w:line="246" w:lineRule="auto"/>
        <w:rPr>
          <w:sz w:val="20"/>
          <w:szCs w:val="20"/>
          <w:color w:val="auto"/>
        </w:rPr>
      </w:pPr>
      <w:r>
        <w:rPr>
          <w:rFonts w:ascii="Times New Roman" w:cs="Times New Roman" w:eastAsia="Times New Roman" w:hAnsi="Times New Roman"/>
          <w:sz w:val="20"/>
          <w:szCs w:val="20"/>
          <w:color w:val="auto"/>
        </w:rPr>
        <w:t>administrative agent or collateral agent on a syndicated facility, will post on the applicable electronic platform (or otherwise distribute to each lender in the syndicate) documents that it receives in connection with the Flood Laws. However, CoBank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b w:val="1"/>
          <w:bCs w:val="1"/>
          <w:u w:val="single" w:color="auto"/>
          <w:color w:val="auto"/>
        </w:rPr>
        <w:t>No Reliance on the Administrative Agent’s Customer Identification Program</w:t>
      </w:r>
      <w:r>
        <w:rPr>
          <w:rFonts w:ascii="Times New Roman" w:cs="Times New Roman" w:eastAsia="Times New Roman" w:hAnsi="Times New Roman"/>
          <w:sz w:val="20"/>
          <w:szCs w:val="20"/>
          <w:color w:val="auto"/>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20"/>
          <w:szCs w:val="20"/>
          <w:b w:val="1"/>
          <w:bCs w:val="1"/>
          <w:color w:val="auto"/>
        </w:rPr>
        <w:t>CIP Regulations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010101"/>
        </w:rPr>
        <w:t xml:space="preserve">or any other Anti-Terrorism Law, Anti-Corruption Law or Sanctions, </w:t>
      </w:r>
      <w:r>
        <w:rPr>
          <w:rFonts w:ascii="Times New Roman" w:cs="Times New Roman" w:eastAsia="Times New Roman" w:hAnsi="Times New Roman"/>
          <w:sz w:val="20"/>
          <w:szCs w:val="20"/>
          <w:color w:val="000000"/>
        </w:rPr>
        <w:t>including any programs involving any of the following items relating to</w:t>
      </w:r>
      <w:r>
        <w:rPr>
          <w:rFonts w:ascii="Times New Roman" w:cs="Times New Roman" w:eastAsia="Times New Roman" w:hAnsi="Times New Roman"/>
          <w:sz w:val="20"/>
          <w:szCs w:val="20"/>
          <w:color w:val="010101"/>
        </w:rPr>
        <w:t xml:space="preserve"> </w:t>
      </w:r>
      <w:r>
        <w:rPr>
          <w:rFonts w:ascii="Times New Roman" w:cs="Times New Roman" w:eastAsia="Times New Roman" w:hAnsi="Times New Roman"/>
          <w:sz w:val="20"/>
          <w:szCs w:val="20"/>
          <w:color w:val="000000"/>
        </w:rPr>
        <w:t>or in connection with any of the Loan Parties, their Affiliates or their agents, the Loan Documents or the transactions hereunder or contemplated hereby: (a) any identity verification procedures, (b) any recordkeeping, (c) comparisons with government lists, (d) customer notices or (e) other procedures required under the CIP Regulations or such other Laws.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b w:val="1"/>
          <w:bCs w:val="1"/>
          <w:u w:val="single" w:color="auto"/>
          <w:color w:val="auto"/>
        </w:rPr>
        <w:t>Affiliates as Secured Parties</w:t>
      </w:r>
      <w:r>
        <w:rPr>
          <w:rFonts w:ascii="Times New Roman" w:cs="Times New Roman" w:eastAsia="Times New Roman" w:hAnsi="Times New Roman"/>
          <w:sz w:val="20"/>
          <w:szCs w:val="20"/>
          <w:color w:val="auto"/>
        </w:rPr>
        <w:t xml:space="preserve">. To the extent any Affiliate of a Lender is a party to a Secured Hedge or a Secured Bank Product and thereby becomes a beneficiary of the Liens pursuant to any Collateral Document for so long as such Lender remains a Lender, such Affiliate of a Lender shall be a Secured Party and shall be deemed to appoint the Administrative Agent its nominee and agent to act for and on behalf of such Affiliate in connection with such Collateral Document and to be bound by the terms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the other provisions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19"/>
          <w:szCs w:val="19"/>
          <w:b w:val="1"/>
          <w:bCs w:val="1"/>
          <w:u w:val="single" w:color="auto"/>
          <w:color w:val="auto"/>
        </w:rPr>
        <w:t>Certain ERISA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6" w:lineRule="auto"/>
        <w:tabs>
          <w:tab w:leader="none" w:pos="1944"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 at least one of the following is and will be true:</w:t>
      </w:r>
    </w:p>
    <w:p>
      <w:pPr>
        <w:spacing w:after="0" w:line="184" w:lineRule="exact"/>
        <w:rPr>
          <w:rFonts w:ascii="Times New Roman" w:cs="Times New Roman" w:eastAsia="Times New Roman" w:hAnsi="Times New Roman"/>
          <w:sz w:val="20"/>
          <w:szCs w:val="20"/>
          <w:color w:val="auto"/>
        </w:rPr>
      </w:pPr>
    </w:p>
    <w:p>
      <w:pPr>
        <w:jc w:val="both"/>
        <w:ind w:right="20" w:firstLine="1952"/>
        <w:spacing w:after="0" w:line="254" w:lineRule="auto"/>
        <w:tabs>
          <w:tab w:leader="none" w:pos="2592"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6" w:name="page227"/>
    <w:bookmarkEnd w:id="226"/>
    <w:p>
      <w:pPr>
        <w:jc w:val="both"/>
        <w:spacing w:after="0" w:line="246" w:lineRule="auto"/>
        <w:rPr>
          <w:sz w:val="20"/>
          <w:szCs w:val="20"/>
          <w:color w:val="auto"/>
        </w:rPr>
      </w:pPr>
      <w:r>
        <w:rPr>
          <w:rFonts w:ascii="Times New Roman" w:cs="Times New Roman" w:eastAsia="Times New Roman" w:hAnsi="Times New Roman"/>
          <w:sz w:val="20"/>
          <w:szCs w:val="20"/>
          <w:color w:val="auto"/>
        </w:rPr>
        <w:t>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4" w:lineRule="exact"/>
        <w:rPr>
          <w:sz w:val="20"/>
          <w:szCs w:val="20"/>
          <w:color w:val="auto"/>
        </w:rPr>
      </w:pPr>
    </w:p>
    <w:p>
      <w:pPr>
        <w:ind w:firstLine="1952"/>
        <w:spacing w:after="0" w:line="269" w:lineRule="auto"/>
        <w:tabs>
          <w:tab w:leader="none" w:pos="2592" w:val="left"/>
        </w:tabs>
        <w:numPr>
          <w:ilvl w:val="1"/>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Section 10.17(a)(i)</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as provided in </w:t>
      </w:r>
      <w:r>
        <w:rPr>
          <w:rFonts w:ascii="Times New Roman" w:cs="Times New Roman" w:eastAsia="Times New Roman" w:hAnsi="Times New Roman"/>
          <w:sz w:val="20"/>
          <w:szCs w:val="20"/>
          <w:u w:val="single" w:color="auto"/>
          <w:color w:val="auto"/>
        </w:rPr>
        <w:t>Section 10.17(a)(iv)</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 the Administrative Agent, the Arranger, and their respective Affiliates, are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10.18 </w:t>
      </w:r>
      <w:r>
        <w:rPr>
          <w:rFonts w:ascii="Times New Roman" w:cs="Times New Roman" w:eastAsia="Times New Roman" w:hAnsi="Times New Roman"/>
          <w:sz w:val="20"/>
          <w:szCs w:val="20"/>
          <w:b w:val="1"/>
          <w:bCs w:val="1"/>
          <w:u w:val="single" w:color="auto"/>
          <w:color w:val="auto"/>
        </w:rPr>
        <w:t>Rate Disclaimer</w:t>
      </w:r>
      <w:r>
        <w:rPr>
          <w:rFonts w:ascii="Times New Roman" w:cs="Times New Roman" w:eastAsia="Times New Roman" w:hAnsi="Times New Roman"/>
          <w:sz w:val="20"/>
          <w:szCs w:val="20"/>
          <w:color w:val="auto"/>
        </w:rPr>
        <w:t>. The Administrative Agent does not warrant or accept responsibility for, and each of the parties to this Agreement hereby acknowledge and agree (for the benefit of the Administrative Agent) that the Administrative Agent shall not have any liability with respect to (a) the continuation of, administration of, submission of, calculation of or any other matter related to the Alternate Base Rate, any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Rate, any initial Benchmark or any other Benchmark or Benchmark Replacement prior to its discontinuance or unavailability, or (b) the effect, implementation or composition of any Benchmark Replacement Conforming Changes. The Administrative Agent and its affiliates or other related entities may engage in transactions that affect the calculation of the Alternate Base Rate, or any Benchmark,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any initial Benchmark or any other Benchmark or Benchmark Replacement,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XI.  MISCELLANEOUS</w:t>
      </w:r>
    </w:p>
    <w:p>
      <w:pPr>
        <w:spacing w:after="0" w:line="21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b w:val="1"/>
          <w:bCs w:val="1"/>
          <w:u w:val="single" w:color="auto"/>
          <w:color w:val="auto"/>
        </w:rPr>
        <w:t>Modifications, Amendments or Waivers</w:t>
      </w:r>
      <w:r>
        <w:rPr>
          <w:rFonts w:ascii="Times New Roman" w:cs="Times New Roman" w:eastAsia="Times New Roman" w:hAnsi="Times New Roman"/>
          <w:sz w:val="20"/>
          <w:szCs w:val="20"/>
          <w:color w:val="auto"/>
        </w:rPr>
        <w:t>. With the written consent of the Required Lenders, the Administrative Agent, acting on behalf of all the Lenders, and the Borrower, on behalf of itself and the other Loan Parties, may from time to time enter into written agreements amending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7" w:name="page228"/>
    <w:bookmarkEnd w:id="227"/>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no such agreement, waiver or consent may be made that will:</w:t>
      </w:r>
    </w:p>
    <w:p>
      <w:pPr>
        <w:spacing w:after="0" w:line="179" w:lineRule="exact"/>
        <w:rPr>
          <w:sz w:val="20"/>
          <w:szCs w:val="20"/>
          <w:color w:val="auto"/>
        </w:rPr>
      </w:pPr>
    </w:p>
    <w:p>
      <w:pPr>
        <w:jc w:val="both"/>
        <w:ind w:firstLine="1304"/>
        <w:spacing w:after="0" w:line="246" w:lineRule="auto"/>
        <w:tabs>
          <w:tab w:leader="none" w:pos="19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obligation to make Loans terminated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without the written consent of such Lender whose Commitment is being extended or increased (it being understood and agreed that a waiver of any condition precedent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of any Default, Event of Default, mandatory prepayment or a mandatory reduction in Commitments is not considered an extension or increase in Commitments of any Lender);</w:t>
      </w:r>
    </w:p>
    <w:p>
      <w:pPr>
        <w:spacing w:after="0" w:line="18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(including mandatory prepayment of Overadvances but excluding other mandatory prepayments of principal, interest, fees or other amounts due to the Lenders (or any of them) or any scheduled or mandatory reduction of the Commitments hereunder or under any other Loan Document) without the written consent of each Lender entitled to receive such payment or whose Commitments are to be reduced, it being understood that the waiver of any mandatory prepayment of Loans (or any definition relating thereto), other than a mandatory prepayment of Overadvances, shall not constitute a postponement of any date scheduled for the payment of principal or interest;</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Letter of Credit Borrowing or any fees or other amounts payable hereunder or under any other Loan Document, or change the manner of computation of any financial ratio (including the applicable defined terms) used in determining the Applicable Margin in a manner that would result in a reduction of any interest rate on any Loan or any fee payable hereunder without the written consent of each Lender directly affected thereby;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to reduce any fee payable hereunder;</w:t>
      </w:r>
    </w:p>
    <w:p>
      <w:pPr>
        <w:spacing w:after="0" w:line="18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9.2(d)</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directly affected thereby;</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the definition of “Required Lenders” without the written consent of each Lender directly affected thereby;</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connection with a transaction permitted under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7.8</w:t>
      </w:r>
      <w:r>
        <w:rPr>
          <w:rFonts w:ascii="Times New Roman" w:cs="Times New Roman" w:eastAsia="Times New Roman" w:hAnsi="Times New Roman"/>
          <w:sz w:val="20"/>
          <w:szCs w:val="20"/>
          <w:color w:val="auto"/>
        </w:rPr>
        <w:t>, release all or substantially all of the Collateral without the written consent of each Lender whose Obligations are secured by such Collateral;</w:t>
      </w:r>
    </w:p>
    <w:p>
      <w:pPr>
        <w:spacing w:after="0" w:line="17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the Borrower without the consent of each Lender, or, except in connection with a transaction permitted under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7.8</w:t>
      </w:r>
      <w:r>
        <w:rPr>
          <w:rFonts w:ascii="Times New Roman" w:cs="Times New Roman" w:eastAsia="Times New Roman" w:hAnsi="Times New Roman"/>
          <w:sz w:val="20"/>
          <w:szCs w:val="20"/>
          <w:color w:val="auto"/>
        </w:rPr>
        <w:t xml:space="preserve">, all or substantially all of the value of the Guaranty provided pursuant to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of this Agreement without the written consent of each Lender whose Secured Obligations are guaranteed thereby, except to the extent such release is permitted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(in which case such release may be made by the Administrative Agent acting alone); 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8" w:name="page229"/>
    <w:bookmarkEnd w:id="228"/>
    <w:p>
      <w:pPr>
        <w:ind w:firstLine="1304"/>
        <w:spacing w:after="0" w:line="268" w:lineRule="auto"/>
        <w:tabs>
          <w:tab w:leader="none" w:pos="1944"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 the payment priority of the Obligations or the Liens on all or substantially all of the Collateral, in each case, without the written consent of each Lender;</w:t>
      </w:r>
    </w:p>
    <w:p>
      <w:pPr>
        <w:spacing w:after="0" w:line="16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agreement, waiver or consent that would modify the interests, rights or obligations of the Administrative Agent, the Swing Line Lender or the Issuing Lender may be made without the written consent of such Administrative Agent, the Swing Line Lender or the Issuing Lender, as applicable, (ii) only the consent of the Administrative Agent shall be required for any amendment to the Fee Letter, and (iii) the Schedules to this Agreement and the Annexes to the Security Agreement may be modified as provided in and subject to the terms described in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in connection with any proposed waiver, amendment or modification referred to in </w:t>
      </w:r>
      <w:r>
        <w:rPr>
          <w:rFonts w:ascii="Times New Roman" w:cs="Times New Roman" w:eastAsia="Times New Roman" w:hAnsi="Times New Roman"/>
          <w:sz w:val="20"/>
          <w:szCs w:val="20"/>
          <w:u w:val="single" w:color="auto"/>
          <w:color w:val="auto"/>
        </w:rPr>
        <w:t>Sections 11.1(a)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11.1(g)</w:t>
      </w:r>
      <w:r>
        <w:rPr>
          <w:rFonts w:ascii="Times New Roman" w:cs="Times New Roman" w:eastAsia="Times New Roman" w:hAnsi="Times New Roman"/>
          <w:sz w:val="20"/>
          <w:szCs w:val="20"/>
          <w:color w:val="auto"/>
        </w:rPr>
        <w:t xml:space="preserve"> above, the consent of the Required Lenders is obtained but the consent of one or more of such other Lenders whose consent is required is not obtained (each a “</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xml:space="preserve">”), then the Borrower shall have the right to replace any such Non-Consenting Lender with one or more replacement Lenders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shall require the consent of such Defaulting Lender.</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(x) if following the Closing Date, the Administrative Agent and the Borrower shall have jointly identified an obvious error or any error or omission of a technical or immaterial nature, in each case, in any provision of this Agreement or any other Loan Document, then the Administrative Agent and the Borrower shall be permitted to amend such provision and such amendment shall become effective without any further action or consent of any other party to this Agreement or any other Loan Document if the same is not objected to in writing by the Required Lenders within five (5) Business Days following receipt of notice thereof and (y) no Lender consent shall be required to effect an Incremental Amendment except as provided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and the Borrower and the Administrative Agent may effect such other amendments to this Agreement and the other Loan Documents as may be necessary or appropriate, in the reasonable opinion of the Administrative Agent and the Borrower, to effect the provisions of any such Incremental Amendment. It is understood that posting such amendment electronically on SyndTrak or another relevant website with notice of such posting by the Administrative Agent to the Required Lenders shall be deemed adequate receipt of notice of any such amendment.</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b w:val="1"/>
          <w:bCs w:val="1"/>
          <w:u w:val="single" w:color="auto"/>
          <w:color w:val="auto"/>
        </w:rPr>
        <w:t>No Implied Waivers; Cumulative Remedies</w:t>
      </w:r>
      <w:r>
        <w:rPr>
          <w:rFonts w:ascii="Times New Roman" w:cs="Times New Roman" w:eastAsia="Times New Roman" w:hAnsi="Times New Roman"/>
          <w:sz w:val="20"/>
          <w:szCs w:val="20"/>
          <w:color w:val="auto"/>
        </w:rPr>
        <w:t>. No course of dealing and no delay or failure of the Administrative Agent, the Issuing Lender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rights and remedies of the Administrative Agent and the Lenders under this Agreement and any other Loan Documents are cumulative and not exclusive of any rights or remedies that they would otherwise have.</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for the benefit of the Secured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foregoing shall not prohibit (a)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29" w:name="page230"/>
    <w:bookmarkEnd w:id="229"/>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Administrative Agent from exercising on its own behalf the rights and remedies that inure to its benefit (solely in its capacity as Administrative Agent) hereunder and under the other Loan Documents, (b) the Issuing Lender or the Swing Line Lender from exercising the rights and remedies that inure to its benefit (solely in its capacity as Issuing Lender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or (d) any Lender from filing proofs of claim or appearing and filing pleadings on its own behalf during the pendency of a proceeding relative to any Loan Party in any Insolvency Proceedings.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b w:val="1"/>
          <w:bCs w:val="1"/>
          <w:u w:val="single" w:color="auto"/>
          <w:color w:val="auto"/>
        </w:rPr>
        <w:t>Expenses; Indemnity; Damage Waiver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1" w:lineRule="auto"/>
        <w:tabs>
          <w:tab w:leader="none" w:pos="194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pay (i) all reasonable and documented out of pocket expenses incurred by the Administrative Agent and its Affiliates (including the reasonable and documented fees, charges and disbursements of counsel for the Administrative Agent, which shall be limited to the fees, charges and disbursements of one corporate and one regulatory counsel to the Administrative Agent, and if necessary, of one firm of local counsel in each relevant jurisdiction)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 of pocket expenses incurred by the Issuing Lender in connection with the issuance, amendment, renewal, restatement or extension of any Letter of Credit or any demand for payment thereunder, and (iii) all out of pocket expenses incurred by the Administrative Agent, any Lender or the Issuing Lender (including the reasonable and documented fees, charges and disbursements of one firm of corporate counsel and one firm of regulatory counsel for the Administrative Agent and the Lenders taken as a whole (and, in the case of an actual or perceived conflict of interest in the reasonable discretion of a Lender where such Lender affected by such conflict informs the Borrower of such conflict, of one other firm of counsel for such affected Lenders taken as a whole), and if necessary, one firm of local counsel in each relevant jurisdiction)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90"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the Administrative Agent (and any sub-agent thereof), each Lender and the Issuing Lender, and each Related Party of any of the foregoing Persons (each such Person being called an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against, and hold each Indemnitee harmless from, any and all losses, claims, counterclaims, damages, liabilities and related expenses (including, without limitation, the reasonable and documented fees, charges and disbursements of one counsel (collectively) for all Indemnitees taken as a whole, and, if necessary in the discretion of an Indemnitee, one firm of regulatory counsel and one firm of local counsel in each appropriate jurisdiction, in each case for all Indemnitees taken as a whole (and, in the case of an actual or perceived conflict of interest in the discretion of an Indemnitee where such Indemnitee affected by such conflict informs the Borrower of such conflict, of one other firm of counsel for such affected Indemnitees taken as a whole)) incurred by any Indemnitee or asserted against any Indemnitee by any Person (including the Borrower or any other Loan Party and the expense of investigation)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0" w:name="page231"/>
    <w:bookmarkEnd w:id="230"/>
    <w:p>
      <w:pPr>
        <w:jc w:val="both"/>
        <w:spacing w:after="0" w:line="254" w:lineRule="auto"/>
        <w:rPr>
          <w:sz w:val="20"/>
          <w:szCs w:val="20"/>
          <w:color w:val="auto"/>
        </w:rPr>
      </w:pPr>
      <w:r>
        <w:rPr>
          <w:rFonts w:ascii="Times New Roman" w:cs="Times New Roman" w:eastAsia="Times New Roman" w:hAnsi="Times New Roman"/>
          <w:sz w:val="19"/>
          <w:szCs w:val="19"/>
          <w:color w:val="auto"/>
        </w:rPr>
        <w:t>comply with the terms of such Letter of Credit), (iii)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and to reimburse each Indemnitee upon demand for any reasonable and documented legal or other expenses incurred in connection with the foregoing; provided that such indemnity shall not, as to any Indemnitee, be available to the extent that such losses, claims, counterclaims, damages, liabilities or related expenses (x) are determined by a court of competent jurisdiction by final and nonappealable judgment to have resulted from the gross negligence or willful misconduct of such Indemnitee, (y) result from a claim brought by the Borrower or any other Loan Party against an Indemnitee for material breach of such Indemnitee’s obligations hereunder or under any other Loan Document, if the Borrower or such other Loan Party has obtained a final and nonappealable judgment in its favor on such claim as determined by a court of competent jurisdiction, or</w:t>
      </w:r>
    </w:p>
    <w:p>
      <w:pPr>
        <w:spacing w:after="0" w:line="1" w:lineRule="exact"/>
        <w:rPr>
          <w:sz w:val="20"/>
          <w:szCs w:val="20"/>
          <w:color w:val="auto"/>
        </w:rPr>
      </w:pPr>
    </w:p>
    <w:p>
      <w:pPr>
        <w:jc w:val="both"/>
        <w:ind w:firstLine="8"/>
        <w:spacing w:after="0" w:line="239" w:lineRule="auto"/>
        <w:tabs>
          <w:tab w:leader="none" w:pos="274"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result from a dispute solely among Indemnitees (other than any claim, actions, suits, inquiries, litigation, investigation or proceeding against any Indemnitee in its capacity or in fulfilling its role as the Administrative Agent or Arranger) and not arising out of any act or omission of Borrower or any of its affiliates. Notwithstanding the foregoing, the Borrower shall not be liable for any settlement of a claim effected without the Borrower’s consent (such consent not to be unreasonably withheld or delayed), but if settled with the Borrower’s written consent or if the Borrower was offered the ability to assume the defense of the action that was the subject matter of such settlement and elected not to assume such defense, the Borrower agrees to (and shall) indemnify and hold harmless each Indemnitee from and against any and all losses, claims, counterclaims, damages, liabilities and related expenses by reason of such settlement in accordance with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11.3(b)</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11.3(b)</w:t>
      </w:r>
      <w:r>
        <w:rPr>
          <w:rFonts w:ascii="Times New Roman" w:cs="Times New Roman" w:eastAsia="Times New Roman" w:hAnsi="Times New Roman"/>
          <w:sz w:val="20"/>
          <w:szCs w:val="20"/>
          <w:color w:val="auto"/>
        </w:rPr>
        <w:t xml:space="preserve"> shall not apply with respect to Taxes other than any Taxes that represent losses, claims, damages and other similar amounts arising from any non-Tax claim. No Loan Party shall, without the prior written consent of the applicable Indemnitee (which consent shall not be unreasonably withheld, conditioned or delayed), effect any settlement of any pending or threatened proceeding against an Indemnitee in respect of which indemnity could have been sought hereunder by such Indemnitee unless (a) such settlement includes an unconditional release of such Indemnitee from all liability or claims that are the subject matter of such claim, litigation, investigation or proceeding and (b) such settlement does not include any statement as to or any admission of fault, culpability or wrongdoing or failure to act by or on behalf of such Indemnitee.</w:t>
      </w:r>
    </w:p>
    <w:p>
      <w:pPr>
        <w:spacing w:after="0" w:line="201"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1"/>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 for any reason fails to indefeasibly pay any amount required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to be paid by it to the Administrative Agent (or any sub-agent thereof), the Issuing Lender, the Swing Line Lender or any Related Party of any of the foregoing, each Lender severally agrees to pay to the Administrative Agent (or any such sub-agent), the Issuing Lender, the Swing Line Lender or such Related Party, as the case may be, such Lender’s pro rata share (determined as of the time that the applicable unreimbursed expense or indemnity payment is sought based on each Lender’s Pro Rata Share at such time) of such unpaid amount (including any such unpaid amount in respect of a claim asserted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such unpaid amounts owed to the Issuing Lender or Swing Line Lender solely in its capacity as such, only the Revolving Lenders shall be required to pay such unpaid amounts, such payment to be made severally among them based on such Revolving Lenders’ Pro Rata Share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Issuing Lender or the Swing Line Lender in its capacity as such, or against any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1" w:name="page232"/>
    <w:bookmarkEnd w:id="231"/>
    <w:p>
      <w:pPr>
        <w:spacing w:after="0" w:line="268" w:lineRule="auto"/>
        <w:rPr>
          <w:sz w:val="20"/>
          <w:szCs w:val="20"/>
          <w:color w:val="auto"/>
        </w:rPr>
      </w:pPr>
      <w:r>
        <w:rPr>
          <w:rFonts w:ascii="Times New Roman" w:cs="Times New Roman" w:eastAsia="Times New Roman" w:hAnsi="Times New Roman"/>
          <w:sz w:val="20"/>
          <w:szCs w:val="20"/>
          <w:color w:val="auto"/>
        </w:rPr>
        <w:t>Party of any of the foregoing acting for the Administrative Agent (or any such sub-agent), the Issuing Lender or the Swing Line Lender in connection with such capacity.</w:t>
      </w:r>
    </w:p>
    <w:p>
      <w:pPr>
        <w:spacing w:after="0" w:line="161" w:lineRule="exact"/>
        <w:rPr>
          <w:sz w:val="20"/>
          <w:szCs w:val="20"/>
          <w:color w:val="auto"/>
        </w:rPr>
      </w:pPr>
    </w:p>
    <w:p>
      <w:pPr>
        <w:jc w:val="both"/>
        <w:ind w:firstLine="1304"/>
        <w:spacing w:after="0" w:line="242" w:lineRule="auto"/>
        <w:tabs>
          <w:tab w:leader="none" w:pos="194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To the fullest extent permitted by applicable Law, none of the Loan Parties shall assert, and each hereby waives, any claim against the Administrative Agent (and any sub-agent thereof), each Lender and the Issuing Lender, and each Related Party of any of the foregoing Persons (each such Person being called a “</w:t>
      </w:r>
      <w:r>
        <w:rPr>
          <w:rFonts w:ascii="Times New Roman" w:cs="Times New Roman" w:eastAsia="Times New Roman" w:hAnsi="Times New Roman"/>
          <w:sz w:val="20"/>
          <w:szCs w:val="20"/>
          <w:b w:val="1"/>
          <w:bCs w:val="1"/>
          <w:color w:val="auto"/>
        </w:rPr>
        <w:t>Protected Person</w:t>
      </w:r>
      <w:r>
        <w:rPr>
          <w:rFonts w:ascii="Times New Roman" w:cs="Times New Roman" w:eastAsia="Times New Roman" w:hAnsi="Times New Roman"/>
          <w:sz w:val="20"/>
          <w:szCs w:val="20"/>
          <w:color w:val="auto"/>
        </w:rPr>
        <w: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(10) days after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therefor.</w:t>
      </w:r>
    </w:p>
    <w:p>
      <w:pPr>
        <w:spacing w:after="0" w:line="193"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shall survive the resignation of the Administrative Agent or any assignment of rights by, or the replacement of, a Lender, the termination of the Commitments and the repayment, satisfaction or discharge of all obligations under any Loan Document.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b w:val="1"/>
          <w:bCs w:val="1"/>
          <w:u w:val="single" w:color="auto"/>
          <w:color w:val="auto"/>
        </w:rPr>
        <w:t>Notices; Effectiveness; Electronic Communication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permitted to be given by telephone (and except as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(i) if to a Lender, at its address (or facsimile number) set forth in its Administrative Questionnaire or (ii) if to any other Person, to it at its address (or facsimile number) set forth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said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Issuing Lender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Issuing Lender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Issuing Lender, as applicable, has notified the Administrative Agent that it is incapable of receiving notices under such Article by electronic communication. The Administrative Agent or the Borrower may, in each of their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2" w:name="page233"/>
    <w:bookmarkEnd w:id="232"/>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4" w:lineRule="exact"/>
        <w:rPr>
          <w:sz w:val="20"/>
          <w:szCs w:val="20"/>
          <w:color w:val="auto"/>
        </w:rPr>
      </w:pPr>
    </w:p>
    <w:p>
      <w:pPr>
        <w:ind w:firstLine="1304"/>
        <w:spacing w:after="0" w:line="269" w:lineRule="auto"/>
        <w:tabs>
          <w:tab w:leader="none" w:pos="1944"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Any party hereto may change its address, facsimile number or e-mail address, if applicable, for notices and other communications hereunder by notice to the other parties hereto.</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agrees that the Administrative Agent may, but shall not be obligated to, make the Communications (as defined below) available to the Issuing Lender and the other Lenders by posting the Communications on Debt Domain, Intralinks, Syndtrak or a substantially similar electronic transmission system (the “</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1"/>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Platform. “</w:t>
      </w:r>
      <w:r>
        <w:rPr>
          <w:rFonts w:ascii="Times New Roman" w:cs="Times New Roman" w:eastAsia="Times New Roman" w:hAnsi="Times New Roman"/>
          <w:sz w:val="20"/>
          <w:szCs w:val="20"/>
          <w:b w:val="1"/>
          <w:bCs w:val="1"/>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b w:val="1"/>
          <w:bCs w:val="1"/>
          <w:u w:val="single" w:color="auto"/>
          <w:color w:val="auto"/>
        </w:rPr>
        <w:t>Duration; Survival</w:t>
      </w:r>
      <w:r>
        <w:rPr>
          <w:rFonts w:ascii="Times New Roman" w:cs="Times New Roman" w:eastAsia="Times New Roman" w:hAnsi="Times New Roman"/>
          <w:sz w:val="20"/>
          <w:szCs w:val="20"/>
          <w:color w:val="auto"/>
        </w:rPr>
        <w:t xml:space="preserve">. All representations and warranties of the Loan Parties contained herein or made in connection herewith shall survive the execution and delivery of this Agreement, the completion of the transactions hereunder and Payment In Full. All covenants and agreements of the Loan Parties contained herein relating to the payment of principal, interest, premiums, additional compensation or expenses and indemnification, including those set forth in the Notes,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or any other provision of any Loan Document, the agreement of the Lenders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11.3(c)</w:t>
      </w:r>
      <w:r>
        <w:rPr>
          <w:rFonts w:ascii="Times New Roman" w:cs="Times New Roman" w:eastAsia="Times New Roman" w:hAnsi="Times New Roman"/>
          <w:sz w:val="20"/>
          <w:szCs w:val="20"/>
          <w:color w:val="auto"/>
        </w:rPr>
        <w:t xml:space="preserve">, and the agreements of the Loan Parties set forth in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or any other provision of any Loan Documents shall survive Payment In Full and shall protect the Administrative Agent, the Lenders and any other Indemnitees against events arising after such termination as well as before. All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3" w:name="page234"/>
    <w:bookmarkEnd w:id="233"/>
    <w:p>
      <w:pPr>
        <w:spacing w:after="0" w:line="268" w:lineRule="auto"/>
        <w:rPr>
          <w:sz w:val="20"/>
          <w:szCs w:val="20"/>
          <w:color w:val="auto"/>
        </w:rPr>
      </w:pPr>
      <w:r>
        <w:rPr>
          <w:rFonts w:ascii="Times New Roman" w:cs="Times New Roman" w:eastAsia="Times New Roman" w:hAnsi="Times New Roman"/>
          <w:sz w:val="20"/>
          <w:szCs w:val="20"/>
          <w:color w:val="auto"/>
        </w:rPr>
        <w:t>covenants and agreements of the Loan Parties shall continue in full force and effect from and after the date hereof and until Payment In Full.</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the Issuing Lender and each Lender and no Lender may assign or otherwise transfer any of its rights or obligations hereunder except (i) to an assignee in accordance with the provisions of this Section, (ii) by way of participation in accordance with the provisions of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or (iii) by way of pledge or assignment of a security interest subject to the restrictions of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(and any other attempted assignment or transfer by any such party hereto shall be null and void). Nothing in this Agreement, expressed or implied, shall be construed to confer upon any Person (other than the parties hereto, their respective successors and assigns permitted hereby, Participants to the extent provided in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and, to the extent expressly contemplated hereby, the Related Parties of each of the Administrative Agent, the Issuing Lender and the Lenders) any legal or equitable right, remedy or claim under or by reason of this Agreement.</w:t>
      </w:r>
    </w:p>
    <w:p>
      <w:pPr>
        <w:spacing w:after="0" w:line="187"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all participations in Letters of Credit and Swing Line Loans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and with respect to any Facility) any such assignment shall be subject to the following conditions:</w:t>
      </w:r>
    </w:p>
    <w:p>
      <w:pPr>
        <w:spacing w:after="0" w:line="17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Minimum Amounts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2600"/>
        <w:spacing w:after="0" w:line="246" w:lineRule="auto"/>
        <w:tabs>
          <w:tab w:leader="none" w:pos="3240"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Commitment and/or the Loans at the time owing to it (in each case with respect to any Facility) or contemporaneous assignments to related Approved Funds that equal at least the amount specified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in the aggregate or in the case of an assignment to a Lender, an Affiliate of a Lender or an Approved Fund, no minimum amount need be assigned; and</w:t>
      </w:r>
    </w:p>
    <w:p>
      <w:pPr>
        <w:spacing w:after="0" w:line="184" w:lineRule="exact"/>
        <w:rPr>
          <w:rFonts w:ascii="Times New Roman" w:cs="Times New Roman" w:eastAsia="Times New Roman" w:hAnsi="Times New Roman"/>
          <w:sz w:val="20"/>
          <w:szCs w:val="20"/>
          <w:color w:val="auto"/>
        </w:rPr>
      </w:pPr>
    </w:p>
    <w:p>
      <w:pPr>
        <w:jc w:val="both"/>
        <w:ind w:firstLine="2600"/>
        <w:spacing w:after="0" w:line="243" w:lineRule="auto"/>
        <w:tabs>
          <w:tab w:leader="none" w:pos="3240" w:val="left"/>
        </w:tabs>
        <w:numPr>
          <w:ilvl w:val="2"/>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clause (i)(A)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0"/>
          <w:szCs w:val="20"/>
          <w:b w:val="1"/>
          <w:bCs w:val="1"/>
          <w:color w:val="auto"/>
        </w:rPr>
        <w:t>Trade Date</w:t>
      </w:r>
      <w:r>
        <w:rPr>
          <w:rFonts w:ascii="Times New Roman" w:cs="Times New Roman" w:eastAsia="Times New Roman" w:hAnsi="Times New Roman"/>
          <w:sz w:val="20"/>
          <w:szCs w:val="20"/>
          <w:color w:val="auto"/>
        </w:rPr>
        <w:t>” is specified in the Assignment and Assumption, as of the Trade Date) shall not be less than $5,000,000, in the case of any assignment in respect of any Revolving Credit Facility, or $1,000,000, in the case of any assignment in respect of any Term Loan Facility, unless each of the Administrative Agent and, so long as no Event of Default has occurred and is continuing, the Borrower otherwise consents (each such consent not to be unreasonably withheld or delayed).</w:t>
      </w:r>
    </w:p>
    <w:p>
      <w:pPr>
        <w:spacing w:after="0" w:line="181"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92"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Proportionate Amounts</w:t>
      </w:r>
      <w:r>
        <w:rPr>
          <w:rFonts w:ascii="Times New Roman" w:cs="Times New Roman" w:eastAsia="Times New Roman" w:hAnsi="Times New Roman"/>
          <w:sz w:val="20"/>
          <w:szCs w:val="20"/>
          <w:color w:val="auto"/>
        </w:rPr>
        <w:t>. Each partial assignment shall be made as an assignment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proportionate part of all the assigning Lender’s rights and obligations under this Agreement with respect to the Loan or the Commitment assigned, except that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prohibit any Lender from assigning all or a portion of its rights and obligations among separate Facilities on a non-pro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4" w:name="page235"/>
    <w:bookmarkEnd w:id="234"/>
    <w:p>
      <w:pPr>
        <w:ind w:firstLine="1952"/>
        <w:spacing w:after="0" w:line="272" w:lineRule="auto"/>
        <w:tabs>
          <w:tab w:leader="none" w:pos="259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Required Consents</w:t>
      </w:r>
      <w:r>
        <w:rPr>
          <w:rFonts w:ascii="Times New Roman" w:cs="Times New Roman" w:eastAsia="Times New Roman" w:hAnsi="Times New Roman"/>
          <w:sz w:val="20"/>
          <w:szCs w:val="20"/>
          <w:color w:val="auto"/>
        </w:rPr>
        <w:t>. No consent shall be required for any assignment except to the extent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required by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and in addition:</w:t>
      </w:r>
    </w:p>
    <w:p>
      <w:pPr>
        <w:spacing w:after="0" w:line="156" w:lineRule="exact"/>
        <w:rPr>
          <w:rFonts w:ascii="Times New Roman" w:cs="Times New Roman" w:eastAsia="Times New Roman" w:hAnsi="Times New Roman"/>
          <w:sz w:val="20"/>
          <w:szCs w:val="20"/>
          <w:color w:val="auto"/>
        </w:rPr>
      </w:pPr>
    </w:p>
    <w:p>
      <w:pPr>
        <w:jc w:val="both"/>
        <w:ind w:firstLine="2600"/>
        <w:spacing w:after="0" w:line="245" w:lineRule="auto"/>
        <w:tabs>
          <w:tab w:leader="none" w:pos="3240"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Borrower’s consent shall not be required during the primary syndication of the Facilities;</w:t>
      </w:r>
    </w:p>
    <w:p>
      <w:pPr>
        <w:spacing w:after="0" w:line="184" w:lineRule="exact"/>
        <w:rPr>
          <w:rFonts w:ascii="Times New Roman" w:cs="Times New Roman" w:eastAsia="Times New Roman" w:hAnsi="Times New Roman"/>
          <w:sz w:val="20"/>
          <w:szCs w:val="20"/>
          <w:color w:val="auto"/>
        </w:rPr>
      </w:pPr>
    </w:p>
    <w:p>
      <w:pPr>
        <w:jc w:val="both"/>
        <w:ind w:firstLine="2600"/>
        <w:spacing w:after="0" w:line="246" w:lineRule="auto"/>
        <w:tabs>
          <w:tab w:leader="none" w:pos="3240"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any Revolving Credit Facility or any unfunded Commitments with respect to any Term Loan Facility if such assignment is to a Person that is not a Lender with a Commitment in respect of such Facility, an Affiliate of such Lender or an Approved Fund with respect to such Lender, or (ii) any Loans to a Person who is not a Lender, an Affiliate of a Lender or an Approved Fund; and</w:t>
      </w:r>
    </w:p>
    <w:p>
      <w:pPr>
        <w:spacing w:after="0" w:line="184" w:lineRule="exact"/>
        <w:rPr>
          <w:rFonts w:ascii="Times New Roman" w:cs="Times New Roman" w:eastAsia="Times New Roman" w:hAnsi="Times New Roman"/>
          <w:sz w:val="20"/>
          <w:szCs w:val="20"/>
          <w:color w:val="auto"/>
        </w:rPr>
      </w:pPr>
    </w:p>
    <w:p>
      <w:pPr>
        <w:ind w:firstLine="2600"/>
        <w:spacing w:after="0" w:line="269" w:lineRule="auto"/>
        <w:tabs>
          <w:tab w:leader="none" w:pos="3240"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Issuing Lender and Swing Line Lender shall be required for any assignment in respect of a Revolving Credit Facility.</w:t>
      </w:r>
    </w:p>
    <w:p>
      <w:pPr>
        <w:spacing w:after="0" w:line="155" w:lineRule="exact"/>
        <w:rPr>
          <w:rFonts w:ascii="Times New Roman" w:cs="Times New Roman" w:eastAsia="Times New Roman" w:hAnsi="Times New Roman"/>
          <w:sz w:val="20"/>
          <w:szCs w:val="20"/>
          <w:color w:val="auto"/>
        </w:rPr>
      </w:pPr>
    </w:p>
    <w:p>
      <w:pPr>
        <w:jc w:val="both"/>
        <w:ind w:firstLine="1952"/>
        <w:spacing w:after="0" w:line="247" w:lineRule="auto"/>
        <w:tabs>
          <w:tab w:leader="none" w:pos="259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Assignment and Assumption</w:t>
      </w:r>
      <w:r>
        <w:rPr>
          <w:rFonts w:ascii="Times New Roman" w:cs="Times New Roman" w:eastAsia="Times New Roman" w:hAnsi="Times New Roman"/>
          <w:sz w:val="20"/>
          <w:szCs w:val="20"/>
          <w:color w:val="auto"/>
        </w:rPr>
        <w:t>. The parties to each assignment shall execute and deliver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Assignment to Certain Persons</w:t>
      </w:r>
      <w:r>
        <w:rPr>
          <w:rFonts w:ascii="Times New Roman" w:cs="Times New Roman" w:eastAsia="Times New Roman" w:hAnsi="Times New Roman"/>
          <w:sz w:val="20"/>
          <w:szCs w:val="20"/>
          <w:color w:val="auto"/>
        </w:rPr>
        <w:t>. No such assignment shall be made to (i) the Borrower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any of the Borrower’s Affiliates or Subsidiaries or (ii)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right="20" w:firstLine="1952"/>
        <w:spacing w:after="0" w:line="273" w:lineRule="auto"/>
        <w:tabs>
          <w:tab w:leader="none" w:pos="259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Assignment to Natural Persons</w:t>
      </w:r>
      <w:r>
        <w:rPr>
          <w:rFonts w:ascii="Times New Roman" w:cs="Times New Roman" w:eastAsia="Times New Roman" w:hAnsi="Times New Roman"/>
          <w:sz w:val="20"/>
          <w:szCs w:val="20"/>
          <w:color w:val="auto"/>
        </w:rPr>
        <w:t>. No such assignment shall be made to a natural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a holding company, investment vehicle or trust for, or owned or operated for the primary benefit of, a natural Person).</w:t>
      </w:r>
    </w:p>
    <w:p>
      <w:pPr>
        <w:spacing w:after="0" w:line="151"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1"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Certain Additional Payments</w:t>
      </w:r>
      <w:r>
        <w:rPr>
          <w:rFonts w:ascii="Times New Roman" w:cs="Times New Roman" w:eastAsia="Times New Roman" w:hAnsi="Times New Roman"/>
          <w:sz w:val="20"/>
          <w:szCs w:val="20"/>
          <w:color w:val="auto"/>
        </w:rPr>
        <w:t>. In connection with any assignment of rights and obligations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 Line Lender and each other Lender hereunder (and interest accrued thereon), and (y) acquire (and fund as appropriate) its full Pro Rata Share of all Loans and participations in Letters of Credit and Swing Line Loans. Notwithstanding the foregoing, in the event that any assignment of rights and obligations of any Defaulting Lender hereunder shall become effective under applicable Law without compliance with the provisions of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35" w:name="page236"/>
    <w:bookmarkEnd w:id="235"/>
    <w:p>
      <w:pPr>
        <w:jc w:val="both"/>
        <w:spacing w:after="0" w:line="268" w:lineRule="auto"/>
        <w:rPr>
          <w:sz w:val="20"/>
          <w:szCs w:val="20"/>
          <w:color w:val="auto"/>
        </w:rPr>
      </w:pPr>
      <w:r>
        <w:rPr>
          <w:rFonts w:ascii="Times New Roman" w:cs="Times New Roman" w:eastAsia="Times New Roman" w:hAnsi="Times New Roman"/>
          <w:sz w:val="20"/>
          <w:szCs w:val="20"/>
          <w:color w:val="auto"/>
        </w:rPr>
        <w:t>then the assignee of such interest shall be deemed to be a Defaulting Lender for all purposes of this Agreement until such compliance occurs.</w:t>
      </w:r>
    </w:p>
    <w:p>
      <w:pPr>
        <w:spacing w:after="0" w:line="16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11.3(b)</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 xml:space="preserve"> below.</w:t>
      </w:r>
    </w:p>
    <w:p>
      <w:pPr>
        <w:spacing w:after="0" w:line="197" w:lineRule="exact"/>
        <w:rPr>
          <w:sz w:val="20"/>
          <w:szCs w:val="20"/>
          <w:color w:val="auto"/>
        </w:rPr>
      </w:pPr>
    </w:p>
    <w:p>
      <w:pPr>
        <w:jc w:val="both"/>
        <w:ind w:firstLine="1304"/>
        <w:spacing w:after="0" w:line="242" w:lineRule="auto"/>
        <w:tabs>
          <w:tab w:leader="none" w:pos="1944"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shall maintain at one of its offices in Greenwood Village, Colorado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the Issuing Lender and the Lenders shall treat each Person whose name is recorded in the Register pursuant to the terms hereof as a Lender hereunder for all purposes of this Agreement. The Register shall be available for inspection by the Borrower, any Lender and the Issuing Lender, at any reasonable time and from time to time upon reasonable prior notice. The parties to this Agreement hereby acknowledge and agree that the Administrative Agent, in its capacity as such, has no duty to monitor or enforce assignments, participations or other actions with respect to Disqualified Institutions and no responsibility or liability with respect to any assignments made by Lenders to a Disqualified Institution.</w:t>
      </w:r>
    </w:p>
    <w:p>
      <w:pPr>
        <w:spacing w:after="0" w:line="189"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44"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the Issuing Lender or the Administrative Agent, sell participations to any Person (other than (x) a natural Person or a holding company, investment vehicle or trust for, or owned or operated for the primary benefit of, a natural Person or the Borrower,</w:t>
      </w:r>
    </w:p>
    <w:p>
      <w:pPr>
        <w:jc w:val="both"/>
        <w:ind w:firstLine="8"/>
        <w:spacing w:after="0"/>
        <w:tabs>
          <w:tab w:leader="none" w:pos="309"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Affiliates or Subsidiaries or (z) any Disqualified Institutions (to the extent that a list of Disqualified Institutions has been provided to any such Lender upon such Lender’s written request)) (each a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11.3(c)</w:t>
      </w:r>
      <w:r>
        <w:rPr>
          <w:rFonts w:ascii="Times New Roman" w:cs="Times New Roman" w:eastAsia="Times New Roman" w:hAnsi="Times New Roman"/>
          <w:sz w:val="20"/>
          <w:szCs w:val="20"/>
          <w:color w:val="auto"/>
        </w:rPr>
        <w:t xml:space="preserve"> with respect to any payments made by such Lender to its Participant(s).</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6" w:name="page237"/>
    <w:bookmarkEnd w:id="236"/>
    <w:p>
      <w:pPr>
        <w:jc w:val="both"/>
        <w:spacing w:after="0"/>
        <w:rPr>
          <w:sz w:val="20"/>
          <w:szCs w:val="20"/>
          <w:color w:val="auto"/>
        </w:rPr>
      </w:pPr>
      <w:r>
        <w:rPr>
          <w:rFonts w:ascii="Times New Roman" w:cs="Times New Roman" w:eastAsia="Times New Roman" w:hAnsi="Times New Roman"/>
          <w:sz w:val="20"/>
          <w:szCs w:val="20"/>
          <w:color w:val="auto"/>
        </w:rPr>
        <w:t xml:space="preserve">may provide that such Lender will not, without the consent of the Participant, agree to any amendment, modification or waiver described in </w:t>
      </w:r>
      <w:r>
        <w:rPr>
          <w:rFonts w:ascii="Times New Roman" w:cs="Times New Roman" w:eastAsia="Times New Roman" w:hAnsi="Times New Roman"/>
          <w:sz w:val="20"/>
          <w:szCs w:val="20"/>
          <w:u w:val="single" w:color="auto"/>
          <w:color w:val="auto"/>
        </w:rPr>
        <w:t>Sections 11.1(a)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of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shall be delivered to the participating Lender)),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11.3</w:t>
      </w:r>
      <w:r>
        <w:rPr>
          <w:rFonts w:ascii="Times New Roman" w:cs="Times New Roman" w:eastAsia="Times New Roman" w:hAnsi="Times New Roman"/>
          <w:sz w:val="20"/>
          <w:szCs w:val="20"/>
          <w:color w:val="auto"/>
        </w:rPr>
        <w:t xml:space="preserve"> to the same extent as if it were a Lender and had acquired its interest by assignment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 agrees to be subject to the provisions of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as if it were an assignee under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and (B) shall not be entitled to receive any greater payment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20"/>
          <w:szCs w:val="20"/>
          <w:u w:val="single" w:color="auto"/>
          <w:color w:val="auto"/>
        </w:rPr>
        <w:t>Section 9.2(c)</w:t>
      </w:r>
      <w:r>
        <w:rPr>
          <w:rFonts w:ascii="Times New Roman" w:cs="Times New Roman" w:eastAsia="Times New Roman" w:hAnsi="Times New Roman"/>
          <w:sz w:val="20"/>
          <w:szCs w:val="20"/>
          <w:color w:val="auto"/>
        </w:rPr>
        <w:t xml:space="preserve"> as though it were a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Participant agrees to be subject to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CoBank reserves the right to assign or sell participations in all or part of its Commitments or outstanding Loans hereunder on a non-patronage basis.</w:t>
      </w:r>
    </w:p>
    <w:p>
      <w:pPr>
        <w:spacing w:after="0" w:line="20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Notwithstanding the preceding paragraph, any Participant that is a Farm Credit Lender or the Federal Agricultural Mortgage Corporation that (i) has purchased a participation, (ii) has been designated as a voting Participant (other than any Disqualified Institution (to the extent that a list of Disqualified Institutions has been provided to any such Lender upon such Lender’s written request)) (a “</w:t>
      </w:r>
      <w:r>
        <w:rPr>
          <w:rFonts w:ascii="Times New Roman" w:cs="Times New Roman" w:eastAsia="Times New Roman" w:hAnsi="Times New Roman"/>
          <w:sz w:val="20"/>
          <w:szCs w:val="20"/>
          <w:b w:val="1"/>
          <w:bCs w:val="1"/>
          <w:color w:val="auto"/>
        </w:rPr>
        <w:t>Voting Participant</w:t>
      </w:r>
      <w:r>
        <w:rPr>
          <w:rFonts w:ascii="Times New Roman" w:cs="Times New Roman" w:eastAsia="Times New Roman" w:hAnsi="Times New Roman"/>
          <w:sz w:val="20"/>
          <w:szCs w:val="20"/>
          <w:color w:val="auto"/>
        </w:rPr>
        <w:t>”) in a notice (a “</w:t>
      </w:r>
      <w:r>
        <w:rPr>
          <w:rFonts w:ascii="Times New Roman" w:cs="Times New Roman" w:eastAsia="Times New Roman" w:hAnsi="Times New Roman"/>
          <w:sz w:val="20"/>
          <w:szCs w:val="20"/>
          <w:b w:val="1"/>
          <w:bCs w:val="1"/>
          <w:color w:val="auto"/>
        </w:rPr>
        <w:t>Voting Participant Notice</w:t>
      </w:r>
      <w:r>
        <w:rPr>
          <w:rFonts w:ascii="Times New Roman" w:cs="Times New Roman" w:eastAsia="Times New Roman" w:hAnsi="Times New Roman"/>
          <w:sz w:val="20"/>
          <w:szCs w:val="20"/>
          <w:color w:val="auto"/>
        </w:rPr>
        <w:t xml:space="preserve">”) sent by the relevant Lender (including any existing Voting Participant) to the Administrative Agent and (iii) receives, prior to becoming a Voting Participant, the consent of the Administrative Agent (such Administrative Agent consent to be required only to the extent and under the circumstances it would be required if such Voting Participant were to become a Lender pursuant to an assignment in accordance with </w:t>
      </w:r>
      <w:r>
        <w:rPr>
          <w:rFonts w:ascii="Times New Roman" w:cs="Times New Roman" w:eastAsia="Times New Roman" w:hAnsi="Times New Roman"/>
          <w:sz w:val="20"/>
          <w:szCs w:val="20"/>
          <w:u w:val="single" w:color="auto"/>
          <w:color w:val="auto"/>
        </w:rPr>
        <w:t>Section 11.7(b)</w:t>
      </w:r>
      <w:r>
        <w:rPr>
          <w:rFonts w:ascii="Times New Roman" w:cs="Times New Roman" w:eastAsia="Times New Roman" w:hAnsi="Times New Roman"/>
          <w:sz w:val="20"/>
          <w:szCs w:val="20"/>
          <w:color w:val="auto"/>
        </w:rPr>
        <w:t xml:space="preserve"> and such consent is not required for an assignment to an existing Voting Participant), shall be entitled to vote as if such Voting Participant were a Lender on all matters subject to a vote by Lenders, and the voting rights of the selling Lender (including any existing Voting Participant) shall be correspondingly reduced, on a dollar-for-dollar basis. Each Voting Participant Notice shall include, with respect to each Voting Participant, the information that would be included by a prospective Lender in an Assignment and Assumption. Notwithstanding the foregoing, each Farm Credit Lender designated as a Voting Participant in </w:t>
      </w:r>
      <w:r>
        <w:rPr>
          <w:rFonts w:ascii="Times New Roman" w:cs="Times New Roman" w:eastAsia="Times New Roman" w:hAnsi="Times New Roman"/>
          <w:sz w:val="20"/>
          <w:szCs w:val="20"/>
          <w:u w:val="single" w:color="auto"/>
          <w:color w:val="auto"/>
        </w:rPr>
        <w:t>Schedule 11.7</w:t>
      </w:r>
      <w:r>
        <w:rPr>
          <w:rFonts w:ascii="Times New Roman" w:cs="Times New Roman" w:eastAsia="Times New Roman" w:hAnsi="Times New Roman"/>
          <w:sz w:val="20"/>
          <w:szCs w:val="20"/>
          <w:color w:val="auto"/>
        </w:rPr>
        <w:t xml:space="preserve"> and, if applicable, the Federal Agricultural Mortgage Corporation shall be a Voting Participant without delivery of a Voting Participant Notice and without the prior written consent of the Administrative Agent. The selling Lender (including any existing Voting Participant) and the purchasing Voting Participant shall notify the Administrative Agent within three (3) Business Days of any termination, reduction or increase of the amount of, such participation.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7" w:name="page238"/>
    <w:bookmarkEnd w:id="237"/>
    <w:p>
      <w:pPr>
        <w:jc w:val="both"/>
        <w:spacing w:after="0" w:line="253" w:lineRule="auto"/>
        <w:rPr>
          <w:sz w:val="20"/>
          <w:szCs w:val="20"/>
          <w:color w:val="auto"/>
        </w:rPr>
      </w:pPr>
      <w:r>
        <w:rPr>
          <w:rFonts w:ascii="Times New Roman" w:cs="Times New Roman" w:eastAsia="Times New Roman" w:hAnsi="Times New Roman"/>
          <w:sz w:val="20"/>
          <w:szCs w:val="20"/>
          <w:color w:val="auto"/>
        </w:rPr>
        <w:t>be entitled to conclusively rely on information contained in Voting Participant Notices and all other notices delivered pursuant hereto. The voting rights of each Voting Participant are solely for the benefit of such Voting Participant and shall not inure to any assignee or participant of such Voting Participant that is not a Farm Credit Lender.</w:t>
      </w:r>
    </w:p>
    <w:p>
      <w:pPr>
        <w:spacing w:after="0" w:line="176" w:lineRule="exact"/>
        <w:rPr>
          <w:sz w:val="20"/>
          <w:szCs w:val="20"/>
          <w:color w:val="auto"/>
        </w:rPr>
      </w:pPr>
    </w:p>
    <w:p>
      <w:pPr>
        <w:jc w:val="both"/>
        <w:ind w:firstLine="1304"/>
        <w:spacing w:after="0" w:line="246" w:lineRule="auto"/>
        <w:tabs>
          <w:tab w:leader="none" w:pos="1944"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other reserve or central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 xml:space="preserve">11.8 </w:t>
      </w:r>
      <w:r>
        <w:rPr>
          <w:rFonts w:ascii="Times New Roman" w:cs="Times New Roman" w:eastAsia="Times New Roman" w:hAnsi="Times New Roman"/>
          <w:sz w:val="19"/>
          <w:szCs w:val="19"/>
          <w:b w:val="1"/>
          <w:bCs w:val="1"/>
          <w:u w:val="single" w:color="auto"/>
          <w:color w:val="auto"/>
        </w:rPr>
        <w:t>Confidentiality</w:t>
      </w:r>
      <w:r>
        <w:rPr>
          <w:rFonts w:ascii="Times New Roman" w:cs="Times New Roman" w:eastAsia="Times New Roman" w:hAnsi="Times New Roman"/>
          <w:sz w:val="19"/>
          <w:szCs w:val="19"/>
          <w:color w:val="auto"/>
        </w:rPr>
        <w:t>. Each of the Administrative Agent, the Lenders and the Issuing Lender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(or no less restrictive than)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Facilities or (ii) the CUSIP Service Bureau or any similar agency in connection with the issuance and monitoring of CUSIP numbers with respect to the Facilities; (h) with the consent of the Borrower; (i) to the extent such Information (x) becomes publicly available other than as a result of a breach of this Section, (y) becomes available to the Administrative Agent, any Lender, the Issuing Lender or any of their respective Affiliates from a source other than the Borrower that is not known to be subject to a confidentiality obligation to any Loan Party or (z) is independently discovered or developed by a party hereto without utilizing any Information received from the Borrower or violating the terms of this Section; or (j) to the extent required by a potential or actual insurer or reinsurer in connection with providing insurance, reinsurance or credit risk mitigation coverage under which payments are to be made or may be made by reference to this Agreement. In addition, the Administrative Agent and the Lenders may disclose the existence of this Agreement and the information about this Agreement to market data collectors, similar service providers to the lending industry and service providers to the Administrative Agent, the Issuing Lender and the Lenders in connection with the administration of this Agreement, the other Loan Documents and the Commitments.</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For purposes of this Section, “Information” means all information received from the Borrower or any of its Subsidiaries relating to the Borrower or any of its Subsidiaries or any of their respective businesses, other than any such information that is available to the Administrative Agent, any Lender or the Issuing Lender on a nonconfidential basis prior to disclosure by the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8" w:name="page239"/>
    <w:bookmarkEnd w:id="238"/>
    <w:p>
      <w:pPr>
        <w:jc w:val="both"/>
        <w:spacing w:after="0" w:line="268" w:lineRule="auto"/>
        <w:rPr>
          <w:sz w:val="20"/>
          <w:szCs w:val="20"/>
          <w:color w:val="auto"/>
        </w:rPr>
      </w:pPr>
      <w:r>
        <w:rPr>
          <w:rFonts w:ascii="Times New Roman" w:cs="Times New Roman" w:eastAsia="Times New Roman" w:hAnsi="Times New Roman"/>
          <w:sz w:val="20"/>
          <w:szCs w:val="20"/>
          <w:color w:val="auto"/>
        </w:rPr>
        <w:t>same degree of care to maintain the confidentiality of such Information as such Person would accord to its own confidential information.</w:t>
      </w:r>
    </w:p>
    <w:p>
      <w:pPr>
        <w:spacing w:after="0" w:line="16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In addition to the foregoing, the Administrative Agent and the Borrower hereby agree that, with the prior written consent of the Borrower (such consent not to be unreasonably conditioned, withheld or delayed), the Administrative Agent may, in its discretion, place advertisements in financial and other newspapers and periodicals, and on a home page or similar place for dissemination of information on the Internet or worldwide web. The Borrower hereby agrees that the Administrative Agent may, in its discretion and without any additional consent of or notice to the Borrower or any other Person, circulate and/or publish similar promotional materials after the Closing Date in the form of a “tombstone” or otherwise describing the names and including the logo(s) of the Borrower and its affiliates (or any of them), and/or the amount, type and Closing Date. All such advertisements and promotional materials shall be at the Administrative Agent’s expense.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b w:val="1"/>
          <w:bCs w:val="1"/>
          <w:u w:val="single" w:color="auto"/>
          <w:color w:val="auto"/>
        </w:rPr>
        <w:t>Counterparts; Integration; Effectiveness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7" w:lineRule="auto"/>
        <w:tabs>
          <w:tab w:leader="none" w:pos="1944"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75" w:lineRule="exact"/>
        <w:rPr>
          <w:rFonts w:ascii="Times New Roman" w:cs="Times New Roman" w:eastAsia="Times New Roman" w:hAnsi="Times New Roman"/>
          <w:sz w:val="19"/>
          <w:szCs w:val="19"/>
          <w:color w:val="auto"/>
        </w:rPr>
      </w:pPr>
    </w:p>
    <w:p>
      <w:pPr>
        <w:jc w:val="both"/>
        <w:ind w:firstLine="1304"/>
        <w:spacing w:after="0" w:line="241" w:lineRule="auto"/>
        <w:tabs>
          <w:tab w:leader="none" w:pos="1944"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Execution of Loan Documents</w:t>
      </w:r>
      <w:r>
        <w:rPr>
          <w:rFonts w:ascii="Times New Roman" w:cs="Times New Roman" w:eastAsia="Times New Roman" w:hAnsi="Times New Roman"/>
          <w:sz w:val="20"/>
          <w:szCs w:val="20"/>
          <w:color w:val="auto"/>
        </w:rPr>
        <w:t>. The parties agree that the electronic signature of a party to this Agreement and any other Loan Document shall be as valid as an original signature of such party and shall be effective to bind such party to this Agreement or such other Loan Document. The parties agree that any electronically signed Loan Document (including this Agreement) shall be deemed (i) to be “written” or “in writing,” (ii) to have been signed and (iii) to constitute a record established and maintained in the ordinary course of business and an original written record when printed from electronic files. The parties presently intend to authenticate the Loan Documents to which they are a party by either signing such Loan Document or attaching thereto or logically associating therewith an electronic sound, symbol or process as their respective electronic signature. The words “execution,” “signed,” “signature,” and words of like import in this Agreement and any other Loan Document (including any Assignment and Assumption)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20"/>
          <w:szCs w:val="20"/>
          <w:b w:val="1"/>
          <w:bCs w:val="1"/>
          <w:u w:val="single" w:color="auto"/>
          <w:color w:val="auto"/>
        </w:rPr>
        <w:t>Choice of Law; Submission to Jurisdiction; Waiver of Venue; Service of Process; Waiver of Jury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Trial</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1304"/>
        <w:spacing w:after="0" w:line="254" w:lineRule="auto"/>
        <w:tabs>
          <w:tab w:leader="none" w:pos="1944"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39" w:name="page240"/>
    <w:bookmarkEnd w:id="239"/>
    <w:p>
      <w:pPr>
        <w:spacing w:after="0" w:line="268" w:lineRule="auto"/>
        <w:rPr>
          <w:sz w:val="20"/>
          <w:szCs w:val="20"/>
          <w:color w:val="auto"/>
        </w:rPr>
      </w:pPr>
      <w:r>
        <w:rPr>
          <w:rFonts w:ascii="Times New Roman" w:cs="Times New Roman" w:eastAsia="Times New Roman" w:hAnsi="Times New Roman"/>
          <w:sz w:val="20"/>
          <w:szCs w:val="20"/>
          <w:color w:val="auto"/>
        </w:rPr>
        <w:t>set forth therein) and the transactions contemplated hereby and thereby shall be governed by, and construed in accordance with, the law of the State of New York.</w:t>
      </w:r>
    </w:p>
    <w:p>
      <w:pPr>
        <w:spacing w:after="0" w:line="161" w:lineRule="exact"/>
        <w:rPr>
          <w:sz w:val="20"/>
          <w:szCs w:val="20"/>
          <w:color w:val="auto"/>
        </w:rPr>
      </w:pPr>
    </w:p>
    <w:p>
      <w:pPr>
        <w:jc w:val="both"/>
        <w:ind w:firstLine="1304"/>
        <w:spacing w:after="0"/>
        <w:tabs>
          <w:tab w:leader="none" w:pos="194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OF THE BORROWER AND OTHER LOAN PARTIES IRREVOCABLY AND UNCONDITIONALLY SUBMITS, FOR ITSELF AND ITS PROPERTY, TO THE NONEXCLUSIVE JURISDICTION OF THE COURTS OF THE STATE OF NEW YORK SITTING IN NEW YORK COUNTY AND OF THE UNITED STATES SOUTHERN DISTRICT COURT OF NEW YORK, SITTING IN NEW YORK COUNTY,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OR ANY LENDER OR THE ISSUING LENDER MAY OTHERWISE HAVE TO BRING ANY ACTION OR PROCEEDING RELATING TO THIS AGREEMENT OR ANY OTHER LOAN DOCUMENT AGAINST THE BORROWER OR ANY OTHER LOAN PARTY OR ITS PROPERTIES IN THE COURTS OF ANY JURISDICTION, (ii) 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LENDER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203"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xml:space="preserve">. EACH OF THE BORROWER AND OTHER LOAN PARTIES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EACH OF THE PARTIES HERETO HEREBY IRREVOCABLY WAIVES, TO THE FULLEST EXTENT PERMITTED BY APPLICABLE LAW, THE DEFENSE OF AN INCONVENIENT FORUM TO THE MAINTENANCE OF SUCH ACTION OR PROCEEDING IN ANY SUCH COURT AND AGREES NOT TO ASSERT ANY SUCH DEFENSE.</w:t>
      </w:r>
    </w:p>
    <w:p>
      <w:pPr>
        <w:spacing w:after="0" w:line="18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EACH PARTY HERETO IRREVOCABLY CONSENTS TO SERVICE OF PROCESS IN THE MANNER PROVIDED FOR NOTICES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0" w:name="page241"/>
    <w:bookmarkEnd w:id="240"/>
    <w:p>
      <w:pPr>
        <w:spacing w:after="0" w:line="268" w:lineRule="auto"/>
        <w:rPr>
          <w:sz w:val="20"/>
          <w:szCs w:val="20"/>
          <w:color w:val="auto"/>
        </w:rPr>
      </w:pP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61" w:lineRule="exact"/>
        <w:rPr>
          <w:sz w:val="20"/>
          <w:szCs w:val="20"/>
          <w:color w:val="auto"/>
        </w:rPr>
      </w:pPr>
    </w:p>
    <w:p>
      <w:pPr>
        <w:jc w:val="both"/>
        <w:ind w:firstLine="1304"/>
        <w:spacing w:after="0" w:line="242" w:lineRule="auto"/>
        <w:tabs>
          <w:tab w:leader="none" w:pos="1944"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b w:val="1"/>
          <w:bCs w:val="1"/>
          <w:u w:val="single" w:color="auto"/>
          <w:color w:val="auto"/>
        </w:rPr>
        <w:t>USA Patriot Act Notice</w:t>
      </w:r>
      <w:r>
        <w:rPr>
          <w:rFonts w:ascii="Times New Roman" w:cs="Times New Roman" w:eastAsia="Times New Roman" w:hAnsi="Times New Roman"/>
          <w:sz w:val="20"/>
          <w:szCs w:val="20"/>
          <w:color w:val="auto"/>
        </w:rPr>
        <w:t xml:space="preserve">. 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 The Borrower shall, promptly following a request by the Administrative Agent or any Lender, provide all documentation and other information that the Administrative Agent or such Lender requests in order to comply with its ongoing obligations under applicable </w:t>
      </w:r>
      <w:r>
        <w:rPr>
          <w:rFonts w:ascii="Times New Roman" w:cs="Times New Roman" w:eastAsia="Times New Roman" w:hAnsi="Times New Roman"/>
          <w:sz w:val="20"/>
          <w:szCs w:val="20"/>
          <w:color w:val="010101"/>
        </w:rPr>
        <w:t>Anti-Corruption Laws, Anti-Terrorism Laws and Sanctions, including the USA PATRIOT Act.</w:t>
      </w:r>
    </w:p>
    <w:p>
      <w:pPr>
        <w:spacing w:after="0" w:line="1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b w:val="1"/>
          <w:bCs w:val="1"/>
          <w:u w:val="single" w:color="auto"/>
          <w:color w:val="auto"/>
        </w:rPr>
        <w:t>Payments Set Aside</w:t>
      </w:r>
      <w:r>
        <w:rPr>
          <w:rFonts w:ascii="Times New Roman" w:cs="Times New Roman" w:eastAsia="Times New Roman" w:hAnsi="Times New Roman"/>
          <w:sz w:val="20"/>
          <w:szCs w:val="20"/>
          <w:color w:val="auto"/>
        </w:rPr>
        <w:t>. To the extent any Loan Party makes a payment or payments to the Administrative Agent for the ratable benefit of the Lenders or Secured Parties or the Administrative Agent receives any payment or proceeds of the Collateral which payments or proceeds or any part thereof are subsequently invalidated, declared to be fraudulent or preferential, set aside and/or required to be repaid to a trustee, receiver or any other party under any Insolvency Proceeding,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w:t>
      </w:r>
    </w:p>
    <w:p>
      <w:pPr>
        <w:spacing w:after="0" w:line="17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b w:val="1"/>
          <w:bCs w:val="1"/>
          <w:u w:val="single" w:color="auto"/>
          <w:color w:val="auto"/>
        </w:rPr>
        <w:t>Secured Bank Products and Secured Hedge Agreements</w:t>
      </w:r>
      <w:r>
        <w:rPr>
          <w:rFonts w:ascii="Times New Roman" w:cs="Times New Roman" w:eastAsia="Times New Roman" w:hAnsi="Times New Roman"/>
          <w:sz w:val="20"/>
          <w:szCs w:val="20"/>
          <w:color w:val="auto"/>
        </w:rPr>
        <w:t xml:space="preserve">. No Secured Party (other than the Administrative Agent) that obtains the benefit of the Guaranty set forth in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or of any security interest in any of the Collateral shall have any right to notice of any action or to consent to, direct or object to any action hereunder or under any other Loan Document (including the release, impairment or modification of any Guarantors’ Obligations or security therefor) other than in its capacity as a Lender and, in such case, only to the extent expressly provided in the Loan Documents. No Hedge Bank or provider of any Secured Bank Product shall have any voting rights hereunder or under any other Loan Document in its capacity as the provider of such Secured Hedge or Secured Bank Product. Notwithstanding any other provision of this Agreement to the contrary, the Administrative Agent shall only be required to verify the payment of, or that other reasonably satisfactory arrangements have been made with respect to, the Secured Obligations arising with respect to Secured Bank Products and Secured Hedges to the extent the Administrative Agent has received written notice of such Secured Obligations, together with such supporting documentation as it may request, from the applicable Lender (or its Affiliate) or Hedge Bank, as the case may be. Each Secured Party not a party to this Agreement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1" w:name="page242"/>
    <w:bookmarkEnd w:id="241"/>
    <w:p>
      <w:pPr>
        <w:jc w:val="both"/>
        <w:spacing w:after="0" w:line="249" w:lineRule="auto"/>
        <w:rPr>
          <w:sz w:val="20"/>
          <w:szCs w:val="20"/>
          <w:color w:val="auto"/>
        </w:rPr>
      </w:pPr>
      <w:r>
        <w:rPr>
          <w:rFonts w:ascii="Times New Roman" w:cs="Times New Roman" w:eastAsia="Times New Roman" w:hAnsi="Times New Roman"/>
          <w:sz w:val="20"/>
          <w:szCs w:val="20"/>
          <w:color w:val="auto"/>
        </w:rPr>
        <w:t>obtains the benefit of this Agreement or any other Loan Document shall be deemed to have acknowledged and accepted the appointment of the Administrative Agent pursuant to the terms of this Agreement, and acknowledges and agrees that the Administrative Agent is and shall be entitled to all the rights, benefits and immunities conferred under this Agreement with respect to each such Secured Party.</w:t>
      </w:r>
    </w:p>
    <w:p>
      <w:pPr>
        <w:spacing w:after="0" w:line="1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9"/>
          <w:szCs w:val="19"/>
          <w:color w:val="auto"/>
        </w:rPr>
        <w:t xml:space="preserve">11.14 </w:t>
      </w:r>
      <w:r>
        <w:rPr>
          <w:rFonts w:ascii="Times New Roman" w:cs="Times New Roman" w:eastAsia="Times New Roman" w:hAnsi="Times New Roman"/>
          <w:sz w:val="19"/>
          <w:szCs w:val="19"/>
          <w:b w:val="1"/>
          <w:bCs w:val="1"/>
          <w:u w:val="single" w:color="auto"/>
          <w:color w:val="auto"/>
        </w:rPr>
        <w:t>Interest Rate Limitation</w:t>
      </w:r>
      <w:r>
        <w:rPr>
          <w:rFonts w:ascii="Times New Roman" w:cs="Times New Roman" w:eastAsia="Times New Roman" w:hAnsi="Times New Roman"/>
          <w:sz w:val="19"/>
          <w:szCs w:val="19"/>
          <w:color w:val="auto"/>
        </w:rPr>
        <w:t>. Notwithstanding anything to the contrary contained in any Loan Document, the interest paid or agreed to be paid under the Loan Documents, together with all fees, charges and other amounts treated as interest under applicable Laws (collectively, “</w:t>
      </w:r>
      <w:r>
        <w:rPr>
          <w:rFonts w:ascii="Times New Roman" w:cs="Times New Roman" w:eastAsia="Times New Roman" w:hAnsi="Times New Roman"/>
          <w:sz w:val="19"/>
          <w:szCs w:val="19"/>
          <w:b w:val="1"/>
          <w:bCs w:val="1"/>
          <w:color w:val="auto"/>
        </w:rPr>
        <w:t>Charges</w:t>
      </w:r>
      <w:r>
        <w:rPr>
          <w:rFonts w:ascii="Times New Roman" w:cs="Times New Roman" w:eastAsia="Times New Roman" w:hAnsi="Times New Roman"/>
          <w:sz w:val="19"/>
          <w:szCs w:val="19"/>
          <w:color w:val="auto"/>
        </w:rPr>
        <w:t>”) shall not exceed the maximum rate of non-usurious interest permitted by applicable Law (the “</w:t>
      </w:r>
      <w:r>
        <w:rPr>
          <w:rFonts w:ascii="Times New Roman" w:cs="Times New Roman" w:eastAsia="Times New Roman" w:hAnsi="Times New Roman"/>
          <w:sz w:val="19"/>
          <w:szCs w:val="19"/>
          <w:b w:val="1"/>
          <w:bCs w:val="1"/>
          <w:color w:val="auto"/>
        </w:rPr>
        <w:t>Maximum Rate</w:t>
      </w:r>
      <w:r>
        <w:rPr>
          <w:rFonts w:ascii="Times New Roman" w:cs="Times New Roman" w:eastAsia="Times New Roman" w:hAnsi="Times New Roman"/>
          <w:sz w:val="19"/>
          <w:szCs w:val="19"/>
          <w:color w:val="auto"/>
        </w:rPr>
        <w:t>”). If the Administrative Agent or any Lender shall receive interest and Charges in an amount that exceeds the Maximum Rate, the excess interest and Charges shall be applied to the principal of the Loans or, if it exceeds such unpaid principal, refunded to the Borrower. In determining whether the interest and Charges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11.15 </w:t>
      </w:r>
      <w:r>
        <w:rPr>
          <w:rFonts w:ascii="Times New Roman" w:cs="Times New Roman" w:eastAsia="Times New Roman" w:hAnsi="Times New Roman"/>
          <w:sz w:val="20"/>
          <w:szCs w:val="20"/>
          <w:b w:val="1"/>
          <w:bCs w:val="1"/>
          <w:u w:val="single" w:color="auto"/>
          <w:color w:val="auto"/>
        </w:rPr>
        <w:t>FCC and PUC Compliance</w:t>
      </w:r>
      <w:r>
        <w:rPr>
          <w:rFonts w:ascii="Times New Roman" w:cs="Times New Roman" w:eastAsia="Times New Roman" w:hAnsi="Times New Roman"/>
          <w:sz w:val="20"/>
          <w:szCs w:val="20"/>
          <w:color w:val="auto"/>
        </w:rPr>
        <w:t>. Notwithstanding anything to the contrary in this Agreement and the other Loan Documents, no party hereto or thereto shall take any action under this Agreement or the other Loan Documents that would constitute or result in an assignment of any License, or a change of control or action of any Loan Party or Subsidiary directly holding a License or that is in control of a Person that holds a License, to the extent that such assignment or change of control would require the prior approval by the FCC under the Communications Act and/or any applicable PUC under the PUC Laws without first obtaining such required approval.</w:t>
      </w:r>
    </w:p>
    <w:p>
      <w:pPr>
        <w:spacing w:after="0" w:line="18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Upon any action to commence the exercise of remedies hereunder or under the other Loan Documents, each Loan Party hereby undertakes and agrees on behalf of itself, the other Loan Parties and the Subsidiaries of any Loan Party, to cooperate and join with the Administrative Agent, and cause the other Loan Parties and the Subsidiaries of any Loan Party, to cooperate and join with the Administrative Agent, in any application to any Governmental Authority which may be required in order to permit the Administrative Agent to exercise its rights and remedies under the Loan Documents and to provide such assistance in connection therewith as the Administrative Agent may request, including the preparation of, consenting to or joining in of filings and appearances of officers and employees of any Loan Party or any Subsidiary of any Loan Party before such Governmental Authority, in each case in support of any such application made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nothing herein shall be construed to require any of the Loan Parties nor any of the Subsidiaries of any Loan Party to, directly or indirectly, violate any terms or conditions of any License. The obligation of the Loan Parties to make all payments required to be made under this Agreement or any other Loan Document shall be absolute and unconditional; provided, however, in the event any portion of the debt, is disallowed under applicable Law or by action of the FCC or any PUC, then such disallowance shall be limited to the specific Loan Parties and Loan amounts impacted by such FCC or PUC action or required by applicable Law.</w:t>
      </w:r>
    </w:p>
    <w:p>
      <w:pPr>
        <w:spacing w:after="0" w:line="19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11.16 </w:t>
      </w:r>
      <w:r>
        <w:rPr>
          <w:rFonts w:ascii="Times New Roman" w:cs="Times New Roman" w:eastAsia="Times New Roman" w:hAnsi="Times New Roman"/>
          <w:sz w:val="20"/>
          <w:szCs w:val="20"/>
          <w:b w:val="1"/>
          <w:bCs w:val="1"/>
          <w:u w:val="single" w:color="auto"/>
          <w:color w:val="auto"/>
        </w:rPr>
        <w:t>Keepwell</w:t>
      </w:r>
      <w:r>
        <w:rPr>
          <w:rFonts w:ascii="Times New Roman" w:cs="Times New Roman" w:eastAsia="Times New Roman" w:hAnsi="Times New Roman"/>
          <w:sz w:val="20"/>
          <w:szCs w:val="20"/>
          <w:color w:val="auto"/>
        </w:rPr>
        <w:t xml:space="preserve">. Each Qualified ECP Guarantor hereby jointly and severally absolutely, unconditionally and irrevocably undertakes to provide such funds or other support to each other Loan Party as may be needed by such Loan Party from time to time to honor all of its obligations under this Agreement and the other Loan Documents to which it is a party with respect to Swap Obligations permitted under this Agreement that would, in the absence of the agreement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11.16</w:t>
      </w:r>
      <w:r>
        <w:rPr>
          <w:rFonts w:ascii="Times New Roman" w:cs="Times New Roman" w:eastAsia="Times New Roman" w:hAnsi="Times New Roman"/>
          <w:sz w:val="20"/>
          <w:szCs w:val="20"/>
          <w:color w:val="auto"/>
        </w:rPr>
        <w:t>, otherwise constitute Excluded Swap Obligations (but, in each case, only up to the maximum amount of such liability that can be hereby incurred without rendering such Qualified ECP Guarantors’ obligations and undertakings under this Section voidable under applicable Law relating to fraudulent conveyance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2" w:name="page243"/>
    <w:bookmarkEnd w:id="242"/>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fraudulent transfer, and not for any greater amount). The obligations, undertakings and guaranty of the Qualified ECP Guarantors under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shall remain in full force and effect until Payment In Full of the Obligations and termination of all the Commitments. The Borrower and the Qualified ECP Guarantors intend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Loan Party for all purposes of the Commodity Exchange Act.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 xml:space="preserve">11.17 </w:t>
      </w:r>
      <w:r>
        <w:rPr>
          <w:rFonts w:ascii="Times New Roman" w:cs="Times New Roman" w:eastAsia="Times New Roman" w:hAnsi="Times New Roman"/>
          <w:sz w:val="19"/>
          <w:szCs w:val="19"/>
          <w:b w:val="1"/>
          <w:bCs w:val="1"/>
          <w:u w:val="single" w:color="auto"/>
          <w:color w:val="auto"/>
        </w:rPr>
        <w:t>No Advisory or Fiduciary Responsibility</w:t>
      </w:r>
      <w:r>
        <w:rPr>
          <w:rFonts w:ascii="Times New Roman" w:cs="Times New Roman" w:eastAsia="Times New Roman" w:hAnsi="Times New Roman"/>
          <w:sz w:val="19"/>
          <w:szCs w:val="19"/>
          <w:color w:val="auto"/>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(a) (i) no fiduciary, advisory or agency relationship between such Loan Party and its Subsidiaries and the Arranger, the Administrative Agent, the Swing Line Lender, the Issuing Lender or any Lender is intended to be or has been created in respect of the transactions contemplated hereby or by the other Loan Documents, irrespective of whether the Arranger, the Administrative Agent, the Swing Line Lender, the Issuing Lender or any Lender has advised or is advising any Loan Party or any Subsidiary on other matters, (ii) the arranging and other services regarding this Agreement provided by the Arranger, the Administrative Agent, the Swing Line Lender, the Issuing Lender and the Lenders are arm’s-length commercial transactions between such Loan Party and its Affiliates, on the one hand, and the Arranger, the Administrative Agent, the Swing Line Lender, the Issuing Lender and the Lenders, on the other hand, (iii) such Loan Party has consulted its own legal, accounting, regulatory and tax advisors to the extent that it has deemed appropriate and (iv) such Loan Party is capable of evaluating, and understands and accepts, the terms, risks and conditions of the transactions contemplated hereby and by the other Loan Documents; and (b)</w:t>
      </w:r>
    </w:p>
    <w:p>
      <w:pPr>
        <w:spacing w:after="0" w:line="4" w:lineRule="exact"/>
        <w:rPr>
          <w:sz w:val="20"/>
          <w:szCs w:val="20"/>
          <w:color w:val="auto"/>
        </w:rPr>
      </w:pPr>
    </w:p>
    <w:p>
      <w:pPr>
        <w:jc w:val="both"/>
        <w:ind w:firstLine="8"/>
        <w:spacing w:after="0"/>
        <w:tabs>
          <w:tab w:leader="none" w:pos="242"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Arranger, the Administrative Agent, the Swing Line Lender, the Issuing Lender and the Lenders each is and has been acting solely as a principal and, except as expressly agreed in writing by the relevant parties, has not been, is not, and will not be acting as an advisor, agent or fiduciary for any Loan Party or any of its Affiliates, or any other Person; (ii) none of the Arranger, the Administrative Agent, the Swing Line Lender, the Issuing Lender and the Lenders has any obligation to any Loan Party or any of its Affiliates with respect to the transactions contemplated hereby except those obligations expressly set forth herein and in the other Loan Documents; and (iii) the Arranger, the Administrative Agent, the Swing Line Lender, the Issuing Lender and the Lenders and their respective Affiliates may be engaged, for their own accounts or the accounts of customers, in a broad range of transactions that involve interests that differ from those of such Loan Party and its Affiliates, and none of the Arranger, the Administrative Agent, the Swing Line Lender, the Issuing Lender and the Lenders has any obligation to disclose any of such interests to such Loan Party or its Affiliates. To the fullest extent permitted by Law, each Loan Party hereby waives and releases any claims that it may have against any of the Arranger, the Administrative Agent and the Lenders with respect to any breach or alleged breach of agency or fiduciary duty in connection with any aspect of any transaction contemplated hereby.</w:t>
      </w:r>
    </w:p>
    <w:p>
      <w:pPr>
        <w:spacing w:after="0" w:line="18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11.18 </w:t>
      </w:r>
      <w:r>
        <w:rPr>
          <w:rFonts w:ascii="Times New Roman" w:cs="Times New Roman" w:eastAsia="Times New Roman" w:hAnsi="Times New Roman"/>
          <w:sz w:val="20"/>
          <w:szCs w:val="20"/>
          <w:b w:val="1"/>
          <w:bCs w:val="1"/>
          <w:u w:val="single" w:color="auto"/>
          <w:color w:val="auto"/>
        </w:rPr>
        <w:t>Recovery of Erroneous Payments</w:t>
      </w:r>
      <w:r>
        <w:rPr>
          <w:rFonts w:ascii="Times New Roman" w:cs="Times New Roman" w:eastAsia="Times New Roman" w:hAnsi="Times New Roman"/>
          <w:sz w:val="20"/>
          <w:szCs w:val="20"/>
          <w:color w:val="auto"/>
        </w:rPr>
        <w:t>. Without limitation of any other provision in this Agreement, if at any time the Administrative Agent makes a payment hereunder in error to any Lender or the Issuing Lender (each, a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whether or not in respect of an Obligation due and owing by the Borrower at such time (any such payment,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then in any such event, each Lender Party receiving an Erroneous Payment severally agrees to repay to the Administrative Agent promptly upon demand the Erroneous Payment received by such Lender Party in immediately available funds (and in the currency so received), with interest thereon for each day from and including the date such Erroneous Payment is received by it to but excluding the date of payment to the Administrative Agent, at the greater of the Federal Funds Effective Rate and a rate determined by the Administrative Agent in accordance with banking industry rules on interbank compensation. Each Lender Party irrevocably waives any and all defenses, including any “discharge for value” (under which a creditor might otherwise claim a right to retain funds mistakenly paid by a third party in respect of a debt owed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3" w:name="page244"/>
    <w:bookmarkEnd w:id="243"/>
    <w:p>
      <w:pPr>
        <w:jc w:val="both"/>
        <w:spacing w:after="0" w:line="253" w:lineRule="auto"/>
        <w:rPr>
          <w:sz w:val="20"/>
          <w:szCs w:val="20"/>
          <w:color w:val="auto"/>
        </w:rPr>
      </w:pPr>
      <w:r>
        <w:rPr>
          <w:rFonts w:ascii="Times New Roman" w:cs="Times New Roman" w:eastAsia="Times New Roman" w:hAnsi="Times New Roman"/>
          <w:sz w:val="20"/>
          <w:szCs w:val="20"/>
          <w:color w:val="auto"/>
        </w:rPr>
        <w:t>another) or similar defense to its obligation to return any Erroneous Payment. The Administrative Agent shall inform each Lender Party promptly upon determining that any payment made to such Lender Party comprised, in whole or in part, an Erroneous Payment (and such determination shall be conclusive absent manifest error).</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11.19 </w:t>
      </w:r>
      <w:r>
        <w:rPr>
          <w:rFonts w:ascii="Times New Roman" w:cs="Times New Roman" w:eastAsia="Times New Roman" w:hAnsi="Times New Roman"/>
          <w:sz w:val="20"/>
          <w:szCs w:val="20"/>
          <w:b w:val="1"/>
          <w:bCs w:val="1"/>
          <w:u w:val="single" w:color="auto"/>
          <w:color w:val="auto"/>
        </w:rPr>
        <w:t>Acknowledgment and Consent to Bail-In of Affected Financial Institutions.</w:t>
      </w:r>
      <w:r>
        <w:rPr>
          <w:rFonts w:ascii="Times New Roman" w:cs="Times New Roman" w:eastAsia="Times New Roman" w:hAnsi="Times New Roman"/>
          <w:sz w:val="20"/>
          <w:szCs w:val="20"/>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4" w:lineRule="exact"/>
        <w:rPr>
          <w:sz w:val="20"/>
          <w:szCs w:val="20"/>
          <w:color w:val="auto"/>
        </w:rPr>
      </w:pPr>
    </w:p>
    <w:p>
      <w:pPr>
        <w:jc w:val="both"/>
        <w:ind w:firstLine="1304"/>
        <w:spacing w:after="0" w:line="254" w:lineRule="auto"/>
        <w:tabs>
          <w:tab w:leader="none" w:pos="1944"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jc w:val="center"/>
        <w:ind w:left="4040"/>
        <w:spacing w:after="0"/>
        <w:tabs>
          <w:tab w:leader="none" w:pos="280" w:val="left"/>
        </w:tabs>
        <w:rPr>
          <w:sz w:val="20"/>
          <w:szCs w:val="20"/>
          <w:color w:val="auto"/>
        </w:rPr>
      </w:pPr>
      <w:r>
        <w:rPr>
          <w:rFonts w:ascii="Times New Roman" w:cs="Times New Roman" w:eastAsia="Times New Roman" w:hAnsi="Times New Roman"/>
          <w:sz w:val="20"/>
          <w:szCs w:val="20"/>
          <w:b w:val="1"/>
          <w:bCs w:val="1"/>
          <w:color w:val="auto"/>
        </w:rPr>
        <w:t>XII.</w:t>
        <w:tab/>
        <w:t>GUARANTY</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b w:val="1"/>
          <w:bCs w:val="1"/>
          <w:u w:val="single" w:color="auto"/>
          <w:color w:val="auto"/>
        </w:rPr>
        <w:t>Guaranty</w:t>
      </w:r>
      <w:r>
        <w:rPr>
          <w:rFonts w:ascii="Times New Roman" w:cs="Times New Roman" w:eastAsia="Times New Roman" w:hAnsi="Times New Roman"/>
          <w:sz w:val="20"/>
          <w:szCs w:val="20"/>
          <w:color w:val="auto"/>
        </w:rPr>
        <w:t xml:space="preserve">. Each Guarantor hereby jointly and severally, unconditionally, absolutely, continually and irrevocably guarantees to the Administrative Agent for the benefit of the Secured Parties the payment and performance in full of the Guaranteed Liabilities. For all purposes of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notwithstanding the foregoing, the liability of each Guarantor individually with respect to its Guarantors’ Obligations shall be limited to an aggregate amount equal to the Maximum Guarantor Liability. Each Guarantor agrees that it is jointly and severally, directly and primarily liable (subject to the limitation in the immediately preceding sentence) for the Guaranteed Liabilities. The Guarantors’ Obligations are secured by various Collateral.</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color w:val="auto"/>
        </w:rPr>
        <w:t xml:space="preserve">. If the Borrower or any other Loan Party shall default in payment or performance of any of the Guaranteed Liabilities, whether principal, interest, premium, indemnification obligations, fees (including, but not limited to, attorney’s fees and expenses), expenses or otherwise, when and as the same shall become due, and after expiration of any applicable grace period, whether according to the terms of this Agreement, by acceleration, or otherwise, or upon the occurrence and during the continuance of any Event of Default, then any or all of the Guarantors will, upon demand thereof by the Administrative Agent, (i) fully pay to the Administrative Agent, for the benefit of the Secured Parties, an amount equal to all the Guaranteed Liabilities then due and owing or declared or deemed to be due and owing, including for this purpose, in the event of any Event of Default under </w:t>
      </w:r>
      <w:r>
        <w:rPr>
          <w:rFonts w:ascii="Times New Roman" w:cs="Times New Roman" w:eastAsia="Times New Roman" w:hAnsi="Times New Roman"/>
          <w:sz w:val="20"/>
          <w:szCs w:val="20"/>
          <w:u w:val="single" w:color="auto"/>
          <w:color w:val="auto"/>
        </w:rPr>
        <w:t>Section 9.1(l)</w:t>
      </w:r>
      <w:r>
        <w:rPr>
          <w:rFonts w:ascii="Times New Roman" w:cs="Times New Roman" w:eastAsia="Times New Roman" w:hAnsi="Times New Roman"/>
          <w:sz w:val="20"/>
          <w:szCs w:val="20"/>
          <w:color w:val="auto"/>
        </w:rPr>
        <w:t xml:space="preserve"> (and irrespective of the applicability of any restriction on acceleration or other action as against any other Loan Party in any Insolvency Proceeding), the entire outstanding or accrued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4" w:name="page245"/>
    <w:bookmarkEnd w:id="244"/>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all Secured Obligations or (ii) perform such Guaranteed Liabilities, as applicable. For purposes of this </w:t>
      </w:r>
      <w:r>
        <w:rPr>
          <w:rFonts w:ascii="Times New Roman" w:cs="Times New Roman" w:eastAsia="Times New Roman" w:hAnsi="Times New Roman"/>
          <w:sz w:val="20"/>
          <w:szCs w:val="20"/>
          <w:u w:val="single" w:color="auto"/>
          <w:color w:val="auto"/>
        </w:rPr>
        <w:t>Section 12.2</w:t>
      </w:r>
      <w:r>
        <w:rPr>
          <w:rFonts w:ascii="Times New Roman" w:cs="Times New Roman" w:eastAsia="Times New Roman" w:hAnsi="Times New Roman"/>
          <w:sz w:val="20"/>
          <w:szCs w:val="20"/>
          <w:color w:val="auto"/>
        </w:rPr>
        <w:t xml:space="preserve">, the Guarantors acknowledge and agree that “Guaranteed Liabilities” shall be deemed to include any amount (whether principal, interest, premium, fees, expenses, indemnification obligations and/or any other payment obligation of any kind or nature) which would have been accelerated in accordance with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but for the fact that such acceleration could be unenforceable or not allowable in any Insolvency Proceeding or otherwise under any applicable Law. Notwithstanding anything herein to the contrary, upon the occurrence and continuation of an Event of Default, then notwithstanding any Collateral or other direct or indirect security or credit support for the Guaranteed Liabilities, at the Administrative Agent’s election and without notice thereof or demand therefor, each of the Guaranteed Liabilities and the Guarantors’ Obligations shall immediately be and become due and payable.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b w:val="1"/>
          <w:bCs w:val="1"/>
          <w:u w:val="single" w:color="auto"/>
          <w:color w:val="auto"/>
        </w:rPr>
        <w:t>Absolute Rights and Obligations</w:t>
      </w:r>
      <w:r>
        <w:rPr>
          <w:rFonts w:ascii="Times New Roman" w:cs="Times New Roman" w:eastAsia="Times New Roman" w:hAnsi="Times New Roman"/>
          <w:sz w:val="20"/>
          <w:szCs w:val="20"/>
          <w:color w:val="auto"/>
        </w:rPr>
        <w:t xml:space="preserve">. This is a guaranty of payment and not of collection. The Guarantors’ Obligations under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shall be joint and several, absolute and unconditional irrespective of, and each Guarantor hereby expressly waives, to the extent not otherwise expressly prohibited by applicable Law, any defense to its obligations under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and all other Loan Documents to which it is a party by reason of:</w:t>
      </w:r>
    </w:p>
    <w:p>
      <w:pPr>
        <w:spacing w:after="0" w:line="180" w:lineRule="exact"/>
        <w:rPr>
          <w:sz w:val="20"/>
          <w:szCs w:val="20"/>
          <w:color w:val="auto"/>
        </w:rPr>
      </w:pPr>
    </w:p>
    <w:p>
      <w:pPr>
        <w:jc w:val="both"/>
        <w:ind w:firstLine="1304"/>
        <w:spacing w:after="0" w:line="246" w:lineRule="auto"/>
        <w:tabs>
          <w:tab w:leader="none" w:pos="19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legality, validity or enforceability of this Agreement, or any of the Notes, or any other Loan Document, or of any other agreement or instrument creating, providing security for, or otherwise relating to any of the Guarantors’ Obligations, any of the Guaranteed Liabilities, or any other guaranty of any of the Guaranteed Liabilities (the Loan Documents, the documentation with respect to any Other Liabilities and all such other agreements and instruments being collectively referred to as the “</w:t>
      </w:r>
      <w:r>
        <w:rPr>
          <w:rFonts w:ascii="Times New Roman" w:cs="Times New Roman" w:eastAsia="Times New Roman" w:hAnsi="Times New Roman"/>
          <w:sz w:val="20"/>
          <w:szCs w:val="20"/>
          <w:b w:val="1"/>
          <w:bCs w:val="1"/>
          <w:color w:val="auto"/>
        </w:rPr>
        <w:t>Related Agreements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taken under any of the Related Agreements, any exercise of any right or power therein conferred, any failure or omission to enforce any right conferred thereby, or any waiver of any covenant or condition therein provided;</w:t>
      </w:r>
    </w:p>
    <w:p>
      <w:pPr>
        <w:spacing w:after="0" w:line="174" w:lineRule="exact"/>
        <w:rPr>
          <w:rFonts w:ascii="Times New Roman" w:cs="Times New Roman" w:eastAsia="Times New Roman" w:hAnsi="Times New Roman"/>
          <w:sz w:val="20"/>
          <w:szCs w:val="20"/>
          <w:color w:val="auto"/>
        </w:rPr>
      </w:pPr>
    </w:p>
    <w:p>
      <w:pPr>
        <w:ind w:firstLine="1304"/>
        <w:spacing w:after="0" w:line="295" w:lineRule="auto"/>
        <w:tabs>
          <w:tab w:leader="none" w:pos="1944" w:val="left"/>
        </w:tabs>
        <w:numPr>
          <w:ilvl w:val="0"/>
          <w:numId w:val="2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acceleration of the maturity of any of the Guaranteed Liabilities, of the Guarantors’ Obligations of any other Guarantor, or of any other obligations or liabilities of any Person under any of the Related Agreements;</w:t>
      </w:r>
    </w:p>
    <w:p>
      <w:pPr>
        <w:spacing w:after="0" w:line="137" w:lineRule="exact"/>
        <w:rPr>
          <w:rFonts w:ascii="Times New Roman" w:cs="Times New Roman" w:eastAsia="Times New Roman" w:hAnsi="Times New Roman"/>
          <w:sz w:val="19"/>
          <w:szCs w:val="19"/>
          <w:color w:val="auto"/>
        </w:rPr>
      </w:pPr>
    </w:p>
    <w:p>
      <w:pPr>
        <w:jc w:val="both"/>
        <w:ind w:firstLine="1304"/>
        <w:spacing w:after="0" w:line="254" w:lineRule="auto"/>
        <w:tabs>
          <w:tab w:leader="none" w:pos="19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release, exchange, non-perfection, lapse in perfection, disposal, deterioration in value, or impairment of any security for any of the Guaranteed Liabilities, for any of the Guarantors’ Obligations of any Guarantor, or for any other obligations or liabilities of any Person under any of the Related Agreements;</w:t>
      </w:r>
    </w:p>
    <w:p>
      <w:pPr>
        <w:spacing w:after="0" w:line="17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corporate or limited liability company existence, structure or ownership, including dissolution, of the Borrower, any Guarantor, any other Loan Party or any other party to a Related Agreement, or the combination or consolidation of the Borrower, any Guarantor, any other Loan Party or any other party to a Related Agreement into or with another entity or any transfer or disposition of any assets of the Borrower, any Guarantor or any other Loan Party or any other party to a Related Agreement;</w:t>
      </w:r>
    </w:p>
    <w:p>
      <w:pPr>
        <w:spacing w:after="0" w:line="184" w:lineRule="exact"/>
        <w:rPr>
          <w:rFonts w:ascii="Times New Roman" w:cs="Times New Roman" w:eastAsia="Times New Roman" w:hAnsi="Times New Roman"/>
          <w:sz w:val="20"/>
          <w:szCs w:val="20"/>
          <w:color w:val="auto"/>
        </w:rPr>
      </w:pPr>
    </w:p>
    <w:p>
      <w:pPr>
        <w:jc w:val="both"/>
        <w:ind w:right="20" w:firstLine="1304"/>
        <w:spacing w:after="0" w:line="249" w:lineRule="auto"/>
        <w:tabs>
          <w:tab w:leader="none" w:pos="1944"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extension (including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5" w:name="page246"/>
    <w:bookmarkEnd w:id="245"/>
    <w:p>
      <w:pPr>
        <w:jc w:val="both"/>
        <w:ind w:firstLine="1304"/>
        <w:spacing w:after="0" w:line="253" w:lineRule="auto"/>
        <w:tabs>
          <w:tab w:leader="none" w:pos="194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addition, modification, termination, reduction or impairment of value, or release of any other guaranty (or security therefor) of the Guaranteed Liabilities (including the Guarantors’ Obligations of any other Guarantor and obligations arising under any other Guaranty or any other Loan Document now or hereafter in effect);</w:t>
      </w:r>
    </w:p>
    <w:p>
      <w:pPr>
        <w:spacing w:after="0" w:line="176"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waiver of, forbearance or indulgence under, or other consent to any change in or departure from any term or provision contained in this Agreement, any other Loan Document or any other Related Agreement, including any term pertaining to the payment or performance of any of the Guaranteed Liabilities, any of the Guarantors’ Obligations of any other Guarantor, or any of the obligations or liabilities of any party to any other Related Agreement;</w:t>
      </w:r>
    </w:p>
    <w:p>
      <w:pPr>
        <w:spacing w:after="0" w:line="179"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failure to assert any breach of or default under any Loan Document or with respect to the payment or performance of any of the Guaranteed Liabilities, any of the Guarantors’ Obligations of any Guarantor, or any of the obligations or liabilities of any party to any other Related Agreement; any extensions of credit in excess of the amount committed under or contemplated by the Loan Documents, or in circumstances in which any condition to such extensions of credit has not been satisfied; any other exercise or non-exercise, or any other failure, omission, breach, default, delay, or wrongful action in connection with any exercise or non-exercise, of any right or remedy against the Borrower, any other Loan Party or any other Person under or in connection with any Loan Document, any Related Agreement or any of the Guaranteed Liabilities or any Guarantors’ Obligation; any refusal of payment or performance of any of the Guaranteed Liabilities or any Guarantors’ Obligation, whether or not with any reservation of rights against any Guarantor; or any application of collections (including but not limited to collections resulting from realization upon any direct or indirect security for the Guaranteed Liabilities) to other obligations, if any, not entitled to the benefits of the Guaranty provided for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in preference to Guaranteed Liabilities or Guarantors’ Obligations entitled to the benefits of the Guaranty provided for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or if any collections are applied to the payment of Guaranteed Liabilities, any application to particular Guaranteed Liabilities;</w:t>
      </w:r>
    </w:p>
    <w:p>
      <w:pPr>
        <w:spacing w:after="0" w:line="19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taking, exchange, amendment, modification, waiver, supplement, termination, subordination, compromise, release, surrender, loss, or impairment of, or any failure to protect, perfect, or preserve the value of, or any enforcement of, realization upon, or exercise of rights, or remedies under or in connection with, or any failure, omission, breach, default, delay, or wrongful action by the Administrative Agent or the other Secured Parties, or any of them, or any other Person in connection with the enforcement of, realization upon, or exercise of rights or remedies under or in connection with, or, any other action or inaction by the Administrative Agent or the other Secured Parties, or any of them, or any other Person in respect of, any direct or indirect security for any of the Guaranteed Liabilities. As used in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XII</w:t>
      </w:r>
      <w:r>
        <w:rPr>
          <w:rFonts w:ascii="Times New Roman" w:cs="Times New Roman" w:eastAsia="Times New Roman" w:hAnsi="Times New Roman"/>
          <w:sz w:val="20"/>
          <w:szCs w:val="20"/>
          <w:color w:val="auto"/>
        </w:rPr>
        <w:t>, “direct or indirect security” for the Guaranteed Liabilities, and similar phrases, includes any collateral security, guaranty, suretyship, letter of credit, capital maintenance agreement, put option, subordination agreement, or other right or arrangement of any nature providing direct or indirect assurance of payment or performance of any of the Guaranteed Liabilities, made by or on behalf of any Person;</w:t>
      </w:r>
    </w:p>
    <w:p>
      <w:pPr>
        <w:spacing w:after="0" w:line="18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consolidation, liquidation, dissolution, winding-up, charter revocation, or forfeiture, or other change in, restructuring or termination of the corporate structure or existence of, the Borrower, any other Loan Party or any other Person; any bankruptcy, insolvency, reorganization or similar proceeding with respect to the Borrower, any other Loan Party or any other Person; or any action taken or election made by the Administrative Agent or the other Secured Parties, or any of them (including but not limited to any election under Section 1111(b)(2) of the Bankruptcy Code), the Borrower, any other Loan Party or any other Person in connection with any such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6" w:name="page247"/>
    <w:bookmarkEnd w:id="246"/>
    <w:p>
      <w:pPr>
        <w:jc w:val="both"/>
        <w:ind w:firstLine="1304"/>
        <w:spacing w:after="0" w:line="246" w:lineRule="auto"/>
        <w:tabs>
          <w:tab w:leader="none" w:pos="1944"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defense, set-off, or counterclaim which may at any time be available to or be asserted by the Borrower, any other Loan Party or any other Person with respect to any Loan Document, any of the Guaranteed Liabilities, any Guarantors’ Obligation, or with respect to any Related Agreement; or any discharge by operation of law or release of the Borrower, any other Loan Party or any other Person from the performance or observance of any Loan Document or any of the Guaranteed Liabilities or Guarantors’ Obligations;</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whatsoever (with or without notice to or knowledge of any Guarantor or any other Loan Party) which might in any manner or to any extent vary the risks of such Loan Party, or might otherwise constitute a legal or equitable defense available to, or discharge of, a surety or a guarantor, including any right to require or claim that resort be had to the Borrower or any other Loan Party or to any Collateral or other security in respect of the Guaranteed Liabilities or Guarantors’ Obligations.</w:t>
      </w:r>
    </w:p>
    <w:p>
      <w:pPr>
        <w:spacing w:after="0" w:line="18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It is the express purpose and intent of the parties hereto that this Guaranty, the Guaranteed Liabilities and the Guarantors’ Obligations hereunder and under each Joinder Agreement with respect hereto shall be absolute and unconditional under any and all circumstances and shall not be discharged except by payment and performance as herein provided.</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b w:val="1"/>
          <w:bCs w:val="1"/>
          <w:u w:val="single" w:color="auto"/>
          <w:color w:val="auto"/>
        </w:rPr>
        <w:t>Maximum Liability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5" w:lineRule="auto"/>
        <w:tabs>
          <w:tab w:leader="none" w:pos="1944"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provision to the contrary contained herein or in any other of the Loan Documents, to the extent any Guarantors’ Obligations shall be adjudicated to be invalid or unenforceable for any reason (including because of any applicable Law relating to fraudulent conveyances or transfers) then the obligations of each such Guarantor hereunder shall be limited to the maximum amount that is permissible under applicable Law (whether federal or state and including any Debtor Relief Law). Any analysis of the provisions hereof for purposes of laws relating to fraudulent conveyances or transfers shall take into account the contribution agreement established in </w:t>
      </w:r>
      <w:r>
        <w:rPr>
          <w:rFonts w:ascii="Times New Roman" w:cs="Times New Roman" w:eastAsia="Times New Roman" w:hAnsi="Times New Roman"/>
          <w:sz w:val="20"/>
          <w:szCs w:val="20"/>
          <w:u w:val="single" w:color="auto"/>
          <w:color w:val="auto"/>
        </w:rPr>
        <w:t>Section 12.5</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1952"/>
        <w:spacing w:after="0" w:line="273" w:lineRule="auto"/>
        <w:tabs>
          <w:tab w:leader="none" w:pos="2592"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Guarantor’s maximum obligations hereunder (the “</w:t>
      </w:r>
      <w:r>
        <w:rPr>
          <w:rFonts w:ascii="Times New Roman" w:cs="Times New Roman" w:eastAsia="Times New Roman" w:hAnsi="Times New Roman"/>
          <w:sz w:val="20"/>
          <w:szCs w:val="20"/>
          <w:b w:val="1"/>
          <w:bCs w:val="1"/>
          <w:color w:val="auto"/>
        </w:rPr>
        <w:t>Maximum Guarantor Liability</w:t>
      </w:r>
      <w:r>
        <w:rPr>
          <w:rFonts w:ascii="Times New Roman" w:cs="Times New Roman" w:eastAsia="Times New Roman" w:hAnsi="Times New Roman"/>
          <w:sz w:val="20"/>
          <w:szCs w:val="20"/>
          <w:color w:val="auto"/>
        </w:rPr>
        <w:t>”) in any case or proceeding referred to below (but only in such a case or proceeding) shall not be in excess of:</w:t>
      </w:r>
    </w:p>
    <w:p>
      <w:pPr>
        <w:spacing w:after="0" w:line="155" w:lineRule="exact"/>
        <w:rPr>
          <w:rFonts w:ascii="Times New Roman" w:cs="Times New Roman" w:eastAsia="Times New Roman" w:hAnsi="Times New Roman"/>
          <w:sz w:val="20"/>
          <w:szCs w:val="20"/>
          <w:color w:val="auto"/>
        </w:rPr>
      </w:pPr>
    </w:p>
    <w:p>
      <w:pPr>
        <w:jc w:val="both"/>
        <w:ind w:firstLine="2600"/>
        <w:spacing w:after="0" w:line="244" w:lineRule="auto"/>
        <w:tabs>
          <w:tab w:leader="none" w:pos="3240" w:val="left"/>
        </w:tabs>
        <w:numPr>
          <w:ilvl w:val="2"/>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or proceeding commenced by or against such Guarantor under the Bankruptcy Code on or within one year from the date on which any of the Guaranteed Liabilities are incurred, the maximum amount that would not otherwise cause the Guarantors’ Obligations of such Guarantor (or any other obligations of such Guarantor to Administrative Agent, Lenders and any other Person holding any of the Guaranteed Liabilities or the Guarantors’ Obligations) to be avoidable or unenforceable against such Guarantor under (A) Section 548 of the Bankruptcy Code or (B) any state fraudulent transfer or fraudulent conveyance act or statute applied in such case or proceeding by virtue of Section 544 of the Bankruptcy Code; or</w:t>
      </w:r>
    </w:p>
    <w:p>
      <w:pPr>
        <w:spacing w:after="0" w:line="185" w:lineRule="exact"/>
        <w:rPr>
          <w:rFonts w:ascii="Times New Roman" w:cs="Times New Roman" w:eastAsia="Times New Roman" w:hAnsi="Times New Roman"/>
          <w:sz w:val="20"/>
          <w:szCs w:val="20"/>
          <w:color w:val="auto"/>
        </w:rPr>
      </w:pPr>
    </w:p>
    <w:p>
      <w:pPr>
        <w:jc w:val="both"/>
        <w:ind w:firstLine="2600"/>
        <w:spacing w:after="0" w:line="244" w:lineRule="auto"/>
        <w:tabs>
          <w:tab w:leader="none" w:pos="3240" w:val="left"/>
        </w:tabs>
        <w:numPr>
          <w:ilvl w:val="2"/>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or proceeding commenced by or against such Guarantor under the Bankruptcy Code subsequent to one year from the date on which any of the Guaranteed Liabilities or Guarantors’ Obligations of such Guarantor are incurred, the maximum amount that would not otherwise cause the Guarantors’ Obligations of such Guarantor (or any other obligations of such Guarantor to Administrative Agent, Lenders and any other Person holding any of the Guaranteed Liabilities or the Guarantors’ Obligations) to be avoidable or unenforceable against such Guarantor under any state fraudulent transfer or fraudulent conveyance act or statute applied in any such case or proceeding by virtue of Section 544 of the Bankruptcy Code;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7" w:name="page248"/>
    <w:bookmarkEnd w:id="247"/>
    <w:p>
      <w:pPr>
        <w:jc w:val="both"/>
        <w:ind w:firstLine="2600"/>
        <w:spacing w:after="0" w:line="242" w:lineRule="auto"/>
        <w:tabs>
          <w:tab w:leader="none" w:pos="3240" w:val="left"/>
        </w:tabs>
        <w:numPr>
          <w:ilvl w:val="2"/>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or proceeding commenced by or against such Guarantor under any Debtor Relief Law other than the Bankruptcy Code, the maximum amount that would not otherwise cause the Guarantors’ Obligations of such Guarantor (or any other obligations of such Guarantor to Administrative Agent, Lenders and any other Person holding any of the Guaranteed Liabilities or the Guarantors’ Obligations) to be avoidable or unenforceable against such Guarantor under such Debtor Relief Law, including any state fraudulent transfer or fraudulent conveyance act or statute applied in any such case or proceeding. (The substantive state or federal laws under which the possible avoidance or unenforceability of the Guarantors’ Obligations of such Guarantor (or any other obligations of such Guarantor to Administrative Agent, Lenders and any other Person holding any of the Guaranteed Liabilities or the Guarantors’ Obligations) shall be determined in any such case or proceeding shall hereinafter be referred to as the “</w:t>
      </w:r>
      <w:r>
        <w:rPr>
          <w:rFonts w:ascii="Times New Roman" w:cs="Times New Roman" w:eastAsia="Times New Roman" w:hAnsi="Times New Roman"/>
          <w:sz w:val="20"/>
          <w:szCs w:val="20"/>
          <w:b w:val="1"/>
          <w:bCs w:val="1"/>
          <w:color w:val="auto"/>
        </w:rPr>
        <w:t>Avoidance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Provisions</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92"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set forth above, but only to the extent that the Guarantors’ Obligations of such Guarantor or the transfers made by such Guarantor under the Collateral Documents to which it is a party, would otherwise be subject to avoidance under any Avoidance Provisions if such Guarantor is not deemed to have received valuable consideration, fair value, fair consideration or reasonably equivalent value for such transfers or obligations, or if such transfers or the Guarantors’ Obligations of such Guarantor would render such Guarantor insolvent, or leave such Guarantor with an unreasonably small capital or unreasonably small assets to conduct its business, or cause such Guarantor to have incurred debts (or to have intended to have incurred debts) beyond its ability to pay such debts as they mature, in each case as of the time any of such Guarantors’ Obligations are deemed to have been incurred and transfers made under such Avoidance Provisions, then such Guarantors’ Obligations shall be reduced to that amount which, after giving effect thereto, would not cause the Guarantors’ Obligations of such Guarantor (or any other obligations of such Guarantor to Administrative Agent, Lenders and any other Person holding any of the Guaranteed Liabilities or the Guarantors’ Obligations), as so reduced, to be subject to avoidance under such Avoidance Provisions. This paragraph is intended solely to preserve the rights hereunder of Administrative Agent, Lenders and any other Person holding any of the Guaranteed Liabilities to the maximum extent that would not cause such Guarantors’ Obligations to be subject to avoidance under any Avoidance Provisions, and neither such Guarantor nor any other Person shall have any right, defense, offset, or claim under this paragraph as against Administrative Agent, Lenders or any other Person holding any of the Guaranteed Liabilities or the Guarantors’ Obligations that would not otherwise be available to such Person under the Avoidance Provisions.</w:t>
      </w:r>
    </w:p>
    <w:p>
      <w:pPr>
        <w:spacing w:after="0" w:line="191"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agrees that the Guarantors’ Obligations of such Guarantor may at any time and from time to time exceed the Maximum Guarantor Liability, without impairing the guaranty or any provision contained herein or affecting the rights and remedies of Administrative Agent hereunder.</w:t>
      </w:r>
    </w:p>
    <w:p>
      <w:pPr>
        <w:spacing w:after="0" w:line="17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b w:val="1"/>
          <w:bCs w:val="1"/>
          <w:u w:val="single" w:color="auto"/>
          <w:color w:val="auto"/>
        </w:rPr>
        <w:t>Contribution Agreement</w:t>
      </w:r>
      <w:r>
        <w:rPr>
          <w:rFonts w:ascii="Times New Roman" w:cs="Times New Roman" w:eastAsia="Times New Roman" w:hAnsi="Times New Roman"/>
          <w:sz w:val="20"/>
          <w:szCs w:val="20"/>
          <w:color w:val="auto"/>
        </w:rPr>
        <w:t>. To the extent that any Guarantor shall be required hereunder to pay any portion of any Guaranteed Liability or Guarantors’ Obligation exceeding the greater of (i) the amount of the value actually received by such Guarantor and its Subsidiaries from the Loans and other Guaranteed Liabilities and Guarantors’ Obligations and (ii) the amount such Guarantor would otherwise have paid if such Guarantor had paid the aggregate amount of the Guaranteed Liabilities and Guarantors’ Obligations (excluding the amount thereof repaid by the Borrower) in the same proportion as such Guarantor’s net worth on the date enforcement is sought hereunder bears to the aggregate net worth of all the Guarantors on such date, then such Guarantor shall be reimbursed by such other Guarantors for the amount of such excess, pro rata, based on the respective net worth of such other Guarantors on such date of enforcement. The contribution agreement in this paragraph is intended only to define the relative rights of the Guarantors and nothing set forth in this paragraph is intended to or shall impair the obligations of the Guarantors, jointly and severally, to pay any amounts as and when the same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0"/>
          <w:szCs w:val="20"/>
          <w:color w:val="auto"/>
        </w:rPr>
        <w:t>become due and payable in accordance with the terms of this Agreement (up to the Maximum Guarantor Liability).</w:t>
      </w:r>
    </w:p>
    <w:p>
      <w:pPr>
        <w:spacing w:after="0" w:line="21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b w:val="1"/>
          <w:bCs w:val="1"/>
          <w:u w:val="single" w:color="auto"/>
          <w:color w:val="auto"/>
        </w:rPr>
        <w:t>Currency and Funds of Payment</w:t>
      </w:r>
      <w:r>
        <w:rPr>
          <w:rFonts w:ascii="Times New Roman" w:cs="Times New Roman" w:eastAsia="Times New Roman" w:hAnsi="Times New Roman"/>
          <w:sz w:val="20"/>
          <w:szCs w:val="20"/>
          <w:color w:val="auto"/>
        </w:rPr>
        <w:t>. All Guarantors’ Obligations for payment will be paid in lawful currency of the United States of America and in immediately available funds, regardless of any law, regulation or decree now or hereafter in effect that might in any manner affect the Guaranteed Liabilities, or the rights of any Secured Party with respect thereto as against the Borrower or any other Loan Party, or cause or permit to be invoked any alteration in the time, amount or manner of payment by the Borrower or any other Loan Party of any or all of the Guaranteed Liabilities.</w:t>
      </w:r>
    </w:p>
    <w:p>
      <w:pPr>
        <w:spacing w:after="0" w:line="18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b w:val="1"/>
          <w:bCs w:val="1"/>
          <w:u w:val="single" w:color="auto"/>
          <w:color w:val="auto"/>
        </w:rPr>
        <w:t>Subordination</w:t>
      </w:r>
      <w:r>
        <w:rPr>
          <w:rFonts w:ascii="Times New Roman" w:cs="Times New Roman" w:eastAsia="Times New Roman" w:hAnsi="Times New Roman"/>
          <w:sz w:val="20"/>
          <w:szCs w:val="20"/>
          <w:color w:val="auto"/>
        </w:rPr>
        <w:t>. For so long as this Agreement remains in effect, each Guarantor hereby unconditionally subordinates all present and future debts, liabilities or obligations now or hereafter owing to such Guarantor (a) of the Borrower, to the Payment In Full of the Guaranteed Liabilities, (b) of every other Guarantor (an “obligated guarantor”), to the Payment In Full of the Guarantors’ Obligations of such obligated guarantor, and (c) of each other Person now or hereafter constituting a Loan Party, to the Payment In Full of the obligations of such Loan Party owing to any Secured Party and arising under the Loan Documents or with respect to any Secured Bank Product or Secured Hedge. All amounts due under such subordinated debts, liabilities, or obligations shall, upon the occurrence and during the continuance of an Event of Default, be collected and, upon request by the Administrative Agent, paid over forthwith to the Administrative Agent for the benefit of the Secured Parties on account of the Guaranteed Liabilities, the Guarantors’ Obligations, or such other obligations, as applicable, and, after such request and pending such payment, shall be held by such Guarantor as agent and bailee of the Secured Parties separate and apart from all other funds, property and accounts of such Guarantor.</w:t>
      </w:r>
    </w:p>
    <w:p>
      <w:pPr>
        <w:spacing w:after="0" w:line="19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12.8 </w:t>
      </w:r>
      <w:r>
        <w:rPr>
          <w:rFonts w:ascii="Times New Roman" w:cs="Times New Roman" w:eastAsia="Times New Roman" w:hAnsi="Times New Roman"/>
          <w:sz w:val="20"/>
          <w:szCs w:val="20"/>
          <w:b w:val="1"/>
          <w:bCs w:val="1"/>
          <w:u w:val="single" w:color="auto"/>
          <w:color w:val="auto"/>
        </w:rPr>
        <w:t>Enforcement</w:t>
      </w:r>
      <w:r>
        <w:rPr>
          <w:rFonts w:ascii="Times New Roman" w:cs="Times New Roman" w:eastAsia="Times New Roman" w:hAnsi="Times New Roman"/>
          <w:sz w:val="20"/>
          <w:szCs w:val="20"/>
          <w:color w:val="auto"/>
        </w:rPr>
        <w:t xml:space="preserve">. Each Guarantor from time to time shall pay to the Administrative Agent for the benefit of the Secured Parties, on demand, at the Administrative Agent’s Principal Office or such other address as the Administrative Agent shall give notice of to such Guarantor, the Guarantors’ Obligations as they become or are declared due, and in the event such payment is not made forthwith, the Administrative Agent may proceed to suit against any one or more or all of the Guarantors. At the Administrative Agent’s election, one or more and successive or concurrent suits may be brought hereon by the Administrative Agent against any one or more or all of the Guarantors, whether or not suit has been commenced against the Borrower, any other Guarantor, or any other Person and whether or not the Secured Parties have taken or failed to take any other action to collect all or any portion of the Guaranteed Liabilities or have taken or failed to take any actions against any Collateral securing payment or performance of all or any portion of the Guaranteed Liabilities, and irrespective of any event, occurrence, or condition described in </w:t>
      </w:r>
      <w:r>
        <w:rPr>
          <w:rFonts w:ascii="Times New Roman" w:cs="Times New Roman" w:eastAsia="Times New Roman" w:hAnsi="Times New Roman"/>
          <w:sz w:val="20"/>
          <w:szCs w:val="20"/>
          <w:u w:val="single" w:color="auto"/>
          <w:color w:val="auto"/>
        </w:rPr>
        <w:t>Section 12.3.</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12.9 </w:t>
      </w:r>
      <w:r>
        <w:rPr>
          <w:rFonts w:ascii="Times New Roman" w:cs="Times New Roman" w:eastAsia="Times New Roman" w:hAnsi="Times New Roman"/>
          <w:sz w:val="19"/>
          <w:szCs w:val="19"/>
          <w:b w:val="1"/>
          <w:bCs w:val="1"/>
          <w:u w:val="single" w:color="auto"/>
          <w:color w:val="auto"/>
        </w:rPr>
        <w:t>Set-Off and Waiver</w:t>
      </w:r>
      <w:r>
        <w:rPr>
          <w:rFonts w:ascii="Times New Roman" w:cs="Times New Roman" w:eastAsia="Times New Roman" w:hAnsi="Times New Roman"/>
          <w:sz w:val="19"/>
          <w:szCs w:val="19"/>
          <w:color w:val="auto"/>
        </w:rPr>
        <w:t>. Each Guarantor waives any right to assert against any Secured Party as a defense, counterclaim, set-off, recoupment or cross claim in respect of its Guarantors’ Obligations, any defense (legal or equitable) or other claim which such Guarantor may now or at any time hereafter have against the Borrower or any other Loan Party or any or all of the Secured Parties without waiving any additional defenses, set-offs, counterclaims or other claims otherwise available to such Guarantor. Each Guarantor agrees that each Secured Party shall have a lien for all the Guarantors’ Obligations upon all deposits or deposit accounts, of any kind, or any interest in any deposits or deposit accounts, now or hereafter pledged, mortgaged, transferred or assigned to such Secured Party or otherwise in the possession or control of such Secured Party for any purpose (other than solely for safekeeping) for the account or benefit of such Guarantor, including any balance of any deposit account or of any credit of such Guarantor with the Secured Party, whether now existing or hereafter established, and hereby authorizes each Secured Party from and after the occurrence of an Event of Default at any time or times with or without prior notice to apply such balances or any part thereof to such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49" w:name="page250"/>
    <w:bookmarkEnd w:id="249"/>
    <w:p>
      <w:pPr>
        <w:spacing w:after="0" w:line="268" w:lineRule="auto"/>
        <w:rPr>
          <w:sz w:val="20"/>
          <w:szCs w:val="20"/>
          <w:color w:val="auto"/>
        </w:rPr>
      </w:pPr>
      <w:r>
        <w:rPr>
          <w:rFonts w:ascii="Times New Roman" w:cs="Times New Roman" w:eastAsia="Times New Roman" w:hAnsi="Times New Roman"/>
          <w:sz w:val="20"/>
          <w:szCs w:val="20"/>
          <w:color w:val="auto"/>
        </w:rPr>
        <w:t>Guarantors’ Obligations to the Secured Parties then due and in such amounts as provided for in this Agreement or otherwise as they may elect.</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19"/>
          <w:szCs w:val="19"/>
          <w:b w:val="1"/>
          <w:bCs w:val="1"/>
          <w:u w:val="single" w:color="auto"/>
          <w:color w:val="auto"/>
        </w:rPr>
        <w:t>Waiver of Notice; Subrogation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hereby waives to the extent not otherwise expressly prohibited by applicable Law notice of the following events or occurrences: (i) acceptance of the Guaranty set forth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(ii) the Lenders’ heretofore, now or from time to time hereafter making Loans and issuing Letters of Credit and otherwise loaning monies or giving or extending credit to or for the benefit of the Borrower or any other Loan Party, or otherwise entering into arrangements with any Loan Party giving rise to Guaranteed Liabilities, whether pursuant to this Agreement or the Notes or any other Loan Document or Related Agreement or any amendments, modifications, or supplements thereto, or replacements or extensions thereof; (iii) presentment, demand, default, non-payment, partial payment and protest; and (iv) any other event, condition, or occurrence described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Each Guarantor agrees that each Secured Party may heretofore, now or at any time hereafter do any or all of the foregoing in such manner, upon such terms and at such times as each Secured Party, in its sole and absolute discretion, deems advisable, without in any way or respect impairing, affecting, reducing or releasing such Guarantor from its Guarantors’ Obligations, and each Guarantor hereby consents to each and all of the foregoing events or occurrences.</w:t>
      </w:r>
    </w:p>
    <w:p>
      <w:pPr>
        <w:spacing w:after="0" w:line="187"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hereby agrees that payment or performance by such Guarantor of its Guarantors’ Obligations under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may be enforced by the Administrative Agent on behalf of the Secured Parties upon demand by the Administrative Agent to such Guarantor without the Administrative Agent being required, such Guarantor expressly waiving to the extent not otherwise expressly prohibited by applicable Law any right it may have to require the Administrative Agent, to (i) prosecute collection or seek to enforce or resort to any remedies against the Borrower or any other Guarantor or any other guarantor of the Guaranteed Liabilities, or (ii) seek to enforce or resort to any remedies with respect to any security interests, Liens or encumbrances granted to the Administrative Agent or any Lender or other party to a Related Agreement by the Borrower, any other Guarantor or any other Person on account of the Guaranteed Liabilities or any guaranty thereof, </w:t>
      </w:r>
      <w:r>
        <w:rPr>
          <w:rFonts w:ascii="Times New Roman" w:cs="Times New Roman" w:eastAsia="Times New Roman" w:hAnsi="Times New Roman"/>
          <w:sz w:val="20"/>
          <w:szCs w:val="20"/>
          <w:b w:val="1"/>
          <w:bCs w:val="1"/>
          <w:color w:val="auto"/>
        </w:rPr>
        <w:t>IT BEING EXPRESSLY UNDERSTOOD, ACKNOWLEDGED AND AGREED BY SUCH</w:t>
      </w: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GUARANTOR THAT DEMAND UNDER THE GUARANTY SET FORTH IN THIS ARTICLE XII MAY BE MADE BY THE ADMINISTRATIVE AGENT, AND THE PROVISIONS HEREOF ENFORCED BY THE ADMINISTRATIVE AGENT, EFFECTIVE AS OF THE FIRST DATE ANY EVENT OF DEFAULT OCCURS AND IS CONTINUING.</w:t>
      </w:r>
    </w:p>
    <w:p>
      <w:pPr>
        <w:spacing w:after="0" w:line="188"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further agrees that such Guarantor shall not exercise any of its rights of subrogation, reimbursement, contribution, indemnity or recourse to security for the Guaranteed Liabilities until at least ninety-five (95) days immediately following Payment In Full of the Secured Obligations shall have elapsed without the filing or commencement, by or against any Loan Party, of any state or federal action, suit, petition or proceeding seeking any reorganization, liquidation or other relief or arrangement in respect of creditors of, or the appointment of a receiver, liquidator, trustee or conservator in respect to, such Loan Party or its assets. If an amount shall be paid to any Guarantor on account of such rights at any time prior to Payment In Full of the Secured Obligations, such amount shall be held in trust for the benefit of the Secured Parties and shall forthwith be paid to the Administrative Agent, for the benefit of the Secured Parties, to be credited and applied upon the Guarantors’ Obligations, whether matured or unmatured, in accordance with the terms of this Agreement or otherwise as the Secured Parties may elect. The agreements in this subsection shall survive repayment of all of the Guarantors’ Obligations, the termination or expiration of this Agreement in any manner and occurrence of the Payment In Full of the Secured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0" w:name="page251"/>
    <w:bookmarkEnd w:id="250"/>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 xml:space="preserve">12.11 </w:t>
      </w:r>
      <w:r>
        <w:rPr>
          <w:rFonts w:ascii="Times New Roman" w:cs="Times New Roman" w:eastAsia="Times New Roman" w:hAnsi="Times New Roman"/>
          <w:sz w:val="19"/>
          <w:szCs w:val="19"/>
          <w:b w:val="1"/>
          <w:bCs w:val="1"/>
          <w:u w:val="single" w:color="auto"/>
          <w:color w:val="auto"/>
        </w:rPr>
        <w:t>No Stay</w:t>
      </w:r>
      <w:r>
        <w:rPr>
          <w:rFonts w:ascii="Times New Roman" w:cs="Times New Roman" w:eastAsia="Times New Roman" w:hAnsi="Times New Roman"/>
          <w:sz w:val="19"/>
          <w:szCs w:val="19"/>
          <w:color w:val="auto"/>
        </w:rPr>
        <w:t xml:space="preserve">. Without limitation of any other provision set forth in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if any declaration of default or acceleration or other exercise or condition to exercise of rights or remedies under or with respect to any Guarantors’ Obligation or any of the Guaranteed Liabilities shall at any time be stayed, enjoined, or prevented for any reason (including but not limited to stay or injunction resulting from the pendency against any Loan Party or any other Person of a bankruptcy, insolvency, reorganization or similar proceeding), the Guarantors agree that, for the purposes of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and their obligations hereunder, the Guarantors’ Obligations and the Guaranteed Liabilities shall be deemed to have been declared in default or accelerated, and such other exercise or conditions to exercise shall be deemed to have been taken or met.</w:t>
      </w:r>
    </w:p>
    <w:p>
      <w:pPr>
        <w:spacing w:after="0" w:line="17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12.12 </w:t>
      </w:r>
      <w:r>
        <w:rPr>
          <w:rFonts w:ascii="Times New Roman" w:cs="Times New Roman" w:eastAsia="Times New Roman" w:hAnsi="Times New Roman"/>
          <w:sz w:val="20"/>
          <w:szCs w:val="20"/>
          <w:b w:val="1"/>
          <w:bCs w:val="1"/>
          <w:u w:val="single" w:color="auto"/>
          <w:color w:val="auto"/>
        </w:rPr>
        <w:t>Additional Guarantors</w:t>
      </w:r>
      <w:r>
        <w:rPr>
          <w:rFonts w:ascii="Times New Roman" w:cs="Times New Roman" w:eastAsia="Times New Roman" w:hAnsi="Times New Roman"/>
          <w:sz w:val="20"/>
          <w:szCs w:val="20"/>
          <w:color w:val="auto"/>
        </w:rPr>
        <w:t>. At any time after the initial execution and delivery of this Agreement to the Administrative Agent and the Lenders, additional Persons may become parties to this Agreement and thereby acquire the duties and rights of being Guarantors hereunder by executing and delivering to the Administrative Agent and the Lenders a duly executed Joinder Agreement pursuant to this Agreement. No notice of the addition of any Guarantor shall be required to be given to any pre-existing Guarantor and each Guarantor hereby consents thereto.</w:t>
      </w:r>
    </w:p>
    <w:p>
      <w:pPr>
        <w:spacing w:after="0" w:line="18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b w:val="1"/>
          <w:bCs w:val="1"/>
          <w:u w:val="single" w:color="auto"/>
          <w:color w:val="auto"/>
        </w:rPr>
        <w:t>Reliance</w:t>
      </w:r>
      <w:r>
        <w:rPr>
          <w:rFonts w:ascii="Times New Roman" w:cs="Times New Roman" w:eastAsia="Times New Roman" w:hAnsi="Times New Roman"/>
          <w:sz w:val="20"/>
          <w:szCs w:val="20"/>
          <w:color w:val="auto"/>
        </w:rPr>
        <w:t xml:space="preserve">. Each Guarantor represents and warrants to the Administrative Agent, for the benefit of the Secured Parties, that: (a) such Guarantor has adequate means to obtain on a continuing basis (i) from the Borrower, information concerning the Loan Parties and the Loan Parties’ financial condition and affairs and (ii) from other reliable sources, such other information as it deems material in deciding to provide its Guaranty under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and any Joinder Agreement (“</w:t>
      </w:r>
      <w:r>
        <w:rPr>
          <w:rFonts w:ascii="Times New Roman" w:cs="Times New Roman" w:eastAsia="Times New Roman" w:hAnsi="Times New Roman"/>
          <w:sz w:val="20"/>
          <w:szCs w:val="20"/>
          <w:b w:val="1"/>
          <w:bCs w:val="1"/>
          <w:color w:val="auto"/>
        </w:rPr>
        <w:t>Other Information</w:t>
      </w:r>
      <w:r>
        <w:rPr>
          <w:rFonts w:ascii="Times New Roman" w:cs="Times New Roman" w:eastAsia="Times New Roman" w:hAnsi="Times New Roman"/>
          <w:sz w:val="20"/>
          <w:szCs w:val="20"/>
          <w:color w:val="auto"/>
        </w:rPr>
        <w:t>”), and has full and complete access to the Loan Parties’ books and records and to such Other Information; (b) such Guarantor is not relying on any Secured Party or its or their employees, directors, agents or other representatives or Affiliates, to provide any such information, now or in the future; (c) such Guarantor has been furnished with and reviewed the terms of such Loan Documents and Related Agreements as it has requested, is executing this Agreement (or the Joinder Agreement to which it is a party, as applicable) freely and deliberately, and understands the obligations and financial risk undertaken by providing its Guaranty under this Agreement; (d) such Guarantor has relied solely on the Guarantor’s own independent investigation, appraisal and analysis of the Borrower and the other Loan Parties, such Persons’ financial condition and affairs, the Other Information, and such other matters as it deems material in deciding to provide this Guaranty and is fully aware of the same; and (e) such Guarantor has not depended or relied on any Secured Party or its or their employees, directors, agents or other representatives or Affiliates, for any information whatsoever concerning the Borrower or the Borrower’s financial condition and affairs or any other matters material to such Guarantor’s decision to provide this Guaranty, or for any counseling, guidance, or special consideration or any promise therefor with respect to such decision. Each Guarantor agrees that no Secured Party has any duty or responsibility whatsoever, now or in the future, to provide to such Guarantor any information concerning the Borrower or any other Loan Party or such Persons’ financial condition and affairs, or any Other Information, other than as expressly provided herein, and that, if such Guarantor receives any such information from any Secured Party or its or their employees, directors, agents or other representatives or Affiliates, such Guarantor will independently verify the information and will not rely on any Secured Party or its or their employees, directors, agents or other representatives or Affiliates, with respect to such information.</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12.14</w:t>
      </w:r>
      <w:r>
        <w:rPr>
          <w:sz w:val="20"/>
          <w:szCs w:val="20"/>
          <w:color w:val="auto"/>
        </w:rPr>
        <w:tab/>
      </w:r>
      <w:r>
        <w:rPr>
          <w:rFonts w:ascii="Times New Roman" w:cs="Times New Roman" w:eastAsia="Times New Roman" w:hAnsi="Times New Roman"/>
          <w:sz w:val="19"/>
          <w:szCs w:val="19"/>
          <w:b w:val="1"/>
          <w:bCs w:val="1"/>
          <w:u w:val="single" w:color="auto"/>
          <w:color w:val="auto"/>
        </w:rPr>
        <w:t>Receipt of Credit Agreement, Other Loan Documents, Benefits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4" w:lineRule="auto"/>
        <w:tabs>
          <w:tab w:leader="none" w:pos="1944"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hereby acknowledges that it has received a copy of this Agreement and the other Loan Documents and each Guarantor certifies that the representations and warranties made therein with respect to such Guarantor are true and correct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51" w:name="page252"/>
    <w:bookmarkEnd w:id="251"/>
    <w:p>
      <w:pPr>
        <w:spacing w:after="0" w:line="268" w:lineRule="auto"/>
        <w:rPr>
          <w:sz w:val="20"/>
          <w:szCs w:val="20"/>
          <w:color w:val="auto"/>
        </w:rPr>
      </w:pPr>
      <w:r>
        <w:rPr>
          <w:rFonts w:ascii="Times New Roman" w:cs="Times New Roman" w:eastAsia="Times New Roman" w:hAnsi="Times New Roman"/>
          <w:sz w:val="20"/>
          <w:szCs w:val="20"/>
          <w:color w:val="auto"/>
        </w:rPr>
        <w:t>Further, each Guarantor acknowledges and agrees to perform, comply with, and be bound by all of the provisions of this Agreement and the other Loan Documents applicable to such Guarantor.</w:t>
      </w:r>
    </w:p>
    <w:p>
      <w:pPr>
        <w:spacing w:after="0" w:line="161" w:lineRule="exact"/>
        <w:rPr>
          <w:sz w:val="20"/>
          <w:szCs w:val="20"/>
          <w:color w:val="auto"/>
        </w:rPr>
      </w:pPr>
    </w:p>
    <w:p>
      <w:pPr>
        <w:jc w:val="both"/>
        <w:ind w:firstLine="1304"/>
        <w:spacing w:after="0" w:line="246" w:lineRule="auto"/>
        <w:tabs>
          <w:tab w:leader="none" w:pos="1944"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hereby acknowledges, represents, and warrants that it receives direct and indirect benefits by virtue of its affiliation with the Borrower and the other Guarantors and that it will receive direct and indirect benefits from the financing arrangements contemplated by this Agreement and that such benefits, together with the rights of contribution and subrogation that may arise in connection herewith are a reasonably equivalent exchange of value in return for providing the Guaranty set forth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2" w:name="page253"/>
    <w:bookmarkEnd w:id="25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 PAGE TO CREDIT AGREEMENT]</w:t>
      </w:r>
    </w:p>
    <w:p>
      <w:pPr>
        <w:spacing w:after="0" w:line="21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by their officers thereunto duly authorized, have executed this Agreement as of the day and year first above written.</w:t>
      </w:r>
    </w:p>
    <w:p>
      <w:pPr>
        <w:spacing w:after="0" w:line="16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i w:val="1"/>
          <w:iCs w:val="1"/>
          <w:color w:val="auto"/>
        </w:rPr>
        <w:t>BORROWER:</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ATN INTERNATIONAL, INC.</w:t>
      </w:r>
      <w:r>
        <w:rPr>
          <w:rFonts w:ascii="Times New Roman" w:cs="Times New Roman" w:eastAsia="Times New Roman" w:hAnsi="Times New Roman"/>
          <w:sz w:val="20"/>
          <w:szCs w:val="20"/>
          <w:color w:val="auto"/>
        </w:rPr>
        <w:t>, as the Borrower</w:t>
      </w:r>
    </w:p>
    <w:p>
      <w:pPr>
        <w:spacing w:after="0" w:line="23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color w:val="auto"/>
        </w:rPr>
        <w:t>Name: Justin D. Benincasa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3460750</wp:posOffset>
            </wp:positionH>
            <wp:positionV relativeFrom="paragraph">
              <wp:posOffset>-144780</wp:posOffset>
            </wp:positionV>
            <wp:extent cx="28371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20"/>
          <w:szCs w:val="20"/>
          <w:color w:val="auto"/>
        </w:rPr>
        <w:t>Title:  Chief Executive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1062990</wp:posOffset>
            </wp:positionV>
            <wp:extent cx="629221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53" w:name="page254"/>
    <w:bookmarkEnd w:id="253"/>
    <w:p>
      <w:pPr>
        <w:jc w:val="center"/>
        <w:spacing w:after="0"/>
        <w:rPr>
          <w:sz w:val="20"/>
          <w:szCs w:val="20"/>
          <w:color w:val="auto"/>
        </w:rPr>
      </w:pPr>
      <w:r>
        <w:rPr>
          <w:rFonts w:ascii="Times New Roman" w:cs="Times New Roman" w:eastAsia="Times New Roman" w:hAnsi="Times New Roman"/>
          <w:sz w:val="19"/>
          <w:szCs w:val="19"/>
          <w:b w:val="1"/>
          <w:bCs w:val="1"/>
          <w:color w:val="auto"/>
        </w:rPr>
        <w:t>[SIGNATURE PAGE TO CREDIT AGREEMENT]</w:t>
      </w:r>
    </w:p>
    <w:p>
      <w:pPr>
        <w:spacing w:after="0" w:line="24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i w:val="1"/>
          <w:iCs w:val="1"/>
          <w:color w:val="auto"/>
        </w:rPr>
        <w:t>GUARANTORS:</w:t>
      </w:r>
    </w:p>
    <w:p>
      <w:pPr>
        <w:spacing w:after="0" w:line="21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COMMNET WIRELESS, LLC</w:t>
      </w:r>
    </w:p>
    <w:p>
      <w:pPr>
        <w:spacing w:after="0" w:line="2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COMMNET FOUR CORNERS,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AZ,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NM,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NEVADA SUBCO,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WIRELESS SUBCO,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OF ARIZONA,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RURAL AMERICA,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TOWERS,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FIBER SOLUTIONS, LLC</w:t>
      </w:r>
    </w:p>
    <w:p>
      <w:pPr>
        <w:ind w:left="4660"/>
        <w:spacing w:after="0"/>
        <w:rPr>
          <w:sz w:val="20"/>
          <w:szCs w:val="20"/>
          <w:color w:val="auto"/>
        </w:rPr>
      </w:pPr>
      <w:r>
        <w:rPr>
          <w:rFonts w:ascii="Times New Roman" w:cs="Times New Roman" w:eastAsia="Times New Roman" w:hAnsi="Times New Roman"/>
          <w:sz w:val="20"/>
          <w:szCs w:val="20"/>
          <w:b w:val="1"/>
          <w:bCs w:val="1"/>
          <w:color w:val="auto"/>
        </w:rPr>
        <w:t>GILA COUNTY WIRELESS, LLC</w:t>
      </w:r>
    </w:p>
    <w:p>
      <w:pPr>
        <w:ind w:left="4660"/>
        <w:spacing w:after="0"/>
        <w:rPr>
          <w:sz w:val="20"/>
          <w:szCs w:val="20"/>
          <w:color w:val="auto"/>
        </w:rPr>
      </w:pPr>
      <w:r>
        <w:rPr>
          <w:rFonts w:ascii="Times New Roman" w:cs="Times New Roman" w:eastAsia="Times New Roman" w:hAnsi="Times New Roman"/>
          <w:sz w:val="20"/>
          <w:szCs w:val="20"/>
          <w:b w:val="1"/>
          <w:bCs w:val="1"/>
          <w:color w:val="auto"/>
        </w:rPr>
        <w:t>EXCOMM,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OF NEVADA, LLC</w:t>
      </w:r>
    </w:p>
    <w:p>
      <w:pPr>
        <w:ind w:left="4660"/>
        <w:spacing w:after="0"/>
        <w:rPr>
          <w:sz w:val="20"/>
          <w:szCs w:val="20"/>
          <w:color w:val="auto"/>
        </w:rPr>
      </w:pPr>
      <w:r>
        <w:rPr>
          <w:rFonts w:ascii="Times New Roman" w:cs="Times New Roman" w:eastAsia="Times New Roman" w:hAnsi="Times New Roman"/>
          <w:sz w:val="20"/>
          <w:szCs w:val="20"/>
          <w:b w:val="1"/>
          <w:bCs w:val="1"/>
          <w:color w:val="auto"/>
        </w:rPr>
        <w:t>TISDALE TELEPHONE COMPANY,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OF GEORGIA,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NEWCO, LLC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OF TEXAS, LLC</w:t>
      </w:r>
    </w:p>
    <w:p>
      <w:pPr>
        <w:ind w:left="4660"/>
        <w:spacing w:after="0"/>
        <w:rPr>
          <w:sz w:val="20"/>
          <w:szCs w:val="20"/>
          <w:color w:val="auto"/>
        </w:rPr>
      </w:pPr>
      <w:r>
        <w:rPr>
          <w:rFonts w:ascii="Times New Roman" w:cs="Times New Roman" w:eastAsia="Times New Roman" w:hAnsi="Times New Roman"/>
          <w:sz w:val="20"/>
          <w:szCs w:val="20"/>
          <w:b w:val="1"/>
          <w:bCs w:val="1"/>
          <w:color w:val="auto"/>
        </w:rPr>
        <w:t>ESSEXTEL, INC.</w:t>
      </w:r>
    </w:p>
    <w:p>
      <w:pPr>
        <w:ind w:left="4660"/>
        <w:spacing w:after="0"/>
        <w:rPr>
          <w:sz w:val="20"/>
          <w:szCs w:val="20"/>
          <w:color w:val="auto"/>
        </w:rPr>
      </w:pPr>
      <w:r>
        <w:rPr>
          <w:rFonts w:ascii="Times New Roman" w:cs="Times New Roman" w:eastAsia="Times New Roman" w:hAnsi="Times New Roman"/>
          <w:sz w:val="20"/>
          <w:szCs w:val="20"/>
          <w:b w:val="1"/>
          <w:bCs w:val="1"/>
          <w:color w:val="auto"/>
        </w:rPr>
        <w:t>TISDALE NEBRASKA, LLC</w:t>
      </w:r>
    </w:p>
    <w:p>
      <w:pPr>
        <w:ind w:left="4660"/>
        <w:spacing w:after="0"/>
        <w:rPr>
          <w:sz w:val="20"/>
          <w:szCs w:val="20"/>
          <w:color w:val="auto"/>
        </w:rPr>
      </w:pPr>
      <w:r>
        <w:rPr>
          <w:rFonts w:ascii="Times New Roman" w:cs="Times New Roman" w:eastAsia="Times New Roman" w:hAnsi="Times New Roman"/>
          <w:sz w:val="20"/>
          <w:szCs w:val="20"/>
          <w:b w:val="1"/>
          <w:bCs w:val="1"/>
          <w:color w:val="auto"/>
        </w:rPr>
        <w:t>SAL SPECTRUM LLC</w:t>
      </w:r>
    </w:p>
    <w:p>
      <w:pPr>
        <w:ind w:left="4660"/>
        <w:spacing w:after="0"/>
        <w:rPr>
          <w:sz w:val="20"/>
          <w:szCs w:val="20"/>
          <w:color w:val="auto"/>
        </w:rPr>
      </w:pPr>
      <w:r>
        <w:rPr>
          <w:rFonts w:ascii="Times New Roman" w:cs="Times New Roman" w:eastAsia="Times New Roman" w:hAnsi="Times New Roman"/>
          <w:sz w:val="19"/>
          <w:szCs w:val="19"/>
          <w:b w:val="1"/>
          <w:bCs w:val="1"/>
          <w:color w:val="auto"/>
        </w:rPr>
        <w:t>COMMNET FOUR CORNERS SUBCO, LLC</w:t>
      </w:r>
    </w:p>
    <w:p>
      <w:pPr>
        <w:spacing w:after="0" w:line="1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ATN VI, INC.</w:t>
      </w:r>
    </w:p>
    <w:p>
      <w:pPr>
        <w:ind w:left="4660"/>
        <w:spacing w:after="0"/>
        <w:rPr>
          <w:sz w:val="20"/>
          <w:szCs w:val="20"/>
          <w:color w:val="auto"/>
        </w:rPr>
      </w:pPr>
      <w:r>
        <w:rPr>
          <w:rFonts w:ascii="Times New Roman" w:cs="Times New Roman" w:eastAsia="Times New Roman" w:hAnsi="Times New Roman"/>
          <w:sz w:val="20"/>
          <w:szCs w:val="20"/>
          <w:b w:val="1"/>
          <w:bCs w:val="1"/>
          <w:color w:val="auto"/>
        </w:rPr>
        <w:t>CHOICE SPLASH, LLC</w:t>
      </w:r>
    </w:p>
    <w:p>
      <w:pPr>
        <w:ind w:left="4660"/>
        <w:spacing w:after="0"/>
        <w:rPr>
          <w:sz w:val="20"/>
          <w:szCs w:val="20"/>
          <w:color w:val="auto"/>
        </w:rPr>
      </w:pPr>
      <w:r>
        <w:rPr>
          <w:rFonts w:ascii="Times New Roman" w:cs="Times New Roman" w:eastAsia="Times New Roman" w:hAnsi="Times New Roman"/>
          <w:sz w:val="20"/>
          <w:szCs w:val="20"/>
          <w:b w:val="1"/>
          <w:bCs w:val="1"/>
          <w:color w:val="auto"/>
        </w:rPr>
        <w:t>WESTNET NEVADA, LLC</w:t>
      </w:r>
    </w:p>
    <w:p>
      <w:pPr>
        <w:ind w:left="4660"/>
        <w:spacing w:after="0"/>
        <w:rPr>
          <w:sz w:val="20"/>
          <w:szCs w:val="20"/>
          <w:color w:val="auto"/>
        </w:rPr>
      </w:pPr>
      <w:r>
        <w:rPr>
          <w:rFonts w:ascii="Times New Roman" w:cs="Times New Roman" w:eastAsia="Times New Roman" w:hAnsi="Times New Roman"/>
          <w:sz w:val="20"/>
          <w:szCs w:val="20"/>
          <w:b w:val="1"/>
          <w:bCs w:val="1"/>
          <w:color w:val="auto"/>
        </w:rPr>
        <w:t>ATN INTERNATIONAL SERVICES, LLC</w:t>
      </w:r>
    </w:p>
    <w:p>
      <w:pPr>
        <w:ind w:left="4660"/>
        <w:spacing w:after="0"/>
        <w:rPr>
          <w:sz w:val="20"/>
          <w:szCs w:val="20"/>
          <w:color w:val="auto"/>
        </w:rPr>
      </w:pPr>
      <w:r>
        <w:rPr>
          <w:rFonts w:ascii="Times New Roman" w:cs="Times New Roman" w:eastAsia="Times New Roman" w:hAnsi="Times New Roman"/>
          <w:sz w:val="20"/>
          <w:szCs w:val="20"/>
          <w:b w:val="1"/>
          <w:bCs w:val="1"/>
          <w:color w:val="auto"/>
        </w:rPr>
        <w:t>ATLANTIC TELE-NETWORK, LLC</w:t>
      </w:r>
    </w:p>
    <w:p>
      <w:pPr>
        <w:ind w:left="4660"/>
        <w:spacing w:after="0"/>
        <w:rPr>
          <w:sz w:val="20"/>
          <w:szCs w:val="20"/>
          <w:color w:val="auto"/>
        </w:rPr>
      </w:pPr>
      <w:r>
        <w:rPr>
          <w:rFonts w:ascii="Times New Roman" w:cs="Times New Roman" w:eastAsia="Times New Roman" w:hAnsi="Times New Roman"/>
          <w:sz w:val="20"/>
          <w:szCs w:val="20"/>
          <w:b w:val="1"/>
          <w:bCs w:val="1"/>
          <w:color w:val="auto"/>
        </w:rPr>
        <w:t>ALLOY, INC.</w:t>
      </w:r>
    </w:p>
    <w:p>
      <w:pPr>
        <w:ind w:left="4660"/>
        <w:spacing w:after="0"/>
        <w:rPr>
          <w:sz w:val="20"/>
          <w:szCs w:val="20"/>
          <w:color w:val="auto"/>
        </w:rPr>
      </w:pPr>
      <w:r>
        <w:rPr>
          <w:rFonts w:ascii="Times New Roman" w:cs="Times New Roman" w:eastAsia="Times New Roman" w:hAnsi="Times New Roman"/>
          <w:sz w:val="20"/>
          <w:szCs w:val="20"/>
          <w:b w:val="1"/>
          <w:bCs w:val="1"/>
          <w:color w:val="auto"/>
        </w:rPr>
        <w:t>COMMNET BROADBAND, LLC</w:t>
      </w:r>
    </w:p>
    <w:p>
      <w:pPr>
        <w:ind w:left="4660"/>
        <w:spacing w:after="0"/>
        <w:rPr>
          <w:sz w:val="20"/>
          <w:szCs w:val="20"/>
          <w:color w:val="auto"/>
        </w:rPr>
      </w:pPr>
      <w:r>
        <w:rPr>
          <w:rFonts w:ascii="Times New Roman" w:cs="Times New Roman" w:eastAsia="Times New Roman" w:hAnsi="Times New Roman"/>
          <w:sz w:val="20"/>
          <w:szCs w:val="20"/>
          <w:b w:val="1"/>
          <w:bCs w:val="1"/>
          <w:color w:val="auto"/>
        </w:rPr>
        <w:t>SACRED WIND ENTERPRISES, INC.</w:t>
      </w:r>
    </w:p>
    <w:p>
      <w:pPr>
        <w:spacing w:after="0" w:line="200" w:lineRule="exact"/>
        <w:rPr>
          <w:sz w:val="20"/>
          <w:szCs w:val="20"/>
          <w:color w:val="auto"/>
        </w:rPr>
      </w:pPr>
    </w:p>
    <w:p>
      <w:pPr>
        <w:spacing w:after="0" w:line="2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Name: Justin D. Benincasa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-144780</wp:posOffset>
            </wp:positionV>
            <wp:extent cx="2837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ind w:left="4660"/>
        <w:spacing w:after="0"/>
        <w:rPr>
          <w:sz w:val="20"/>
          <w:szCs w:val="20"/>
          <w:color w:val="auto"/>
        </w:rPr>
      </w:pPr>
      <w:r>
        <w:rPr>
          <w:rFonts w:ascii="Times New Roman" w:cs="Times New Roman" w:eastAsia="Times New Roman" w:hAnsi="Times New Roman"/>
          <w:sz w:val="20"/>
          <w:szCs w:val="20"/>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1062990</wp:posOffset>
            </wp:positionV>
            <wp:extent cx="629221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9"/>
          <w:szCs w:val="19"/>
          <w:b w:val="1"/>
          <w:bCs w:val="1"/>
          <w:color w:val="auto"/>
        </w:rPr>
        <w:t>[SIGNATURE PAGE TO CREDIT AGREEMENT]</w:t>
      </w:r>
    </w:p>
    <w:p>
      <w:pPr>
        <w:spacing w:after="0" w:line="22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9"/>
          <w:szCs w:val="19"/>
          <w:b w:val="1"/>
          <w:bCs w:val="1"/>
          <w:color w:val="auto"/>
        </w:rPr>
        <w:t>COBANK, ACB</w:t>
      </w:r>
      <w:r>
        <w:rPr>
          <w:rFonts w:ascii="Times New Roman" w:cs="Times New Roman" w:eastAsia="Times New Roman" w:hAnsi="Times New Roman"/>
          <w:sz w:val="19"/>
          <w:szCs w:val="19"/>
          <w:color w:val="auto"/>
        </w:rPr>
        <w:t>, as Administrative Agent, Issuing</w:t>
      </w:r>
    </w:p>
    <w:p>
      <w:pPr>
        <w:spacing w:after="0" w:line="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Lender, Swing Line Lender and as a Lender</w:t>
      </w:r>
    </w:p>
    <w:p>
      <w:pPr>
        <w:spacing w:after="0" w:line="20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By:</w:t>
      </w:r>
    </w:p>
    <w:p>
      <w:pPr>
        <w:spacing w:after="0" w:line="2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Name: Gary Franke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-144780</wp:posOffset>
            </wp:positionV>
            <wp:extent cx="28371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ind w:left="466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917575</wp:posOffset>
            </wp:positionV>
            <wp:extent cx="629221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5" w:name="page256"/>
    <w:bookmarkEnd w:id="255"/>
    <w:p>
      <w:pPr>
        <w:ind w:left="4480"/>
        <w:spacing w:after="0"/>
        <w:rPr>
          <w:sz w:val="20"/>
          <w:szCs w:val="20"/>
          <w:color w:val="auto"/>
        </w:rPr>
      </w:pPr>
      <w:r>
        <w:rPr>
          <w:rFonts w:ascii="Times New Roman" w:cs="Times New Roman" w:eastAsia="Times New Roman" w:hAnsi="Times New Roman"/>
          <w:sz w:val="22"/>
          <w:szCs w:val="22"/>
          <w:color w:val="111111"/>
        </w:rPr>
        <w:t>EXHIBIT D</w:t>
      </w:r>
    </w:p>
    <w:p>
      <w:pPr>
        <w:spacing w:after="0" w:line="200" w:lineRule="exact"/>
        <w:rPr>
          <w:sz w:val="20"/>
          <w:szCs w:val="20"/>
          <w:color w:val="auto"/>
        </w:rPr>
      </w:pPr>
    </w:p>
    <w:p>
      <w:pPr>
        <w:spacing w:after="0" w:line="38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1"/>
          <w:szCs w:val="21"/>
          <w:color w:val="111111"/>
        </w:rPr>
        <w:t>Conformed Credit Agreement (clean) (See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1012825</wp:posOffset>
            </wp:positionV>
            <wp:extent cx="629221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180" w:right="1440"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Conformed through First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17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by and among</w:t>
      </w:r>
    </w:p>
    <w:p>
      <w:pPr>
        <w:spacing w:after="0" w:line="18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b w:val="1"/>
          <w:bCs w:val="1"/>
          <w:color w:val="auto"/>
        </w:rPr>
        <w:t>ATN INTERNATIONAL, INC., as Borrower,</w:t>
      </w:r>
    </w:p>
    <w:p>
      <w:pPr>
        <w:spacing w:after="0" w:line="17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THE GUARANTORS PARTY HERETO,</w:t>
      </w:r>
    </w:p>
    <w:p>
      <w:pPr>
        <w:spacing w:after="0" w:line="17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0"/>
          <w:szCs w:val="20"/>
          <w:b w:val="1"/>
          <w:bCs w:val="1"/>
          <w:color w:val="auto"/>
        </w:rPr>
        <w:t>THE LENDERS PARTY HERETO</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COBANK, ACB, as Administrative Agent, Lead Arranger, Bookrunner, Issuing Lender and Swing</w:t>
      </w:r>
    </w:p>
    <w:p>
      <w:pPr>
        <w:spacing w:after="0" w:line="2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Line Lender,</w:t>
      </w:r>
    </w:p>
    <w:p>
      <w:pPr>
        <w:spacing w:after="0" w:line="14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FIFTH THIRD BANK, NATIONAL ASSOCIATION, as a Joint Lead Arranger, and</w:t>
      </w:r>
    </w:p>
    <w:p>
      <w:pPr>
        <w:spacing w:after="0" w:line="17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b w:val="1"/>
          <w:bCs w:val="1"/>
          <w:color w:val="auto"/>
        </w:rPr>
        <w:t>MUFG BANK, LTD., as a Joint Lead Arranger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0"/>
          <w:szCs w:val="20"/>
          <w:b w:val="1"/>
          <w:bCs w:val="1"/>
          <w:color w:val="auto"/>
        </w:rPr>
        <w:t>Dated as of July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925195</wp:posOffset>
            </wp:positionV>
            <wp:extent cx="629221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626" w:right="999" w:bottom="1440" w:gutter="0" w:footer="0" w:header="0"/>
        </w:sectPr>
      </w:pPr>
    </w:p>
    <w:bookmarkStart w:id="257" w:name="page258"/>
    <w:bookmarkEnd w:id="257"/>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TABLE OF CONTENTS</w:t>
            </w:r>
          </w:p>
        </w:tc>
        <w:tc>
          <w:tcPr>
            <w:tcW w:w="580" w:type="dxa"/>
            <w:vAlign w:val="bottom"/>
          </w:tcPr>
          <w:p>
            <w:pPr>
              <w:spacing w:after="0"/>
              <w:rPr>
                <w:sz w:val="19"/>
                <w:szCs w:val="19"/>
                <w:color w:val="auto"/>
              </w:rPr>
            </w:pPr>
          </w:p>
        </w:tc>
      </w:tr>
      <w:tr>
        <w:trPr>
          <w:trHeight w:val="480"/>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3380" w:type="dxa"/>
            <w:vAlign w:val="bottom"/>
          </w:tcPr>
          <w:p>
            <w:pPr>
              <w:spacing w:after="0"/>
              <w:rPr>
                <w:sz w:val="24"/>
                <w:szCs w:val="24"/>
                <w:color w:val="auto"/>
              </w:rPr>
            </w:pPr>
          </w:p>
        </w:tc>
        <w:tc>
          <w:tcPr>
            <w:tcW w:w="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Page</w:t>
            </w:r>
          </w:p>
        </w:tc>
      </w:tr>
      <w:tr>
        <w:trPr>
          <w:trHeight w:val="4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I.</w:t>
            </w:r>
          </w:p>
        </w:tc>
        <w:tc>
          <w:tcPr>
            <w:tcW w:w="8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CERTAIN DEFINITIONS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Certain Definitions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Construction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1.3</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Accounting Principles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1.4</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Rounding</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1.5</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Letter of Credit Amounts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1.6</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Covenant Compliance Generally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1.7</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Holidays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Divisions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r>
      <w:tr>
        <w:trPr>
          <w:trHeight w:val="4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II.</w:t>
            </w:r>
          </w:p>
        </w:tc>
        <w:tc>
          <w:tcPr>
            <w:tcW w:w="8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CREDIT FACILITIES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Term Loans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Revolving Loans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2.3</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Swing Line Loans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2.4</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2.5</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Incremental Facilities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2.6</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Interest Rate Provisions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2.7</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Interest Periods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Making of Loans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2.9</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Fees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2.10</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Notes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Letter of Credit Subfacility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Payments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2.13</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Interest Payment Dates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2.14</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Voluntary Prepayments and Reduction of Commitments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2.15</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Mandatory Prepayments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2.16</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Sharing of Payments by Lenders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2.17</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Defaulting Lenders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Cash Collateral</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2.19</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Extension of Applicable Maturity Date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w:t>
            </w:r>
          </w:p>
        </w:tc>
      </w:tr>
      <w:tr>
        <w:trPr>
          <w:trHeight w:val="4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III.</w:t>
            </w:r>
          </w:p>
        </w:tc>
        <w:tc>
          <w:tcPr>
            <w:tcW w:w="8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INCREASED COSTS; TAXES; ILLEGALITY; INDEMNITY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Increased Costs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Taxes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3.3</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Illegality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3.4</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Inability to Determine Rate; Cost; Interest After Default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3.5</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Indemnity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3.6</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Mitigation Obligations; Replacement of Lenders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3.7</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Benchmark Replacement Setting</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Survival</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4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IV.</w:t>
            </w:r>
          </w:p>
        </w:tc>
        <w:tc>
          <w:tcPr>
            <w:tcW w:w="8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CONDITIONS OF LENDING AND ISSUANCE OF LETTERS OF CREDIT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4.1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First Loans and Letters of Credit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4.2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Each Loan or Letter of Credit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99" w:right="999" w:bottom="1440" w:gutter="0" w:footer="0" w:header="0"/>
        </w:sectPr>
      </w:pPr>
    </w:p>
    <w:bookmarkStart w:id="258" w:name="page259"/>
    <w:bookmarkEnd w:id="258"/>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Page</w:t>
            </w:r>
          </w:p>
        </w:tc>
      </w:tr>
      <w:tr>
        <w:trPr>
          <w:trHeight w:val="4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V.</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REPRESENTATIONS AND WARRANTIES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Organization and Qualification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Compliance With Laws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Title to Properties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5.4</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Investment Company Act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5.5</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Event of Default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5.6</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Subsidiaries and Owners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5.7</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Power and Authority; Validity and Binding Effect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5.8</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No Conflict; Consents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5.9</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Litigation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5.10</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Margin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Full Disclosure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Taxes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5.14</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Intellectual Property; Other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5.15</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Liens in the Collateral</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5.16</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Insurance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5.17</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Employee Benefits Compliance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5.18</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Environmental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5.19</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Communications Regulatory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5.20</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Solvency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5.21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Qualified ECP Guarantor</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5.22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Transactions with Affiliates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5.23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Labor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5.24</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Anti-Corruption; Anti-Terrorism and Sanctions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5.25</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5.26</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Acquisition Not Subject to Exon Florio Provision of the Defense Production Act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4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VI.</w:t>
            </w:r>
          </w:p>
        </w:tc>
        <w:tc>
          <w:tcPr>
            <w:tcW w:w="89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AFFIRMATIVE COVENANTS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Reporting Requirements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Preservation of Existence, Etc</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6.4</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Payment of Taxes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6.5</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Insurance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6.6</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Maintenance of Properties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6.7</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Visitation Rights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6.8</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Keeping of Records and Books of Account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6.9</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Compliance with Laws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6.10</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Further Assurances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6.11</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CoBank Equity and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6.12</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6.13</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6.14</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6.15</w:t>
            </w:r>
          </w:p>
        </w:tc>
        <w:tc>
          <w:tcPr>
            <w:tcW w:w="83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Compliance with ERISA and IRC</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5380" w:type="dxa"/>
            <w:vAlign w:val="bottom"/>
            <w:gridSpan w:val="2"/>
          </w:tcPr>
          <w:p>
            <w:pPr>
              <w:jc w:val="center"/>
              <w:ind w:right="3380"/>
              <w:spacing w:after="0"/>
              <w:rPr>
                <w:sz w:val="20"/>
                <w:szCs w:val="20"/>
                <w:color w:val="auto"/>
              </w:rPr>
            </w:pPr>
            <w:r>
              <w:rPr>
                <w:rFonts w:ascii="Times New Roman" w:cs="Times New Roman" w:eastAsia="Times New Roman" w:hAnsi="Times New Roman"/>
                <w:sz w:val="20"/>
                <w:szCs w:val="20"/>
                <w:color w:val="auto"/>
                <w:w w:val="97"/>
              </w:rPr>
              <w:t>TABLE OF CONTENTS</w:t>
            </w:r>
          </w:p>
        </w:tc>
        <w:tc>
          <w:tcPr>
            <w:tcW w:w="580" w:type="dxa"/>
            <w:vAlign w:val="bottom"/>
          </w:tcPr>
          <w:p>
            <w:pPr>
              <w:spacing w:after="0"/>
              <w:rPr>
                <w:sz w:val="19"/>
                <w:szCs w:val="19"/>
                <w:color w:val="auto"/>
              </w:rPr>
            </w:pPr>
          </w:p>
        </w:tc>
      </w:tr>
      <w:tr>
        <w:trPr>
          <w:trHeight w:val="256"/>
        </w:trPr>
        <w:tc>
          <w:tcPr>
            <w:tcW w:w="3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(cont’d)</w:t>
            </w:r>
          </w:p>
        </w:tc>
        <w:tc>
          <w:tcPr>
            <w:tcW w:w="338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53"/>
        </w:trPr>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Page</w:t>
            </w:r>
          </w:p>
        </w:tc>
      </w:tr>
      <w:tr>
        <w:trPr>
          <w:trHeight w:val="430"/>
        </w:trPr>
        <w:tc>
          <w:tcPr>
            <w:tcW w:w="380" w:type="dxa"/>
            <w:vAlign w:val="bottom"/>
          </w:tcPr>
          <w:p>
            <w:pPr>
              <w:spacing w:after="0"/>
              <w:rPr>
                <w:sz w:val="24"/>
                <w:szCs w:val="24"/>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6.16</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6.17</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Designation of Subsidiaries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Post-Closing Obligations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430"/>
        </w:trPr>
        <w:tc>
          <w:tcPr>
            <w:tcW w:w="93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VII.  NEGATIVE COVENANTS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Indebtedness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Liens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7.3</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Affiliate Transactions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7.4</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Contingent Obligations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7.5</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Loans and Investments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7.6</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Dividends and Related Distributions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7.7</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Liquidations, Mergers, Consolidations, Acquisitions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Dispositions of Assets or Subsidiaries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7.9</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7.10</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Continuation of or Change in Business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Fiscal Year</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7.13</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7.14</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Changes in Organizational Documents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7.15</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Negative Pledges; Other Inconsistent Agreements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7.16</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7.17</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Management Fees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7.19</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7.20</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Reserved</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7.21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Anti-Corruption; Anti-Terrorism; Sanctions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7.22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Funding Program Deposit Accounts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430"/>
        </w:trPr>
        <w:tc>
          <w:tcPr>
            <w:tcW w:w="93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VIII. FINANCIAL COVENANTS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Maximum Total Net Leverage Ratio</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r>
      <w:tr>
        <w:trPr>
          <w:trHeight w:val="4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IX.</w:t>
            </w:r>
          </w:p>
        </w:tc>
        <w:tc>
          <w:tcPr>
            <w:tcW w:w="8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EVENTS OF DEFAULT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9.1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Events of Default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9.2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Consequences of Event of Default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9.3</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Right to Cure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w:t>
            </w:r>
          </w:p>
        </w:tc>
      </w:tr>
      <w:tr>
        <w:trPr>
          <w:trHeight w:val="430"/>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X.</w:t>
            </w:r>
          </w:p>
        </w:tc>
        <w:tc>
          <w:tcPr>
            <w:tcW w:w="896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THE ADMINISTRATIVE AGENT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10.1</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Appointment and Authority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10.2</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Rights as a Lender</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10.3</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No Fiduciary Duty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10.4</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Exculpation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10.5</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Reliance by the Administrative Agent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29"/>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10.6</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Delegation of Duties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30"/>
        </w:trPr>
        <w:tc>
          <w:tcPr>
            <w:tcW w:w="380" w:type="dxa"/>
            <w:vAlign w:val="bottom"/>
          </w:tcPr>
          <w:p>
            <w:pPr>
              <w:spacing w:after="0"/>
              <w:rPr>
                <w:sz w:val="19"/>
                <w:szCs w:val="19"/>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10.7</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Filing Proofs of Claim</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w:t>
            </w:r>
          </w:p>
        </w:tc>
      </w:tr>
      <w:tr>
        <w:trPr>
          <w:trHeight w:val="258"/>
        </w:trPr>
        <w:tc>
          <w:tcPr>
            <w:tcW w:w="380" w:type="dxa"/>
            <w:vAlign w:val="bottom"/>
          </w:tcPr>
          <w:p>
            <w:pPr>
              <w:spacing w:after="0"/>
              <w:rPr>
                <w:sz w:val="22"/>
                <w:szCs w:val="22"/>
                <w:color w:val="auto"/>
              </w:rPr>
            </w:pPr>
          </w:p>
        </w:tc>
        <w:tc>
          <w:tcPr>
            <w:tcW w:w="6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10.8</w:t>
            </w:r>
          </w:p>
        </w:tc>
        <w:tc>
          <w:tcPr>
            <w:tcW w:w="834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Resignation of the Administrative Agent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99" w:right="999" w:bottom="1440" w:gutter="0" w:footer="0" w:header="0"/>
        </w:sectPr>
      </w:pPr>
    </w:p>
    <w:bookmarkStart w:id="260" w:name="page261"/>
    <w:bookmarkEnd w:id="260"/>
    <w:p>
      <w:pPr>
        <w:jc w:val="center"/>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4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Page</w:t>
            </w:r>
          </w:p>
        </w:tc>
      </w:tr>
      <w:tr>
        <w:trPr>
          <w:trHeight w:val="4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10.9</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Resignation of Swing Line Lender or Issuing Lender</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10.10</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Non-Reliance on the Administrative Agent and Other Lenders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10.11</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Enforcement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10.12</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Other Duties, Etc</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10.13</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Authorization to Release Collateral and Loan Parties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10.14</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Compliance with Flood Laws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10.15</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Reliance on the Administrative Agent’s Customer Identification Program</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10.16</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Affiliates as Secured Parties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10.17</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ERISA Matters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r>
      <w:tr>
        <w:trPr>
          <w:trHeight w:val="258"/>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10.18</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Rate Disclaimer</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430"/>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XI.  MISCELLANEOUS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Modifications, Amendments or Waivers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11.2</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Implied Waivers; Cumulative Remedies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11.3</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Expenses; Indemnity; Damage Waiver</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11.4</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Notices; Effectiveness; Electronic Communication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11.5</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Severability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11.6</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Duration; Survival</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11.7</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Successors and Assigns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11.8</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Confidentiality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11.9</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Counterparts; Integration; Effectiveness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11.10</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Choice of Law; Submission to Jurisdiction; Waiver of Venue; Service of Process; Waiver of Jury Trial</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11.11</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USA Patriot Act Notice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11.12</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Payments Set Aside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11.13</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Secured Bank Products and Secured Hedge Agreements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11.14</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Interest Rate Limitation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11.15</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FCC and PUC Compliance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11.16</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Keepwell</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11.17</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Advisory or Fiduciary Responsibility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11.18</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Recovery of Erroneous Payments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58"/>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11.19</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Acknowledgment and Consent to Bail-In of Affected Financial Institutions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430"/>
        </w:trPr>
        <w:tc>
          <w:tcPr>
            <w:tcW w:w="93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XII.  GUARANTY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12.1</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Guaranty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12.2</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Payment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12.3</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Absolute Rights and Obligations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12.4</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Maximum Liability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12.5</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Contribution Agreement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29"/>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12.6</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Currency and Funds of Payment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12.7</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Subordination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12.8</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Enforcement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30"/>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12.9</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Set-Off and Waiver</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58"/>
        </w:trPr>
        <w:tc>
          <w:tcPr>
            <w:tcW w:w="104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12.10</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Waiver of Notice; Subrogation</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1" w:name="page262"/>
    <w:bookmarkEnd w:id="261"/>
    <w:p>
      <w:pPr>
        <w:jc w:val="center"/>
        <w:ind w:right="460"/>
        <w:spacing w:after="0"/>
        <w:rPr>
          <w:sz w:val="20"/>
          <w:szCs w:val="20"/>
          <w:color w:val="auto"/>
        </w:rPr>
      </w:pPr>
      <w:r>
        <w:rPr>
          <w:rFonts w:ascii="Times New Roman" w:cs="Times New Roman" w:eastAsia="Times New Roman" w:hAnsi="Times New Roman"/>
          <w:sz w:val="20"/>
          <w:szCs w:val="20"/>
          <w:u w:val="single" w:color="auto"/>
          <w:color w:val="auto"/>
        </w:rPr>
        <w:t>TABLE OF CONTENTS</w:t>
      </w:r>
    </w:p>
    <w:p>
      <w:pPr>
        <w:spacing w:after="0" w:line="2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(cont’d)</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54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5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Page</w:t>
            </w:r>
          </w:p>
        </w:tc>
      </w:tr>
      <w:tr>
        <w:trPr>
          <w:trHeight w:val="4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12.11</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Stay</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12.12</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Additional Guarantors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2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12.13</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Reliance</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12.14</w:t>
            </w:r>
          </w:p>
        </w:tc>
        <w:tc>
          <w:tcPr>
            <w:tcW w:w="83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Receipt of Credit Agreement, Other Loan Documents, Benefits</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356870</wp:posOffset>
            </wp:positionV>
            <wp:extent cx="629221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8" w:right="999" w:bottom="1440" w:gutter="0" w:footer="0" w:header="0"/>
        </w:sectPr>
      </w:pPr>
    </w:p>
    <w:bookmarkStart w:id="262" w:name="page263"/>
    <w:bookmarkEnd w:id="262"/>
    <w:tbl>
      <w:tblPr>
        <w:tblLayout w:type="fixed"/>
        <w:tblInd w:w="0" w:type="dxa"/>
        <w:tblCellMar>
          <w:top w:w="0" w:type="dxa"/>
          <w:left w:w="0" w:type="dxa"/>
          <w:bottom w:w="0" w:type="dxa"/>
          <w:right w:w="0" w:type="dxa"/>
        </w:tblCellMar>
      </w:tblPr>
      <w:tr>
        <w:trPr>
          <w:trHeight w:val="261"/>
        </w:trPr>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180" w:type="dxa"/>
            <w:vAlign w:val="bottom"/>
          </w:tcPr>
          <w:p>
            <w:pPr>
              <w:ind w:left="1040"/>
              <w:spacing w:after="0"/>
              <w:rPr>
                <w:sz w:val="20"/>
                <w:szCs w:val="20"/>
                <w:color w:val="auto"/>
              </w:rPr>
            </w:pPr>
            <w:r>
              <w:rPr>
                <w:rFonts w:ascii="Times New Roman" w:cs="Times New Roman" w:eastAsia="Times New Roman" w:hAnsi="Times New Roman"/>
                <w:sz w:val="20"/>
                <w:szCs w:val="20"/>
                <w:b w:val="1"/>
                <w:bCs w:val="1"/>
                <w:color w:val="auto"/>
              </w:rPr>
              <w:t>LIST OF SCHEDULES AND EXHIBITS</w:t>
            </w:r>
          </w:p>
        </w:tc>
      </w:tr>
      <w:tr>
        <w:trPr>
          <w:trHeight w:val="45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w:t>
            </w:r>
            <w:r>
              <w:rPr>
                <w:rFonts w:ascii="Times New Roman" w:cs="Times New Roman" w:eastAsia="Times New Roman" w:hAnsi="Times New Roman"/>
                <w:sz w:val="20"/>
                <w:szCs w:val="20"/>
                <w:b w:val="1"/>
                <w:bCs w:val="1"/>
                <w:color w:val="auto"/>
              </w:rPr>
              <w:t>CHEDULES</w:t>
            </w:r>
          </w:p>
        </w:tc>
        <w:tc>
          <w:tcPr>
            <w:tcW w:w="4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430"/>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1.1(B)</w:t>
            </w: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COMMITMENTS OF LENDERS AND ADDRESSES FOR NOTICES</w:t>
            </w: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1.1(P)</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EXISTING LIENS</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5.1</w:t>
            </w: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QUALIFICATIONS TO DO BUSINESS AND JURISDICTION OF ORGANIZATION</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5.6</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SUBSIDIARIES</w:t>
            </w: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5.19</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LICENSES</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6.18</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POST-CLOSING OBLIGATIONS</w:t>
            </w: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7.1(h)</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EXISTING INDEBTEDNESS</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7.1(i)</w:t>
            </w: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EXISTING PURCHASE MONEY INDEBTEDNESS</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7.5</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INVESTMENTS</w:t>
            </w:r>
          </w:p>
        </w:tc>
      </w:t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SCHEDULE 11.7</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VOTING PARTICIPANTS</w:t>
            </w:r>
          </w:p>
        </w:tc>
      </w:tr>
      <w:tr>
        <w:trPr>
          <w:trHeight w:val="459"/>
        </w:trPr>
        <w:tc>
          <w:tcPr>
            <w:tcW w:w="1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EXHIBITS</w:t>
            </w:r>
          </w:p>
        </w:tc>
        <w:tc>
          <w:tcPr>
            <w:tcW w:w="440" w:type="dxa"/>
            <w:vAlign w:val="bottom"/>
          </w:tcPr>
          <w:p>
            <w:pPr>
              <w:spacing w:after="0"/>
              <w:rPr>
                <w:sz w:val="24"/>
                <w:szCs w:val="24"/>
                <w:color w:val="auto"/>
              </w:rPr>
            </w:pPr>
          </w:p>
        </w:tc>
        <w:tc>
          <w:tcPr>
            <w:tcW w:w="7180" w:type="dxa"/>
            <w:vAlign w:val="bottom"/>
          </w:tcPr>
          <w:p>
            <w:pPr>
              <w:spacing w:after="0"/>
              <w:rPr>
                <w:sz w:val="24"/>
                <w:szCs w:val="24"/>
                <w:color w:val="auto"/>
              </w:rPr>
            </w:pPr>
          </w:p>
        </w:tc>
      </w:tr>
      <w:tr>
        <w:trPr>
          <w:trHeight w:val="430"/>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ASSIGNMENT AND ASSUMPTION</w:t>
            </w: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COMPLIANCE CERTIFICATE</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JOINDER AGREEMENT</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LOAN REQUEST</w:t>
            </w: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[RESERVED]</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F-1</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REVOLVING NOTE</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F-2</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SWING LINE NOTE</w:t>
            </w: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F-3</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TERM LOAN NOTE</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SOLVENCY CERTIFICATE</w:t>
            </w:r>
          </w:p>
        </w:tc>
      </w:tr>
      <w:tr>
        <w:trPr>
          <w:trHeight w:val="230"/>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H</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TAX COMPLIANCE CERTIFICATES</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76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   CONVERSION OR CONTINUATION NOTICE</w:t>
            </w: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J</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PERMITTED ACQUISITION QUESTIONNAIRE</w:t>
            </w:r>
          </w:p>
        </w:tc>
      </w:tr>
      <w:tr>
        <w:trPr>
          <w:trHeight w:val="258"/>
        </w:trPr>
        <w:tc>
          <w:tcPr>
            <w:tcW w:w="1740" w:type="dxa"/>
            <w:vAlign w:val="bottom"/>
          </w:tcPr>
          <w:p>
            <w:pPr>
              <w:spacing w:after="0"/>
              <w:rPr>
                <w:sz w:val="20"/>
                <w:szCs w:val="20"/>
                <w:color w:val="auto"/>
              </w:rPr>
            </w:pPr>
            <w:r>
              <w:rPr>
                <w:rFonts w:ascii="Times New Roman" w:cs="Times New Roman" w:eastAsia="Times New Roman" w:hAnsi="Times New Roman"/>
                <w:sz w:val="20"/>
                <w:szCs w:val="20"/>
                <w:color w:val="auto"/>
              </w:rPr>
              <w:t>EXHIBIT K</w:t>
            </w:r>
          </w:p>
        </w:tc>
        <w:tc>
          <w:tcPr>
            <w:tcW w:w="4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w:t>
            </w:r>
          </w:p>
        </w:tc>
        <w:tc>
          <w:tcPr>
            <w:tcW w:w="71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PERMITTED ACQUISITION CERTIFICATE</w:t>
            </w: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14" w:right="1440" w:bottom="1440" w:gutter="0" w:footer="0" w:header="0"/>
        </w:sectPr>
      </w:pPr>
    </w:p>
    <w:bookmarkStart w:id="263" w:name="page264"/>
    <w:bookmarkEnd w:id="263"/>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THIS CREDIT AGREEMENT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is dated as of July 13, 2023 and is made by and among ATN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INTERNATIONAL, INC., a Delaware corporation, as BORROWER (as hereinafter defined), each of the GUARANTORS (as hereinafter defined) from time to time party hereto, the LENDERS (as hereinafter defined) from time to time party hereto, and COBANK, ACB, in its capacity as Administrative Agent for the Secured Parties, Bookrunner, Lead Arranger, Swing Line Lender, an Issuing Lender and a Lender (each as hereinafter defined), FIFTH THIRD BANK, NATIONAL ASSOCIATION, as a Joint Lead Arranger and a Lender, MUFG BANK, LTD., as a Joint Lead Arranger and a Lender.</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requested that the Lenders provide to the Borrower (a) commitments to fund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revolving credit facility in an aggregate principal amount at any time outstanding not to exceed $170,000,000 as such aggregate commitment amount may be increased or reduced from time to time in accordance herewith and (b) a term loan facility in an aggregate principal amount not to exceed $130,000,000 as such aggregate principal amount may be increased from time to time in accordance herewith, all as more particularly set forth in, and subject to the terms and conditions of, this Agreement. In consideration of their mutual covenants and agreements hereinafter set forth and intending to be legally bound hereby, the parties hereto covenant and agree as follows: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  CERTAIN DEFINITIONS</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u w:val="single" w:color="auto"/>
          <w:color w:val="auto"/>
        </w:rPr>
        <w:t>Certain Definitions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In addition to words and terms defined elsewhere in this Agreement, the following words and terms shall have the following meanings, respectively, unless the context hereof clearly requires otherwise: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Acquired Business</w:t>
      </w:r>
      <w:r>
        <w:rPr>
          <w:rFonts w:ascii="Times New Roman" w:cs="Times New Roman" w:eastAsia="Times New Roman" w:hAnsi="Times New Roman"/>
          <w:sz w:val="20"/>
          <w:szCs w:val="20"/>
          <w:color w:val="auto"/>
        </w:rPr>
        <w:t>” means any Person or all or substantially all of the assets of, or any line of business or division or business unit of, any other Person acquired in an Acquisition.</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w:t>
      </w:r>
      <w:r>
        <w:rPr>
          <w:rFonts w:ascii="Times New Roman" w:cs="Times New Roman" w:eastAsia="Times New Roman" w:hAnsi="Times New Roman"/>
          <w:sz w:val="20"/>
          <w:szCs w:val="20"/>
          <w:color w:val="auto"/>
        </w:rPr>
        <w:t>” means any acquisition, in a single transaction or in a series of related transactions, of all or any substantial portion of the assets of, or any line of business, division or business unit of, another Person, or at least a majority of the equity interests of another Person, in each case whether involving a merger or consolidation with such other Person and whether for cash, property, services, assumption of Indebtedness, securities or otherwise.</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Acquisition Agreement</w:t>
      </w:r>
      <w:r>
        <w:rPr>
          <w:rFonts w:ascii="Times New Roman" w:cs="Times New Roman" w:eastAsia="Times New Roman" w:hAnsi="Times New Roman"/>
          <w:sz w:val="20"/>
          <w:szCs w:val="20"/>
          <w:color w:val="auto"/>
        </w:rPr>
        <w:t>” means each stock purchase agreement, merger agreement, asset purchase agreement, or similar document executed and delivered in connection with an Acquisition.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Incremental Facility</w:t>
      </w:r>
      <w:r>
        <w:rPr>
          <w:rFonts w:ascii="Times New Roman" w:cs="Times New Roman" w:eastAsia="Times New Roman" w:hAnsi="Times New Roman"/>
          <w:sz w:val="20"/>
          <w:szCs w:val="20"/>
          <w:color w:val="auto"/>
        </w:rPr>
        <w:t>” means any Incremental Revolving Facility or any Incremental Term Loan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Incremental Lender</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2.5(c)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Additional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Adjusted Term SOFR Rate</w:t>
      </w:r>
      <w:r>
        <w:rPr>
          <w:rFonts w:ascii="Times New Roman" w:cs="Times New Roman" w:eastAsia="Times New Roman" w:hAnsi="Times New Roman"/>
          <w:sz w:val="20"/>
          <w:szCs w:val="20"/>
          <w:color w:val="auto"/>
        </w:rPr>
        <w:t xml:space="preserve">” means, for purposes of any calculation, the rate per annum equal to (a) the Term SOFR Rate for such calculation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Term SOFR Adjustment;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64" w:name="page265"/>
    <w:bookmarkEnd w:id="264"/>
    <w:p>
      <w:pPr>
        <w:jc w:val="both"/>
        <w:spacing w:after="0" w:line="268" w:lineRule="auto"/>
        <w:rPr>
          <w:sz w:val="20"/>
          <w:szCs w:val="20"/>
          <w:color w:val="auto"/>
        </w:rPr>
      </w:pPr>
      <w:r>
        <w:rPr>
          <w:rFonts w:ascii="Times New Roman" w:cs="Times New Roman" w:eastAsia="Times New Roman" w:hAnsi="Times New Roman"/>
          <w:sz w:val="20"/>
          <w:szCs w:val="20"/>
          <w:color w:val="auto"/>
        </w:rPr>
        <w:t>Adjusted Term SOFR Rate as so determined shall ever be less than the Floor, then the Adjusted Term SOFR Rate shall be deemed to be the Floor.</w:t>
      </w:r>
    </w:p>
    <w:p>
      <w:pPr>
        <w:spacing w:after="0" w:line="15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Agent</w:t>
      </w:r>
      <w:r>
        <w:rPr>
          <w:rFonts w:ascii="Times New Roman" w:cs="Times New Roman" w:eastAsia="Times New Roman" w:hAnsi="Times New Roman"/>
          <w:sz w:val="20"/>
          <w:szCs w:val="20"/>
          <w:color w:val="auto"/>
        </w:rPr>
        <w:t>” means CoBank, in its capacity as administrative agent and collateral agent under the Loan Documents.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Administrative Questionnaire</w:t>
      </w:r>
      <w:r>
        <w:rPr>
          <w:rFonts w:ascii="Times New Roman" w:cs="Times New Roman" w:eastAsia="Times New Roman" w:hAnsi="Times New Roman"/>
          <w:sz w:val="20"/>
          <w:szCs w:val="20"/>
          <w:color w:val="auto"/>
        </w:rPr>
        <w:t>” means an administrative questionnaire in a form supplied by the Administrative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Affected Financial Institution</w:t>
      </w:r>
      <w:r>
        <w:rPr>
          <w:rFonts w:ascii="Times New Roman" w:cs="Times New Roman" w:eastAsia="Times New Roman" w:hAnsi="Times New Roman"/>
          <w:sz w:val="20"/>
          <w:szCs w:val="20"/>
          <w:color w:val="auto"/>
        </w:rPr>
        <w:t>” means (a) any EEA Financial Institution or (b) any UK Financial Institution.</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with respect to any specified Person, another Person that directly, or indirectly through one or more intermediaries, Controls, is Controlled by or is under common Control with the Person specified.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11.4(d)(ii)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Alternate Base Rate</w:t>
      </w:r>
      <w:r>
        <w:rPr>
          <w:rFonts w:ascii="Times New Roman" w:cs="Times New Roman" w:eastAsia="Times New Roman" w:hAnsi="Times New Roman"/>
          <w:sz w:val="20"/>
          <w:szCs w:val="20"/>
          <w:color w:val="auto"/>
        </w:rPr>
        <w:t xml:space="preserve">” means, for any day, a rate per annum equal to the highest of (a) the Prime Rate, (b) the Federal Funds Effective Rate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one half of one percent (0.50%) per annum, and (c) the Adjusted Term SOFR Rate for an Interest Period of one month in effect on such day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one percent (1.00%) per annum;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the Alternate Base Rate be less than one percent (1.00%) per annum. Any change in the Alternate Base Rate due to a change in the Prime Rate, Federal Funds Effective Rate or Adjusted Term SOFR Rate shall be effective from and including the effective date of such change in the Prime Rate, Federal Funds Effective Rate or Adjusted Term SOFR Rate, respectively, and without necessity of notice being provided to the Borrower or any other Person.</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any Laws of any Governmental Authority concerning or relating to bribery or corruption.</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Laws</w:t>
      </w:r>
      <w:r>
        <w:rPr>
          <w:rFonts w:ascii="Times New Roman" w:cs="Times New Roman" w:eastAsia="Times New Roman" w:hAnsi="Times New Roman"/>
          <w:sz w:val="20"/>
          <w:szCs w:val="20"/>
          <w:color w:val="auto"/>
        </w:rPr>
        <w:t>” means any Laws of any Governmental Authority concerning or relating to financing terrorism, “know your customer” or money laundering.</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Letter of Credit Fee Rate</w:t>
      </w:r>
      <w:r>
        <w:rPr>
          <w:rFonts w:ascii="Times New Roman" w:cs="Times New Roman" w:eastAsia="Times New Roman" w:hAnsi="Times New Roman"/>
          <w:sz w:val="20"/>
          <w:szCs w:val="20"/>
          <w:color w:val="auto"/>
        </w:rPr>
        <w:t>” means the percentage rate per annum based on the Total Net Leverage Ratio then in effect according to the Pricing Grid below the heading “Letter of Credit Fee Rate.”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Margin</w:t>
      </w:r>
      <w:r>
        <w:rPr>
          <w:rFonts w:ascii="Times New Roman" w:cs="Times New Roman" w:eastAsia="Times New Roman" w:hAnsi="Times New Roman"/>
          <w:sz w:val="20"/>
          <w:szCs w:val="20"/>
          <w:color w:val="auto"/>
        </w:rPr>
        <w:t>” means, as applicable:</w:t>
      </w:r>
    </w:p>
    <w:p>
      <w:pPr>
        <w:spacing w:after="0" w:line="220" w:lineRule="exact"/>
        <w:rPr>
          <w:sz w:val="20"/>
          <w:szCs w:val="20"/>
          <w:color w:val="auto"/>
        </w:rPr>
      </w:pPr>
    </w:p>
    <w:p>
      <w:pPr>
        <w:jc w:val="both"/>
        <w:ind w:firstLine="1304"/>
        <w:spacing w:after="0" w:line="254" w:lineRule="auto"/>
        <w:tabs>
          <w:tab w:leader="none" w:pos="194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spread to be added to the Alternate Base Rate applicable to Revolving A-1 Loans which are Base Rate Loans based on the Total Net Leverage Ratio then in effect according to the Pricing Grid below the heading “Applicable Margin for Base Rate Loans (Revolving Loans)”,</w:t>
      </w:r>
    </w:p>
    <w:p>
      <w:pPr>
        <w:spacing w:after="0" w:line="174" w:lineRule="exact"/>
        <w:rPr>
          <w:rFonts w:ascii="Times New Roman" w:cs="Times New Roman" w:eastAsia="Times New Roman" w:hAnsi="Times New Roman"/>
          <w:sz w:val="20"/>
          <w:szCs w:val="20"/>
          <w:color w:val="auto"/>
        </w:rPr>
      </w:pPr>
    </w:p>
    <w:p>
      <w:pPr>
        <w:jc w:val="both"/>
        <w:ind w:right="20" w:firstLine="1304"/>
        <w:spacing w:after="0" w:line="254" w:lineRule="auto"/>
        <w:tabs>
          <w:tab w:leader="none" w:pos="194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spread to be added to the Alternate Base Rate applicable to Term A-1 Loans which are Base Rate Loans based on the Total Net Leverage Ratio then in effect according to the Pricing Grid below the heading “Applicable Margin for Base Rate Loans (Term Loan)”,</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spread to be added to the Adjusted Term SOFR Rate applicable to Revolving A-1 Loans which are Term SOFR Rate Loans based on the Total Net Leverage Ratio then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20"/>
          <w:szCs w:val="20"/>
          <w:color w:val="auto"/>
        </w:rPr>
        <w:t>effect according to the Pricing Grid below the heading “Applicable Margin for Term SOFR Loans (Revolving Loans)”, or</w:t>
      </w:r>
    </w:p>
    <w:p>
      <w:pPr>
        <w:spacing w:after="0" w:line="215" w:lineRule="exact"/>
        <w:rPr>
          <w:sz w:val="20"/>
          <w:szCs w:val="20"/>
          <w:color w:val="auto"/>
        </w:rPr>
      </w:pPr>
    </w:p>
    <w:p>
      <w:pPr>
        <w:jc w:val="both"/>
        <w:ind w:firstLine="1304"/>
        <w:spacing w:after="0" w:line="254" w:lineRule="auto"/>
        <w:tabs>
          <w:tab w:leader="none" w:pos="1944"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percentage spread to be added to the Adjusted Term SOFR Rate applicable to Term A-1 Loans which are Term SOFR Rate Loans based on the Total Net Leverage Ratio then in effect according to the Pricing Grid below the heading “Applicable Margin for Term SOFR Loans (Term Loan)”.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the foregoing, the Applicable Margin for any Incremental Loan shall be the interest rate margin per annum governing such Additional Incremental Facility as set forth in the related Incremental Amendment, subject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hereof.</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Unused Commitment Fee Rate</w:t>
      </w:r>
      <w:r>
        <w:rPr>
          <w:rFonts w:ascii="Times New Roman" w:cs="Times New Roman" w:eastAsia="Times New Roman" w:hAnsi="Times New Roman"/>
          <w:sz w:val="20"/>
          <w:szCs w:val="20"/>
          <w:color w:val="auto"/>
        </w:rPr>
        <w:t>” means (a) the Applicable Unused Revolving A-1 Commitment Fee Rate and (b) any applicable unused commitment fee rate of any Incremental Facility as set forth in such Incremental Facility’s Incremental Amendment as applied to the relevant Tranche and/or Class of Loans subject to such Incremental Amendment.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Unused Revolving A-1 Commitment Fee Rate</w:t>
      </w:r>
      <w:r>
        <w:rPr>
          <w:rFonts w:ascii="Times New Roman" w:cs="Times New Roman" w:eastAsia="Times New Roman" w:hAnsi="Times New Roman"/>
          <w:sz w:val="20"/>
          <w:szCs w:val="20"/>
          <w:color w:val="auto"/>
        </w:rPr>
        <w:t>” means the percentage rate per annum based on the Total Net Leverage Ratio then in effect according to the Pricing Grid below the heading “Applicable Unused Revolving Commitment Fee Rate.”</w:t>
      </w:r>
    </w:p>
    <w:p>
      <w:pPr>
        <w:spacing w:after="0" w:line="169"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Approved Fund</w:t>
      </w:r>
      <w:r>
        <w:rPr>
          <w:rFonts w:ascii="Times New Roman" w:cs="Times New Roman" w:eastAsia="Times New Roman" w:hAnsi="Times New Roman"/>
          <w:sz w:val="20"/>
          <w:szCs w:val="20"/>
          <w:color w:val="auto"/>
        </w:rPr>
        <w:t>” means any Fund that is administered or managed by (a) a Lender, (b) an Affiliate of a Lender or (c) an entity or an Affiliate of an entity that administers or manages a Lender.</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Arranger</w:t>
      </w:r>
      <w:r>
        <w:rPr>
          <w:rFonts w:ascii="Times New Roman" w:cs="Times New Roman" w:eastAsia="Times New Roman" w:hAnsi="Times New Roman"/>
          <w:sz w:val="20"/>
          <w:szCs w:val="20"/>
          <w:color w:val="auto"/>
        </w:rPr>
        <w:t>” means, collectively, CoBank, in its capacity as joint lead arranger and bookrunner, Fifth Third Bank, National Association, as joint lead arranger and MUFG Bank, Ltd., as joint lead arranger.</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Assignment and Assumption</w:t>
      </w:r>
      <w:r>
        <w:rPr>
          <w:rFonts w:ascii="Times New Roman" w:cs="Times New Roman" w:eastAsia="Times New Roman" w:hAnsi="Times New Roman"/>
          <w:sz w:val="20"/>
          <w:szCs w:val="20"/>
          <w:color w:val="auto"/>
        </w:rPr>
        <w:t xml:space="preserve">” means an assignment and assumption agreement entered into by a Lender and an assignee permitted under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in substantially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or any other form approved by the Administrative Agent.</w:t>
      </w:r>
    </w:p>
    <w:p>
      <w:pPr>
        <w:spacing w:after="0" w:line="16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Authorized Officer</w:t>
      </w:r>
      <w:r>
        <w:rPr>
          <w:rFonts w:ascii="Times New Roman" w:cs="Times New Roman" w:eastAsia="Times New Roman" w:hAnsi="Times New Roman"/>
          <w:sz w:val="20"/>
          <w:szCs w:val="20"/>
          <w:color w:val="auto"/>
        </w:rPr>
        <w:t>” means, with respect to any Loan Party, the Chief Executive Officer, President, Chief Financial Officer, Treasurer, Assistant Treasurer, Corporate Treasurer, or Corporate Controller (or in the case of a Loan Party that is a limited liability company without officers, a manager or member authorized under such Loan Party’s Organizational Documents) of such Loan Party or such other individuals, designated by written notice to the Administrative Agent from the Borrower, authorized to execute notices, reports and other documents on behalf of the Loan Parties required hereunder. The Borrower may amend such list of individuals from time to time by giving written notice of such amendment to the Administrative Agent.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Revolving A-1 Commitment</w:t>
      </w:r>
      <w:r>
        <w:rPr>
          <w:rFonts w:ascii="Times New Roman" w:cs="Times New Roman" w:eastAsia="Times New Roman" w:hAnsi="Times New Roman"/>
          <w:sz w:val="20"/>
          <w:szCs w:val="20"/>
          <w:color w:val="auto"/>
        </w:rPr>
        <w:t xml:space="preserve">” means, with respect to any Revolving A-1 Loan Lender, an amount equal to such Lender’s Revolving A-1 Commitment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the outstanding principal amount of its Revolving A-1 Loans,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such Lender’s Pro Rata Share of the aggregate outstanding amount of Swing Line Loans, if any,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such Lender’s Pro Rata Share of Letter of Credit Obligations, if any.</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Available Tenor</w:t>
      </w:r>
      <w:r>
        <w:rPr>
          <w:rFonts w:ascii="Times New Roman" w:cs="Times New Roman" w:eastAsia="Times New Roman" w:hAnsi="Times New Roman"/>
          <w:sz w:val="20"/>
          <w:szCs w:val="20"/>
          <w:color w:val="auto"/>
        </w:rPr>
        <w:t>” means, as of any date of determination and with respect to the applicable then- current Benchmark, as applicable, (a) if the applicable then-current Benchmark is a term rate, any tenor for such Benchmark that is or may be used for determining the length of an Interest Period or (b) otherwise, any payment period for interest calculated with reference to such Benchmark, as applicable, pursuant to this Agreement as of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Avoidance Provisions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12.4(a)(i)(C)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6" w:name="page267"/>
    <w:bookmarkEnd w:id="266"/>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Action</w:t>
      </w:r>
      <w:r>
        <w:rPr>
          <w:rFonts w:ascii="Times New Roman" w:cs="Times New Roman" w:eastAsia="Times New Roman" w:hAnsi="Times New Roman"/>
          <w:sz w:val="20"/>
          <w:szCs w:val="20"/>
          <w:color w:val="auto"/>
        </w:rPr>
        <w:t>” means the exercise of any Write-Down and Conversion Powers by the applicable Resolution Authority in respect of any liability of an Affected Financial Institution.</w:t>
      </w:r>
    </w:p>
    <w:p>
      <w:pPr>
        <w:spacing w:after="0" w:line="15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Bail-In Legislation</w:t>
      </w:r>
      <w:r>
        <w:rPr>
          <w:rFonts w:ascii="Times New Roman" w:cs="Times New Roman" w:eastAsia="Times New Roman" w:hAnsi="Times New Roman"/>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title 11 of the United States Code.</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Loan</w:t>
      </w:r>
      <w:r>
        <w:rPr>
          <w:rFonts w:ascii="Times New Roman" w:cs="Times New Roman" w:eastAsia="Times New Roman" w:hAnsi="Times New Roman"/>
          <w:sz w:val="20"/>
          <w:szCs w:val="20"/>
          <w:color w:val="auto"/>
        </w:rPr>
        <w:t>” means a Loan bearing interest calculated in accordance with the Base Rate Option. A Base Rate Loan is a Loan not subject to an Interest Period.</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Option</w:t>
      </w:r>
      <w:r>
        <w:rPr>
          <w:rFonts w:ascii="Times New Roman" w:cs="Times New Roman" w:eastAsia="Times New Roman" w:hAnsi="Times New Roman"/>
          <w:sz w:val="20"/>
          <w:szCs w:val="20"/>
          <w:color w:val="auto"/>
        </w:rPr>
        <w:t xml:space="preserve">” means the option of the Borrower to have Loans bear interest at the rate and under the terms set forth in </w:t>
      </w:r>
      <w:r>
        <w:rPr>
          <w:rFonts w:ascii="Times New Roman" w:cs="Times New Roman" w:eastAsia="Times New Roman" w:hAnsi="Times New Roman"/>
          <w:sz w:val="20"/>
          <w:szCs w:val="20"/>
          <w:u w:val="single" w:color="auto"/>
          <w:color w:val="auto"/>
        </w:rPr>
        <w:t>Section 2.6(a)(i)</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initially, the Term SOFR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Rate or any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3.7(a)</w:t>
      </w:r>
      <w:r>
        <w:rPr>
          <w:rFonts w:ascii="Times New Roman" w:cs="Times New Roman" w:eastAsia="Times New Roman" w:hAnsi="Times New Roman"/>
          <w:sz w:val="20"/>
          <w:szCs w:val="20"/>
          <w:color w:val="auto"/>
        </w:rPr>
        <w:t>. Any reference to a “Benchmark” shall include, as applicable, the published component used in the calculation thereof.</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means, for any Available Tenor:</w:t>
      </w:r>
    </w:p>
    <w:p>
      <w:pPr>
        <w:spacing w:after="0" w:line="220" w:lineRule="exact"/>
        <w:rPr>
          <w:sz w:val="20"/>
          <w:szCs w:val="20"/>
          <w:color w:val="auto"/>
        </w:rPr>
      </w:pPr>
    </w:p>
    <w:p>
      <w:pPr>
        <w:ind w:left="1960" w:hanging="656"/>
        <w:spacing w:after="0"/>
        <w:tabs>
          <w:tab w:leader="none" w:pos="1960" w:val="left"/>
        </w:tabs>
        <w:numPr>
          <w:ilvl w:val="0"/>
          <w:numId w:val="2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the Adjusted Term SOFR Rate, the first alternative set forth below that can be determined by the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Administrative Agent:</w:t>
      </w:r>
    </w:p>
    <w:p>
      <w:pPr>
        <w:spacing w:after="0" w:line="193" w:lineRule="exact"/>
        <w:rPr>
          <w:rFonts w:ascii="Times New Roman" w:cs="Times New Roman" w:eastAsia="Times New Roman" w:hAnsi="Times New Roman"/>
          <w:sz w:val="19"/>
          <w:szCs w:val="19"/>
          <w:color w:val="auto"/>
        </w:rPr>
      </w:pPr>
    </w:p>
    <w:p>
      <w:pPr>
        <w:ind w:left="2600" w:hanging="648"/>
        <w:spacing w:after="0"/>
        <w:tabs>
          <w:tab w:leader="none" w:pos="2600"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Daily Simple SOFR Rate and (B) the Term SOFR Adjustment, or</w:t>
      </w:r>
    </w:p>
    <w:p>
      <w:pPr>
        <w:spacing w:after="0" w:line="21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(A) the alternate benchmark rate and (B)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 and</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all other Benchmarks, the sum of (i) the alternate benchmark rate and (ii) an adjustment (which may be a positive or negative value or zero), in each case, that has been selected by the Administrative Agent and the Borrower as the replacement for such Available Tenor of such Benchmark giving due consideration to any evolving or then-prevailing market convention, including any applicable recommendations made by the Relevant Governmental Body, for U.S. Dollar-denominated syndicated credit facilities at such time;</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Benchmark Replacement as determined pursuant to clause (a) or (b) above would be less than the Floor, the Benchmark Replacement will be deemed to be the Floor for the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67" w:name="page268"/>
    <w:bookmarkEnd w:id="267"/>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Agreement and the other Loan Documents;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further, that, if the Benchmark Replacement is calculated using the Daily Simple SOFR Rate, all interest payments will be payable on a quarterly basis.</w:t>
      </w:r>
    </w:p>
    <w:p>
      <w:pPr>
        <w:spacing w:after="0" w:line="15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Conforming Changes</w:t>
      </w:r>
      <w:r>
        <w:rPr>
          <w:rFonts w:ascii="Times New Roman" w:cs="Times New Roman" w:eastAsia="Times New Roman" w:hAnsi="Times New Roman"/>
          <w:sz w:val="20"/>
          <w:szCs w:val="20"/>
          <w:color w:val="auto"/>
        </w:rPr>
        <w:t xml:space="preserve">” means, with respect to either the use or administration of any initial Benchmark or adjusted initial Benchmark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other technical, administrative or operational matters) that the Administrative Agent decides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8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xml:space="preserve">” means, with respect to any then-current Benchmark,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all Available Tenors of such Benchmark,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(b) all Available Tenors of such Benchmark are or will not be representative of the underlying market and economic reality that such Benchmark is intended to measure and that representativeness will not be restored. Notwithstanding the above, in the case of an announcement of a prospective date of an event as designated in clauses (a) and (b), the date of the “Benchmark Transition Event” shall be postponed until the announced date of such prospective event.</w:t>
      </w:r>
    </w:p>
    <w:p>
      <w:pPr>
        <w:spacing w:after="0" w:line="18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Certification</w:t>
      </w:r>
      <w:r>
        <w:rPr>
          <w:rFonts w:ascii="Times New Roman" w:cs="Times New Roman" w:eastAsia="Times New Roman" w:hAnsi="Times New Roman"/>
          <w:sz w:val="20"/>
          <w:szCs w:val="20"/>
          <w:color w:val="auto"/>
        </w:rPr>
        <w:t>” means a certification regarding beneficial ownership as required by the Beneficial Ownership Regulation.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Beneficial Ownership Regulation</w:t>
      </w:r>
      <w:r>
        <w:rPr>
          <w:rFonts w:ascii="Times New Roman" w:cs="Times New Roman" w:eastAsia="Times New Roman" w:hAnsi="Times New Roman"/>
          <w:sz w:val="20"/>
          <w:szCs w:val="20"/>
          <w:color w:val="auto"/>
        </w:rPr>
        <w:t>” means 31 C.F.R. § 1010.230.</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Benefit Plan</w:t>
      </w:r>
      <w:r>
        <w:rPr>
          <w:rFonts w:ascii="Times New Roman" w:cs="Times New Roman" w:eastAsia="Times New Roman" w:hAnsi="Times New Roman"/>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Governors of the Federal Reserve System of the United States of America.</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means ATN International,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68" w:name="page269"/>
    <w:bookmarkEnd w:id="268"/>
    <w:p>
      <w:pPr>
        <w:jc w:val="both"/>
        <w:ind w:right="20"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w:t>
      </w:r>
      <w:r>
        <w:rPr>
          <w:rFonts w:ascii="Times New Roman" w:cs="Times New Roman" w:eastAsia="Times New Roman" w:hAnsi="Times New Roman"/>
          <w:sz w:val="20"/>
          <w:szCs w:val="20"/>
          <w:color w:val="auto"/>
        </w:rPr>
        <w:t>” means as of any date of determination (a) with respect to Term SOFR Rate Loans outstanding as of such date, a borrowing consisting of Loans of the same Class and having the same Interest Period and (b) with respect to Base Rate Loans, all Base Rate Loans outstanding as of such date regardless of Class.</w:t>
      </w:r>
    </w:p>
    <w:p>
      <w:pPr>
        <w:spacing w:after="0" w:line="171"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Date</w:t>
      </w:r>
      <w:r>
        <w:rPr>
          <w:rFonts w:ascii="Times New Roman" w:cs="Times New Roman" w:eastAsia="Times New Roman" w:hAnsi="Times New Roman"/>
          <w:sz w:val="20"/>
          <w:szCs w:val="20"/>
          <w:color w:val="auto"/>
        </w:rPr>
        <w:t>” means, with respect to any Loan, the date for the making thereof or the renewal or conversion thereof at or to the same or a different Interest Rate Option, which shall be a Business Day.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Budget</w:t>
      </w:r>
      <w:r>
        <w:rPr>
          <w:rFonts w:ascii="Times New Roman" w:cs="Times New Roman" w:eastAsia="Times New Roman" w:hAnsi="Times New Roman"/>
          <w:sz w:val="20"/>
          <w:szCs w:val="20"/>
          <w:color w:val="auto"/>
        </w:rPr>
        <w:t>” means, for the Borrower and the Restricted Subsidiaries, forecasted: (a) balance sheets, (b) profit and loss statements, (c) cash flow statements, (d) operating budget and (e) capital budget, all prepared on a consistent basis with the historical financial statements of the Borrower and the Restricted Subsidiaries.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that is not a Saturday, Sunday or other day that is a legal holiday under the laws of the State of New York or Colorado or is a day on which banking institutions in such state are authorized or required by Law to close.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CAH Holdco</w:t>
      </w:r>
      <w:r>
        <w:rPr>
          <w:rFonts w:ascii="Times New Roman" w:cs="Times New Roman" w:eastAsia="Times New Roman" w:hAnsi="Times New Roman"/>
          <w:sz w:val="20"/>
          <w:szCs w:val="20"/>
          <w:color w:val="auto"/>
        </w:rPr>
        <w:t>” means ATNI VI Holdings, LLC, a Delaware limited liability company.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CAH Holdco Subsidiaries</w:t>
      </w:r>
      <w:r>
        <w:rPr>
          <w:rFonts w:ascii="Times New Roman" w:cs="Times New Roman" w:eastAsia="Times New Roman" w:hAnsi="Times New Roman"/>
          <w:sz w:val="20"/>
          <w:szCs w:val="20"/>
          <w:color w:val="auto"/>
        </w:rPr>
        <w:t>” means the direct and indirect Subsidiaries of CAH Holdco.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Calculation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Lease</w:t>
      </w:r>
      <w:r>
        <w:rPr>
          <w:rFonts w:ascii="Times New Roman" w:cs="Times New Roman" w:eastAsia="Times New Roman" w:hAnsi="Times New Roman"/>
          <w:sz w:val="20"/>
          <w:szCs w:val="20"/>
          <w:color w:val="auto"/>
        </w:rPr>
        <w:t>” means any lease of real or personal property that is required to be capitalized under GAAP or that is treated as an operating lease under regulations applicable to the Borrower and its Subsidiaries but that otherwise would be required to be capitalized under GAAP.</w:t>
      </w:r>
    </w:p>
    <w:p>
      <w:pPr>
        <w:spacing w:after="0" w:line="16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Collateralize</w:t>
      </w:r>
      <w:r>
        <w:rPr>
          <w:rFonts w:ascii="Times New Roman" w:cs="Times New Roman" w:eastAsia="Times New Roman" w:hAnsi="Times New Roman"/>
          <w:sz w:val="20"/>
          <w:szCs w:val="20"/>
          <w:color w:val="auto"/>
        </w:rPr>
        <w:t>” means (a) with respect to the Obligations, to pledge and deposit with or deliver to the Administrative Agent, for the benefit of the Issuing Lender or Lenders, as collateral for Letter of Credit Obligations or obligations of Lenders to fund participations in respect of Letter of Credit Obligations, cash or deposit account balances or, if the Administrative Agent and the Issuing Lender shall agree in their sole discretion, other credit support, in each case pursuant to documentation in form and substance satisfactory to the Administrative Agent and the Issuing Lender, and (b) with respect to Other Liabilities, to pledge and deposit with or deliver to the Administrative Agent, for the benefit of each Lender (or its Affiliate) that is the provider of a Secured Bank Product or Secured Hedge, as the case may be, as collateral for the Other Liabilities, cash or deposit account balances, or, if the Administrative Agent and such Lender (or its Affiliate) shall agree in their respective sole discretion, other credit support, in each case pursuant to documentation in form and substance satisfactory to the Administrative Agent and each applicable Lender (or its Affiliate). “</w:t>
      </w:r>
      <w:r>
        <w:rPr>
          <w:rFonts w:ascii="Times New Roman" w:cs="Times New Roman" w:eastAsia="Times New Roman" w:hAnsi="Times New Roman"/>
          <w:sz w:val="20"/>
          <w:szCs w:val="20"/>
          <w:b w:val="1"/>
          <w:bCs w:val="1"/>
          <w:color w:val="auto"/>
        </w:rPr>
        <w:t>Cash Collateral</w:t>
      </w:r>
      <w:r>
        <w:rPr>
          <w:rFonts w:ascii="Times New Roman" w:cs="Times New Roman" w:eastAsia="Times New Roman" w:hAnsi="Times New Roman"/>
          <w:sz w:val="20"/>
          <w:szCs w:val="20"/>
          <w:color w:val="auto"/>
        </w:rPr>
        <w:t>” shall have meanings analogous to the foregoing and shall include the proceeds of such cash collateral and other credit support.</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1304"/>
        <w:spacing w:after="0" w:line="254" w:lineRule="auto"/>
        <w:tabs>
          <w:tab w:leader="none" w:pos="194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 obligations of the United States of America or any agency or instrumentality thereof or obligations backed by the full faith and credit of the United States of America maturing in twelve (12) months or less from the date of acquisition;</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maturing in 180 days or less rated not lower than A-1, by Standard &amp; Poor’s or P-1 by Moody’s on the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69" w:name="page270"/>
    <w:bookmarkEnd w:id="269"/>
    <w:p>
      <w:pPr>
        <w:jc w:val="both"/>
        <w:ind w:firstLine="1304"/>
        <w:spacing w:after="0" w:line="249" w:lineRule="auto"/>
        <w:tabs>
          <w:tab w:leader="none" w:pos="194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deposits, time deposits or certificates of deposit maturing within one year in commercial banks that are organized under the laws of the United States or any state thereof or that is a foreign bank or branch or agency thereof acceptable to the Administrative Agent and, in any case, having combined capital, surplus and undivided profits in an amount equal to at least $1,000,000,000; and</w:t>
      </w:r>
    </w:p>
    <w:p>
      <w:pPr>
        <w:spacing w:after="0" w:line="178"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money market or mutual funds whose investments are limited to those types of investments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above.</w:t>
      </w:r>
    </w:p>
    <w:p>
      <w:pPr>
        <w:spacing w:after="0" w:line="3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Casualty Event</w:t>
      </w:r>
      <w:r>
        <w:rPr>
          <w:rFonts w:ascii="Times New Roman" w:cs="Times New Roman" w:eastAsia="Times New Roman" w:hAnsi="Times New Roman"/>
          <w:sz w:val="20"/>
          <w:szCs w:val="20"/>
          <w:color w:val="auto"/>
        </w:rPr>
        <w:t>” means, with respect to any property of any Person, any loss of or damage to, or any condemnation or other taking of, such property for which such Person or any of its Restricted Subsidiaries receives insurance proceeds, or proceeds of a condemnation award or other compensation.</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Law</w:t>
      </w:r>
      <w:r>
        <w:rPr>
          <w:rFonts w:ascii="Times New Roman" w:cs="Times New Roman" w:eastAsia="Times New Roman" w:hAnsi="Times New Roman"/>
          <w:sz w:val="19"/>
          <w:szCs w:val="19"/>
          <w:color w:val="auto"/>
        </w:rPr>
        <w:t xml:space="preserve">” means the occurrence, after the date of this Agreement,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notwithstanding anything herein to the contrary, (i) the Dodd-Frank Wall Street Reform and Consumer Protection Act and all requests, rules, regulations, guidelines, interpretations or directives thereunder or issued in connection therewith or the implementations thereof (whether or not having the force of Law) and</w:t>
      </w:r>
    </w:p>
    <w:p>
      <w:pPr>
        <w:spacing w:after="0" w:line="5" w:lineRule="exact"/>
        <w:rPr>
          <w:sz w:val="20"/>
          <w:szCs w:val="20"/>
          <w:color w:val="auto"/>
        </w:rPr>
      </w:pPr>
    </w:p>
    <w:p>
      <w:pPr>
        <w:jc w:val="both"/>
        <w:ind w:firstLine="8"/>
        <w:spacing w:after="0" w:line="241" w:lineRule="auto"/>
        <w:tabs>
          <w:tab w:leader="none" w:pos="339"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of Control</w:t>
      </w:r>
      <w:r>
        <w:rPr>
          <w:rFonts w:ascii="Times New Roman" w:cs="Times New Roman" w:eastAsia="Times New Roman" w:hAnsi="Times New Roman"/>
          <w:sz w:val="19"/>
          <w:szCs w:val="19"/>
          <w:color w:val="auto"/>
        </w:rPr>
        <w:t>” means: (a) any “person” or “group” (as such terms are used in Sections 13(d) and 14(d) of the Act, but excluding any employee benefit plan of such person or its Subsidiaries, and any person or entity acting in its capacity as trustee, agent or other fiduciary or administrator of any such plan) becomes the “beneficial owner” (as defined in Rules 13d-3 and 13d-5 under the Act,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 w:cs="Times New Roman" w:eastAsia="Times New Roman" w:hAnsi="Times New Roman"/>
          <w:sz w:val="19"/>
          <w:szCs w:val="19"/>
          <w:u w:val="single" w:color="auto"/>
          <w:color w:val="auto"/>
        </w:rPr>
        <w:t>option right</w:t>
      </w:r>
      <w:r>
        <w:rPr>
          <w:rFonts w:ascii="Times New Roman" w:cs="Times New Roman" w:eastAsia="Times New Roman" w:hAnsi="Times New Roman"/>
          <w:sz w:val="19"/>
          <w:szCs w:val="19"/>
          <w:color w:val="auto"/>
        </w:rPr>
        <w:t>”)), directly or indirectly, of 30% or more of the Equity Interests of the Borrower entitled to vote for members of the board of directors or equivalent governing body of the Borrower on a fully- diluted basis (and taking into account all such securities that such person or group has the right to acquire pursuant to any option right); or</w:t>
      </w:r>
    </w:p>
    <w:p>
      <w:pPr>
        <w:spacing w:after="0" w:line="5" w:lineRule="exact"/>
        <w:rPr>
          <w:sz w:val="20"/>
          <w:szCs w:val="20"/>
          <w:color w:val="auto"/>
        </w:rPr>
      </w:pPr>
    </w:p>
    <w:p>
      <w:pPr>
        <w:jc w:val="both"/>
        <w:ind w:firstLine="8"/>
        <w:spacing w:after="0"/>
        <w:tabs>
          <w:tab w:leader="none" w:pos="302"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24 consecutive months, a majority of the members of the board of directors or other equivalent governing body of the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Notwithstanding the foregoing, no “Change of Control” shall have occurred or be deemed to be continuing as a result of Cornelius B. Prior, Jr. or Michael Prior, or any spouse or lineal descendant, or any foundation established by, or trust or investment or similar vehicle formed for the benefit of, any of the foregoing, in each case, individually or collectively, directly or indirectly, having 30% or more of the Equity Interests of the Borrower entitled to vote for members of the board of directors or equivalent governing body of the Borrower on a fully-diluted basis.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Charges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0" w:name="page271"/>
    <w:bookmarkEnd w:id="270"/>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Class</w:t>
      </w:r>
      <w:r>
        <w:rPr>
          <w:rFonts w:ascii="Times New Roman" w:cs="Times New Roman" w:eastAsia="Times New Roman" w:hAnsi="Times New Roman"/>
          <w:sz w:val="20"/>
          <w:szCs w:val="20"/>
          <w:color w:val="auto"/>
        </w:rPr>
        <w:t>” means, when used in reference to any Loan, whether such Loan is a Revolving Loan, Swing Line Loan or Term Loan and, when used in reference to any Commitment, whether such Commitment is a Revolving Commitment or a Term Loan Commitment.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means July 13, 2023.</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CoBank</w:t>
      </w:r>
      <w:r>
        <w:rPr>
          <w:rFonts w:ascii="Times New Roman" w:cs="Times New Roman" w:eastAsia="Times New Roman" w:hAnsi="Times New Roman"/>
          <w:sz w:val="20"/>
          <w:szCs w:val="20"/>
          <w:color w:val="auto"/>
        </w:rPr>
        <w:t>” means CoBank, ACB, a federally chartered instrumentality of the United States.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CoBank Cash Management Agreement</w:t>
      </w:r>
      <w:r>
        <w:rPr>
          <w:rFonts w:ascii="Times New Roman" w:cs="Times New Roman" w:eastAsia="Times New Roman" w:hAnsi="Times New Roman"/>
          <w:sz w:val="20"/>
          <w:szCs w:val="20"/>
          <w:color w:val="auto"/>
        </w:rPr>
        <w:t>” means any Master Agreement for Cash Management and Transaction Services between CoBank and the Borrower, including all exhibits, schedules and annexes thereto and including all related forms delivered by the Borrower to CoBank in connection therewith.</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CoBank Equities</w:t>
      </w:r>
      <w:r>
        <w:rPr>
          <w:rFonts w:ascii="Times New Roman" w:cs="Times New Roman" w:eastAsia="Times New Roman" w:hAnsi="Times New Roman"/>
          <w:sz w:val="20"/>
          <w:szCs w:val="20"/>
          <w:color w:val="auto"/>
        </w:rPr>
        <w:t>” means any of the Borrower’s stock, patronage refunds issued in the form of stock or otherwise constituting allocated units, patronage surplus (including any such surplus accrued by CoBank for the account of the Borrower) and other equities in CoBank acquired in connection with, or because of the existence of, the Borrower’s patronage loan from CoBank (or its affiliate), and the proceeds of any of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means the collateral subject to any of the Collateral Documents or any other real or personal property of the Loan Parties, in each case pledged to the Administrative Agent for the benefit of the Secured Parties as security for the Secured Obligations.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Assignment</w:t>
      </w:r>
      <w:r>
        <w:rPr>
          <w:rFonts w:ascii="Times New Roman" w:cs="Times New Roman" w:eastAsia="Times New Roman" w:hAnsi="Times New Roman"/>
          <w:sz w:val="20"/>
          <w:szCs w:val="20"/>
          <w:color w:val="auto"/>
        </w:rPr>
        <w:t>” means any collateral assignment of a Material Agreement, in form and substance reasonably approved by the Administrative Agent, executed by the applicable Loan Party or Loan Parties and the counterparty to such Material Agreement in favor of the Administrative Agent, for the benefit of itself and the other Secured Parties.</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means, collectively, the Security Agreement, the Collateral Assignment (if any), the Intellectual Property Security Agreements (if any), the Mortgages (if any), the account control agreements (if any) and all instruments, documents or agreements pursuant to which the Borrower or any other Loan Party has granted a Lien to the Administrative Agent for the benefit of the Secured Parties to secure all or a portion of the Secured Obligations or that are necessary to perfect the Prior Security Interest of the Administrative Agent for the benefit of the Secured Parties in the collateral granted as security for the Secured Obligations.</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means, as to any Lender, the aggregate of its Revolving A-1 Commitment, any Swing Line Commitment (to the extent such Lender is a Swing Line Lender), Term A-1 Loan Commitment and any other Incremental Commitment or Incremental Commitments of such Lender with respect to any Additional Incremental Facility, as applicable, and “</w:t>
      </w:r>
      <w:r>
        <w:rPr>
          <w:rFonts w:ascii="Times New Roman" w:cs="Times New Roman" w:eastAsia="Times New Roman" w:hAnsi="Times New Roman"/>
          <w:sz w:val="20"/>
          <w:szCs w:val="20"/>
          <w:b w:val="1"/>
          <w:bCs w:val="1"/>
          <w:color w:val="auto"/>
        </w:rPr>
        <w:t>Commitments</w:t>
      </w:r>
      <w:r>
        <w:rPr>
          <w:rFonts w:ascii="Times New Roman" w:cs="Times New Roman" w:eastAsia="Times New Roman" w:hAnsi="Times New Roman"/>
          <w:sz w:val="20"/>
          <w:szCs w:val="20"/>
          <w:color w:val="auto"/>
        </w:rPr>
        <w:t>” means the aggregate of the Revolving A-1 Commitments, any Swing Line Commitment, Term A-1 Loan Commitments and other Incremental Commitments with respect to any Additional Incremental Facility of all of the Lenders (including any Swing Line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Commodity Exchange Act</w:t>
      </w:r>
      <w:r>
        <w:rPr>
          <w:rFonts w:ascii="Times New Roman" w:cs="Times New Roman" w:eastAsia="Times New Roman" w:hAnsi="Times New Roman"/>
          <w:sz w:val="20"/>
          <w:szCs w:val="20"/>
          <w:color w:val="auto"/>
        </w:rPr>
        <w:t>” means the Commodity Exchange Act (7 U.S.C. § 1 et seq.).</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Communications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71" w:name="page272"/>
    <w:bookmarkEnd w:id="271"/>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Communications Act</w:t>
      </w:r>
      <w:r>
        <w:rPr>
          <w:rFonts w:ascii="Times New Roman" w:cs="Times New Roman" w:eastAsia="Times New Roman" w:hAnsi="Times New Roman"/>
          <w:sz w:val="20"/>
          <w:szCs w:val="20"/>
          <w:color w:val="auto"/>
        </w:rPr>
        <w:t>” means the Communications Act of 1934, as amended, the rules and regulations of the FCC thereunder and codified in Title 47 of the Code of Federal Regulations, and the effective orders, decisions, rulings, published policies, and public notices of the FCC.</w:t>
      </w:r>
    </w:p>
    <w:p>
      <w:pPr>
        <w:spacing w:after="0" w:line="17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Communications Systems</w:t>
      </w:r>
      <w:r>
        <w:rPr>
          <w:rFonts w:ascii="Times New Roman" w:cs="Times New Roman" w:eastAsia="Times New Roman" w:hAnsi="Times New Roman"/>
          <w:sz w:val="20"/>
          <w:szCs w:val="20"/>
          <w:color w:val="auto"/>
        </w:rPr>
        <w:t>” means a system, network or business (a) providing (or capable of providing) voice, data, Internet access or video transport, connection, monitoring services, answering services or other communications and/or information or entertainment services (including cable television), through any means or medium, (b) providing (or capable of providing) facilities, marketing, management, technical and financial (including call rating) or other services to companies providing such transport, connection, monitoring service or other communications and/or information services, or (c) that is (or that is capable of) constructing, creating, developing or marketing communications-related networks, network equipment, software and other devices for use in any system or business described above.</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Certificate</w:t>
      </w:r>
      <w:r>
        <w:rPr>
          <w:rFonts w:ascii="Times New Roman" w:cs="Times New Roman" w:eastAsia="Times New Roman" w:hAnsi="Times New Roman"/>
          <w:sz w:val="20"/>
          <w:szCs w:val="20"/>
          <w:color w:val="auto"/>
        </w:rPr>
        <w:t xml:space="preserve">” means a certificate of the Borrower, signed by a Compliance Officer of the Borrower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Compliance Officer</w:t>
      </w:r>
      <w:r>
        <w:rPr>
          <w:rFonts w:ascii="Times New Roman" w:cs="Times New Roman" w:eastAsia="Times New Roman" w:hAnsi="Times New Roman"/>
          <w:sz w:val="20"/>
          <w:szCs w:val="20"/>
          <w:color w:val="auto"/>
        </w:rPr>
        <w:t>” means the Chief Executive Officer, President, Chief Financial Officer, Corporate Treasurer or Corporate Controller (or in the case of a Loan Party that is a limited liability company without officers, a manager or member authorized under such Loan Party’s Organizational Documents) of the Borrower or any other Loan Party, as the case may be.</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Connection Income Taxes</w:t>
      </w:r>
      <w:r>
        <w:rPr>
          <w:rFonts w:ascii="Times New Roman" w:cs="Times New Roman" w:eastAsia="Times New Roman" w:hAnsi="Times New Roman"/>
          <w:sz w:val="20"/>
          <w:szCs w:val="20"/>
          <w:color w:val="auto"/>
        </w:rPr>
        <w:t>” means Other Connection Taxes that are imposed on or measured by net income (however denominated) or that are franchise Taxes or branch profits Taxes.</w:t>
      </w:r>
    </w:p>
    <w:p>
      <w:pPr>
        <w:spacing w:after="0" w:line="15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Contingent Obligations</w:t>
      </w:r>
      <w:r>
        <w:rPr>
          <w:rFonts w:ascii="Times New Roman" w:cs="Times New Roman" w:eastAsia="Times New Roman" w:hAnsi="Times New Roman"/>
          <w:sz w:val="20"/>
          <w:szCs w:val="20"/>
          <w:color w:val="auto"/>
        </w:rPr>
        <w:t>” means, as applied to any Person, any direct or indirect liability of that Person: (a) with respect to any indebtedness, lease, dividend or other obligation of another Person if the primary effect thereof, is to provide assurance to the obligee of such liability that such liability will be paid, performed or discharged, or that any agreements relating thereto will be complied with, or that the holders of such liability will be protected (in whole or in part) against loss with respect thereto; (b) with respect to any letter of credit issued for the account of that Person or as to which that Person is otherwise liable for reimbursement of drawings; or (c) under any foreign exchange contract, currency swap agreement, interest rate swap agreement or other similar agreement or arrangement designed to alter the risks of that Person arising from fluctuations in currency values or interest rates. Contingent Obligations should also include (i) the direct or indirect guaranty, endorsement (other than for collection or deposit in the ordinary course of business), co-making, discounting with recourse or sale with recourse by such Person of the obligations of another, (ii) obligations to make take-or-pay or similar payments if required regardless of the nonperformance by any other party or parties to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 and (iii) obligations under any revenue sharing agreement with vendors. The amount of any Contingent Obligation shall be equal at all times to the amount of the obligations so guaranteed or otherwise supported or, if not a fixed and determined amount, the maximum amount so guaranteed.</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Contributing Qualifying Subsidiary</w:t>
      </w:r>
      <w:r>
        <w:rPr>
          <w:rFonts w:ascii="Times New Roman" w:cs="Times New Roman" w:eastAsia="Times New Roman" w:hAnsi="Times New Roman"/>
          <w:sz w:val="20"/>
          <w:szCs w:val="20"/>
          <w:color w:val="auto"/>
        </w:rPr>
        <w:t>” means any (A) Domestic Subsidiary that is a Restricted Subsidiary, (B) any Restricted Subsidiary that is organized and existing under the laws of Bermuda and (C) any other Restricted Subsidiary that is organized and existing under the laws of other jurisdictions designated by Borrower as a “Contributing Qualifying Subsidiary” and otherwise consented to by the Administrative Agent in its sole discretion.</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72" w:name="page273"/>
    <w:bookmarkEnd w:id="272"/>
    <w:p>
      <w:pPr>
        <w:jc w:val="both"/>
        <w:spacing w:after="0" w:line="273" w:lineRule="auto"/>
        <w:rPr>
          <w:sz w:val="20"/>
          <w:szCs w:val="20"/>
          <w:color w:val="auto"/>
        </w:rPr>
      </w:pPr>
      <w:r>
        <w:rPr>
          <w:rFonts w:ascii="Times New Roman" w:cs="Times New Roman" w:eastAsia="Times New Roman" w:hAnsi="Times New Roman"/>
          <w:sz w:val="19"/>
          <w:szCs w:val="19"/>
          <w:color w:val="auto"/>
        </w:rPr>
        <w:t>or otherwise. Without limiting the generality of the foregoing, a Person shall be deemed to be “controlled by” another Person if such Person holds, directly or indirectly, power to vote 10% or more of the securities having ordinary voting power for the election of directors of such other Person. “</w:t>
      </w:r>
      <w:r>
        <w:rPr>
          <w:rFonts w:ascii="Times New Roman" w:cs="Times New Roman" w:eastAsia="Times New Roman" w:hAnsi="Times New Roman"/>
          <w:sz w:val="19"/>
          <w:szCs w:val="19"/>
          <w:b w:val="1"/>
          <w:bCs w:val="1"/>
          <w:color w:val="auto"/>
        </w:rPr>
        <w:t>Controlling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color w:val="auto"/>
        </w:rPr>
        <w:t>Controlled</w:t>
      </w:r>
      <w:r>
        <w:rPr>
          <w:rFonts w:ascii="Times New Roman" w:cs="Times New Roman" w:eastAsia="Times New Roman" w:hAnsi="Times New Roman"/>
          <w:sz w:val="19"/>
          <w:szCs w:val="19"/>
          <w:color w:val="auto"/>
        </w:rPr>
        <w:t>” have meanings analogous thereto.</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Conversion or Continuation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Credit Extension</w:t>
      </w:r>
      <w:r>
        <w:rPr>
          <w:rFonts w:ascii="Times New Roman" w:cs="Times New Roman" w:eastAsia="Times New Roman" w:hAnsi="Times New Roman"/>
          <w:sz w:val="20"/>
          <w:szCs w:val="20"/>
          <w:color w:val="auto"/>
        </w:rPr>
        <w:t>” means the making, conversion or continuation of any Borrowing, Loan or Swing Line Loan or the issuing, extending, amending, renewing or increasing of any Letter of Credit.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Cure Deadline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Daily Simple SOFR Rate</w:t>
      </w:r>
      <w:r>
        <w:rPr>
          <w:rFonts w:ascii="Times New Roman" w:cs="Times New Roman" w:eastAsia="Times New Roman" w:hAnsi="Times New Roman"/>
          <w:sz w:val="20"/>
          <w:szCs w:val="20"/>
          <w:color w:val="auto"/>
        </w:rPr>
        <w:t>” means, for any day (a “</w:t>
      </w:r>
      <w:r>
        <w:rPr>
          <w:rFonts w:ascii="Times New Roman" w:cs="Times New Roman" w:eastAsia="Times New Roman" w:hAnsi="Times New Roman"/>
          <w:sz w:val="20"/>
          <w:szCs w:val="20"/>
          <w:b w:val="1"/>
          <w:bCs w:val="1"/>
          <w:color w:val="auto"/>
        </w:rPr>
        <w:t>Daily Simple SOFR Rate Day</w:t>
      </w:r>
      <w:r>
        <w:rPr>
          <w:rFonts w:ascii="Times New Roman" w:cs="Times New Roman" w:eastAsia="Times New Roman" w:hAnsi="Times New Roman"/>
          <w:sz w:val="20"/>
          <w:szCs w:val="20"/>
          <w:color w:val="auto"/>
        </w:rPr>
        <w:t>”), a rate per annum equal to the greater of (a) SOFR for the day (such day, a “</w:t>
      </w:r>
      <w:r>
        <w:rPr>
          <w:rFonts w:ascii="Times New Roman" w:cs="Times New Roman" w:eastAsia="Times New Roman" w:hAnsi="Times New Roman"/>
          <w:sz w:val="20"/>
          <w:szCs w:val="20"/>
          <w:b w:val="1"/>
          <w:bCs w:val="1"/>
          <w:color w:val="auto"/>
        </w:rPr>
        <w:t>Daily Simple SOFR Determination Date</w:t>
      </w:r>
      <w:r>
        <w:rPr>
          <w:rFonts w:ascii="Times New Roman" w:cs="Times New Roman" w:eastAsia="Times New Roman" w:hAnsi="Times New Roman"/>
          <w:sz w:val="20"/>
          <w:szCs w:val="20"/>
          <w:color w:val="auto"/>
        </w:rPr>
        <w:t xml:space="preserve">”) that is five U.S. Government Securities Business Days prior to (i) if such Daily Simple SOFR Rate Day is a U.S. Government Securities Business Day, such Daily Simple SOFR Rate Day or (ii) if such Daily Simple SOFR Rate Day is not a U.S. Government Securities Business Day, the U.S. Government Securities Business Day immediately preceding such Daily Simple SOFR Rate Day, in each case, as such SOFR is published by the SOFR Administrator on the SOFR Administrator’s Website, and (b) the Floor. If by 3:00 p.m. on the second U.S. Government Securities Business Day immediately following any Daily Simple SOFR Determination Date, SOFR in respect of such Daily Simple SOFR Determination Date has not been published on the SOFR Administrator’s Website and a Benchmark Transition Event with respect to the Daily Simple SOFR Rate has not occurred, then SOFR for such Daily Simple SOFR Determination Date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SOFR determined pursuant to this sentence shall be utilized for purposes of the calculation of the Daily Simple SOFR Rate for no more than three consecutive Daily Simple SOFR Rate Days. Any change in the Daily Simple SOFR Rate due to a change in SOFR shall be effective from and including the effective date of such change in SOFR without notice to the Borrower or any other Person.</w:t>
      </w:r>
    </w:p>
    <w:p>
      <w:pPr>
        <w:spacing w:after="0" w:line="194"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 Incurrence</w:t>
      </w:r>
      <w:r>
        <w:rPr>
          <w:rFonts w:ascii="Times New Roman" w:cs="Times New Roman" w:eastAsia="Times New Roman" w:hAnsi="Times New Roman"/>
          <w:sz w:val="20"/>
          <w:szCs w:val="20"/>
          <w:color w:val="auto"/>
        </w:rPr>
        <w:t>” means the incurrence by the Borrower or any of its Restricted Subsidiaries on or after the Closing Date of any Indebtedness other than the Obligations.</w:t>
      </w:r>
    </w:p>
    <w:p>
      <w:pPr>
        <w:spacing w:after="0" w:line="1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Debtor Relief Laws</w:t>
      </w:r>
      <w:r>
        <w:rPr>
          <w:rFonts w:ascii="Times New Roman" w:cs="Times New Roman" w:eastAsia="Times New Roman" w:hAnsi="Times New Roman"/>
          <w:sz w:val="20"/>
          <w:szCs w:val="20"/>
          <w:color w:val="auto"/>
        </w:rPr>
        <w:t>” means the Bankruptcy Code,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event or condition that with notice or passage of time, or both, would constitute an Event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Default.</w:t>
      </w:r>
    </w:p>
    <w:p>
      <w:pPr>
        <w:spacing w:after="0" w:line="19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Rate</w:t>
      </w:r>
      <w:r>
        <w:rPr>
          <w:rFonts w:ascii="Times New Roman" w:cs="Times New Roman" w:eastAsia="Times New Roman" w:hAnsi="Times New Roman"/>
          <w:sz w:val="20"/>
          <w:szCs w:val="20"/>
          <w:color w:val="auto"/>
        </w:rPr>
        <w:t xml:space="preserve">” means, as of any date of determination, the following: (a) for Base Rate Loans, the rate determined in accordance with the Base Rate Option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margin of 2.00% per annum, (b) for Term SOFR Rate Loans, the rate determined in accordance with the Term SOFR Rate Option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margin of 2.00% per annum, (c) for Letter of Credit Fees, the Applicable Letter of Credit Fee Rate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margin of 2.00% per annum and (d) for all other Obligations, the rate determined in accordance with the Base Rate Option as of such date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an additional margin of 2.00% per annum.</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Defaulting Lender</w:t>
      </w:r>
      <w:r>
        <w:rPr>
          <w:rFonts w:ascii="Times New Roman" w:cs="Times New Roman" w:eastAsia="Times New Roman" w:hAnsi="Times New Roman"/>
          <w:sz w:val="20"/>
          <w:szCs w:val="20"/>
          <w:color w:val="auto"/>
        </w:rPr>
        <w:t xml:space="preserve">” means,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any Lender that (a) has failed to (i) fund all or any portion of its Loans within two Business Days of the date such Loans were required to be 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3" w:name="page274"/>
    <w:bookmarkEnd w:id="273"/>
    <w:p>
      <w:pPr>
        <w:jc w:val="both"/>
        <w:spacing w:after="0" w:line="254" w:lineRule="auto"/>
        <w:rPr>
          <w:sz w:val="20"/>
          <w:szCs w:val="20"/>
          <w:color w:val="auto"/>
        </w:rPr>
      </w:pPr>
      <w:r>
        <w:rPr>
          <w:rFonts w:ascii="Times New Roman" w:cs="Times New Roman" w:eastAsia="Times New Roman" w:hAnsi="Times New Roman"/>
          <w:sz w:val="19"/>
          <w:szCs w:val="19"/>
          <w:color w:val="auto"/>
        </w:rPr>
        <w:t>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Lender, the Swing Line Lender or any other Lender any other amount required to be paid by it hereunder (including in respect of its participation in Letters of Credit or Swing Line Loans) within two (2) Business Days of the date when due, (b) has notified the Borrower, the Administrative Agent or the Issuing Lender or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w:t>
      </w:r>
    </w:p>
    <w:p>
      <w:pPr>
        <w:spacing w:after="0" w:line="4" w:lineRule="exact"/>
        <w:rPr>
          <w:sz w:val="20"/>
          <w:szCs w:val="20"/>
          <w:color w:val="auto"/>
        </w:rPr>
      </w:pPr>
    </w:p>
    <w:p>
      <w:pPr>
        <w:jc w:val="both"/>
        <w:ind w:firstLine="8"/>
        <w:spacing w:after="0" w:line="239" w:lineRule="auto"/>
        <w:tabs>
          <w:tab w:leader="none" w:pos="295"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has failed, within three (3) Business Days after written request by the Administrative Agent, the Borrower or, to the extent the Issuing Lender has outstanding Letter of Credit Obligations at such time, the Issuing Lender, to confirm in writing to the Administrative Agent and the Borrower that it will comply with its prospective funding obligations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shall cease to be a Defaulting Lender pursuant to this clause (c) upon receipt of such written confirmation by the Administrative Agent, the Borrower or the Issuing Lender), or (d) has, or has a direct or indirect parent company that has, (x) become the subject of a proceeding under any Debtor Relief Law, (y)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or other Governmental Authority acting in such a capacity or (z) become the subject of a Bail-In Action;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(d)</w:t>
      </w:r>
      <w:r>
        <w:rPr>
          <w:rFonts w:ascii="Times New Roman" w:cs="Times New Roman" w:eastAsia="Times New Roman" w:hAnsi="Times New Roman"/>
          <w:sz w:val="20"/>
          <w:szCs w:val="20"/>
          <w:color w:val="auto"/>
        </w:rPr>
        <w:t xml:space="preserve"> above shall be conclusive and binding absent manifest error, and, subject to any cure rights provided above, such Lender shall be deemed to be a Defaulting Lender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upon delivery of written notice of such determination to the Borrower, the Issuing Lender, the Swing Line Lender and each Lender.</w:t>
      </w:r>
    </w:p>
    <w:p>
      <w:pPr>
        <w:spacing w:after="0" w:line="19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Dispose</w:t>
      </w:r>
      <w:r>
        <w:rPr>
          <w:rFonts w:ascii="Times New Roman" w:cs="Times New Roman" w:eastAsia="Times New Roman" w:hAnsi="Times New Roman"/>
          <w:sz w:val="20"/>
          <w:szCs w:val="20"/>
          <w:color w:val="auto"/>
        </w:rPr>
        <w:t>” means the sale, transfer, license, abandonment, lapse, lease or other disposition (including any sale and leaseback transaction) of any property or asset by any Person.</w:t>
      </w:r>
    </w:p>
    <w:p>
      <w:pPr>
        <w:spacing w:after="0" w:line="1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Disqualified Equity Interests</w:t>
      </w:r>
      <w:r>
        <w:rPr>
          <w:rFonts w:ascii="Times New Roman" w:cs="Times New Roman" w:eastAsia="Times New Roman" w:hAnsi="Times New Roman"/>
          <w:sz w:val="19"/>
          <w:szCs w:val="19"/>
          <w:color w:val="auto"/>
        </w:rPr>
        <w:t>” means any Equity Interest that, by its terms (or the terms of any security or other Equity Interests into which it is convertible or for which it is exchangeable), or upon the happening of any event or condition</w:t>
      </w:r>
    </w:p>
    <w:p>
      <w:pPr>
        <w:spacing w:after="0" w:line="1" w:lineRule="exact"/>
        <w:rPr>
          <w:sz w:val="20"/>
          <w:szCs w:val="20"/>
          <w:color w:val="auto"/>
        </w:rPr>
      </w:pPr>
    </w:p>
    <w:p>
      <w:pPr>
        <w:jc w:val="both"/>
        <w:ind w:firstLine="8"/>
        <w:spacing w:after="0"/>
        <w:tabs>
          <w:tab w:leader="none" w:pos="272"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matures or is mandatorily redeemable (other than solely for Equity Interests that are Qualified Equity Interests), pursuant to a sinking fund obligation or otherwise (except as a result of a “change of control” or asset sale so long as any rights of the holders thereof upon the occurrence of a “change of control” or asset sale event shall be subject to the Payment In Full of all Secured Obligations), (b) is redeemable at the option of the holder thereof, in whole or in part, (c) provides for scheduled payments of dividends in cash, or (d) is or becomes convertible into or exchangeable for Indebtedness or any other Equity Interests that would not constitute Qualified Equity Interests, in each case, prior to the date that is 180 days after the Payment In Full of all Secured Obligations.</w:t>
      </w:r>
    </w:p>
    <w:p>
      <w:pPr>
        <w:spacing w:after="0" w:line="187"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Institutions</w:t>
      </w:r>
      <w:r>
        <w:rPr>
          <w:rFonts w:ascii="Times New Roman" w:cs="Times New Roman" w:eastAsia="Times New Roman" w:hAnsi="Times New Roman"/>
          <w:sz w:val="20"/>
          <w:szCs w:val="20"/>
          <w:color w:val="auto"/>
        </w:rPr>
        <w:t>” means, collectively, (a) competitors of the Borrower and its Subsidiaries specified to the Administrative Agent by the Borrower in writing from time to time, and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4" w:name="page275"/>
    <w:bookmarkEnd w:id="274"/>
    <w:p>
      <w:pPr>
        <w:ind w:right="20" w:firstLine="8"/>
        <w:spacing w:after="0" w:line="268" w:lineRule="auto"/>
        <w:tabs>
          <w:tab w:leader="none" w:pos="283"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banks, financial institutions, other institutional lenders and other entities, in each case, that have been specified to the Administrative Agent by the Borrower in writing on or prior to the Closing Date.</w:t>
      </w:r>
    </w:p>
    <w:p>
      <w:pPr>
        <w:spacing w:after="0" w:line="15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Division</w:t>
      </w:r>
      <w:r>
        <w:rPr>
          <w:rFonts w:ascii="Times New Roman" w:cs="Times New Roman" w:eastAsia="Times New Roman" w:hAnsi="Times New Roman"/>
          <w:sz w:val="20"/>
          <w:szCs w:val="20"/>
          <w:color w:val="auto"/>
        </w:rPr>
        <w:t>” means, in reference to any Person which is an entity, the division of such Person into two (2) or more separate Persons with the dividing Person either continuing or terminating its existence as part of the division including as contemplated under Section 18-217 of the Delaware Limited Liability Act for limited liability companies formed under Delaware Law or any analogous action taken pursuant to any applicable Law with respect to any corporation, limited liability company, partnership or other entity. The word “Divide”, when capitalized shall have analogous meaning.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U.S. Dollars</w:t>
      </w:r>
      <w:r>
        <w:rPr>
          <w:rFonts w:ascii="Times New Roman" w:cs="Times New Roman" w:eastAsia="Times New Roman" w:hAnsi="Times New Roman"/>
          <w:sz w:val="20"/>
          <w:szCs w:val="20"/>
          <w:color w:val="auto"/>
        </w:rPr>
        <w:t>” and the symbol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means lawful money of the United States of America.</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Domestic Foreign Holdco</w:t>
      </w:r>
      <w:r>
        <w:rPr>
          <w:rFonts w:ascii="Times New Roman" w:cs="Times New Roman" w:eastAsia="Times New Roman" w:hAnsi="Times New Roman"/>
          <w:sz w:val="20"/>
          <w:szCs w:val="20"/>
          <w:color w:val="auto"/>
        </w:rPr>
        <w:t>” means any Domestic Subsidiary substantially all of the assets of which are Equity Interests of one or more Specified CFCs (other than any Material Foreign Subsidiary) and, if applicable, debt of such Specified CFCs (other than any Material Foreign Subsidiary).</w:t>
      </w:r>
    </w:p>
    <w:p>
      <w:pPr>
        <w:spacing w:after="0" w:line="169" w:lineRule="exact"/>
        <w:rPr>
          <w:sz w:val="20"/>
          <w:szCs w:val="20"/>
          <w:color w:val="auto"/>
        </w:rPr>
      </w:pPr>
    </w:p>
    <w:p>
      <w:pPr>
        <w:jc w:val="both"/>
        <w:ind w:right="20"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Domestic Subsidiary</w:t>
      </w:r>
      <w:r>
        <w:rPr>
          <w:rFonts w:ascii="Times New Roman" w:cs="Times New Roman" w:eastAsia="Times New Roman" w:hAnsi="Times New Roman"/>
          <w:sz w:val="19"/>
          <w:szCs w:val="19"/>
          <w:color w:val="auto"/>
        </w:rPr>
        <w:t>” means any Subsidiary of the Borrower that is organized and existing under the Laws of the United States of America or any state, commonwealth or territory thereof or under the Laws of the District of Columbia.</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Drawing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EBITDA</w:t>
      </w:r>
      <w:r>
        <w:rPr>
          <w:rFonts w:ascii="Times New Roman" w:cs="Times New Roman" w:eastAsia="Times New Roman" w:hAnsi="Times New Roman"/>
          <w:sz w:val="20"/>
          <w:szCs w:val="20"/>
          <w:color w:val="auto"/>
        </w:rPr>
        <w:t xml:space="preserve">” means the result of (i) the sum without duplication of (1) net income or deficit, as the case may be, excluding gains or losses on the sale of assets and extraordinary (nonrecurring, one-time) gains and losses, (2) total interest expense (including non-cash interest), (3) depreciation and amortization expense, (4) income taxes, (5) certain one time items and/or adjustments associated with any acquisition to be agreed upon by Administrative Agent in its reasonable discretion, (6) losses from the disposal or impairment of property and equipment and other long-term assets, including, goodwill, intangibles and spectrum, (7) cash dividends from unconsolidated Subsidiaries and joint ventures, (8) any other non-cash expenses, charges, losses, or infrequent, unusual or extraordinary items reducing net income for such period to the extent such non-cash items do not represent a cash item in any future period, and (9) any transaction costs and similar amounts that would be required to be expensed as a result of the application of FAS No. 141(R) (whether or not applicable thereto),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to the extent included in calculating net income or deficit, the sum of (1) interest income, (2) non-cash dividends and patronage income, (3) equity in earnings from unconsolidated Subsidiaries and joint ventures, and (4) any aggregate net gains arising from the sale, exchange, or other disposition of fixed assets, investments, securities, intangibles, and spectrum, all measured for the then most recently completed four (4) fiscal quarters.</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Financial Institution</w:t>
      </w:r>
      <w:r>
        <w:rPr>
          <w:rFonts w:ascii="Times New Roman" w:cs="Times New Roman" w:eastAsia="Times New Roman" w:hAnsi="Times New Roman"/>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definition and is subject to consolidated supervision with its parent.</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Member Country</w:t>
      </w:r>
      <w:r>
        <w:rPr>
          <w:rFonts w:ascii="Times New Roman" w:cs="Times New Roman" w:eastAsia="Times New Roman" w:hAnsi="Times New Roman"/>
          <w:sz w:val="20"/>
          <w:szCs w:val="20"/>
          <w:color w:val="auto"/>
        </w:rPr>
        <w:t>” means any of the member states of the European Union,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5" w:name="page276"/>
    <w:bookmarkEnd w:id="275"/>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EEA Resolution Authority</w:t>
      </w:r>
      <w:r>
        <w:rPr>
          <w:rFonts w:ascii="Times New Roman" w:cs="Times New Roman" w:eastAsia="Times New Roman" w:hAnsi="Times New Roman"/>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1"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Eligible Assignee</w:t>
      </w:r>
      <w:r>
        <w:rPr>
          <w:rFonts w:ascii="Times New Roman" w:cs="Times New Roman" w:eastAsia="Times New Roman" w:hAnsi="Times New Roman"/>
          <w:sz w:val="20"/>
          <w:szCs w:val="20"/>
          <w:color w:val="auto"/>
        </w:rPr>
        <w:t xml:space="preserve">” means any Person that meets the requirements to be an assignee under </w:t>
      </w:r>
      <w:r>
        <w:rPr>
          <w:rFonts w:ascii="Times New Roman" w:cs="Times New Roman" w:eastAsia="Times New Roman" w:hAnsi="Times New Roman"/>
          <w:sz w:val="20"/>
          <w:szCs w:val="20"/>
          <w:u w:val="single" w:color="auto"/>
          <w:color w:val="auto"/>
        </w:rPr>
        <w:t>Sections 11.7(b)(iii)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11.7(b)(v)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11.7(b)(vi)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11.7(b)(iii)</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any and all applicable federal, state, local and foreign Laws, common law, and any consent decrees, permits, licenses, agreements or other restrictions with or of a Governmental Authority relating to: (a) protection of the environment or natural resources from, or emissions, discharges, releases or threatened releases of, any materials, including Hazardous Materials, in the environment including ambient air, surface, water, ground water or land, (b) the generation, handling, use, labeling, disposal, transportation, reclamation and remediation of Hazardous Materials; (c) protection of human health, safety or the environment; and (d) the protection of endangered or threatened species.</w:t>
      </w:r>
    </w:p>
    <w:p>
      <w:pPr>
        <w:spacing w:after="0" w:line="17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Liability</w:t>
      </w:r>
      <w:r>
        <w:rPr>
          <w:rFonts w:ascii="Times New Roman" w:cs="Times New Roman" w:eastAsia="Times New Roman" w:hAnsi="Times New Roman"/>
          <w:sz w:val="20"/>
          <w:szCs w:val="20"/>
          <w:color w:val="auto"/>
        </w:rPr>
        <w:t>” means any liability, contingent or otherwise (including any liability for damages, costs of environmental remediation, fines, penalties or indemnities), of the Borrower or any Restricted Subsidiary resulting from or based upon (a) violation of any Environmental Law; (b) the generation, use, handling, transportation, storage, treatment, disposal or permitting or arranging for the disposal of any Hazardous Materials; (c) exposure to any Hazardous Materials;</w:t>
      </w:r>
    </w:p>
    <w:p>
      <w:pPr>
        <w:spacing w:after="0" w:line="1" w:lineRule="exact"/>
        <w:rPr>
          <w:sz w:val="20"/>
          <w:szCs w:val="20"/>
          <w:color w:val="auto"/>
        </w:rPr>
      </w:pPr>
    </w:p>
    <w:p>
      <w:pPr>
        <w:ind w:firstLine="8"/>
        <w:spacing w:after="0" w:line="246" w:lineRule="auto"/>
        <w:tabs>
          <w:tab w:leader="none" w:pos="32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release or threatened release of any Hazardous Materials; or (e) any contract, agreement or other consensual arrangement pursuant to which liability is assumed or imposed with respect to any of the foregoing.</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Interests</w:t>
      </w:r>
      <w:r>
        <w:rPr>
          <w:rFonts w:ascii="Times New Roman" w:cs="Times New Roman" w:eastAsia="Times New Roman" w:hAnsi="Times New Roman"/>
          <w:sz w:val="20"/>
          <w:szCs w:val="20"/>
          <w:color w:val="auto"/>
        </w:rPr>
        <w:t>” has the meaning specified in the Security Agreement.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Equity Issuance</w:t>
      </w:r>
      <w:r>
        <w:rPr>
          <w:rFonts w:ascii="Times New Roman" w:cs="Times New Roman" w:eastAsia="Times New Roman" w:hAnsi="Times New Roman"/>
          <w:sz w:val="20"/>
          <w:szCs w:val="20"/>
          <w:color w:val="auto"/>
        </w:rPr>
        <w:t>” means (a) any issuance or sale by the Borrower or any of its Subsidiaries of any Equity Interests, or (b) any equity contribution or capital contribution in respect of any Equity Interests of the Borrower or any of its Subsidiaries, in each case at any time after the Closing Date.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 as amended from time to time.</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any Person, or trade or business (whether or not incorporated) which is a member of a controlled group or under common control with any Loan Party within the meaning of Sections 414(b) or (c) of the IRC (and Sections 414(m) and (o) of the IRC for purposes of provisions relating to Section 412 of the IRC).</w:t>
      </w:r>
    </w:p>
    <w:p>
      <w:pPr>
        <w:spacing w:after="0" w:line="16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ERISA Event</w:t>
      </w:r>
      <w:r>
        <w:rPr>
          <w:rFonts w:ascii="Times New Roman" w:cs="Times New Roman" w:eastAsia="Times New Roman" w:hAnsi="Times New Roman"/>
          <w:sz w:val="19"/>
          <w:szCs w:val="19"/>
          <w:color w:val="auto"/>
        </w:rPr>
        <w:t>” means with respect to any Loan Party, any ERISA Affiliate or any Pension Plan, the occurrence of any of the following: (A) a Reportable Event; (B) a withdrawal by a substantial employer (as defined in Section 4001(a)(12) of ERISA) subject to Section 4063 of ERISA; (C) a cessation of operations which is treated as a withdrawal under Section 4062(e) of ERISA; (D) a complete or partial withdrawal under Section 4203 or 4205 of ERISA from a Multi-employer Plan;</w:t>
      </w:r>
    </w:p>
    <w:p>
      <w:pPr>
        <w:spacing w:after="0" w:line="1" w:lineRule="exact"/>
        <w:rPr>
          <w:sz w:val="20"/>
          <w:szCs w:val="20"/>
          <w:color w:val="auto"/>
        </w:rPr>
      </w:pPr>
    </w:p>
    <w:p>
      <w:pPr>
        <w:jc w:val="both"/>
        <w:ind w:firstLine="8"/>
        <w:spacing w:after="0" w:line="255" w:lineRule="auto"/>
        <w:tabs>
          <w:tab w:leader="none" w:pos="303" w:val="left"/>
        </w:tabs>
        <w:numPr>
          <w:ilvl w:val="0"/>
          <w:numId w:val="24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notification that a Pension Plan or a Multiemployer Plan is considered an at-risk plan or a plan in endangered or critical status within the meaning of Sections 430, 431 and 432 of the IRC, or Sections 303, 304 and 305 of ERISA; (F) the filing of a notice of intent to terminate a Pension Plan under 4041 of ERISA; (G) the treatment of an amendment of a Pension Plan as a termination under 4041 of ERISA; (H) the termination of a Multi- employer Plan under Section 4041A of ERISA; (I) the commencement of proceedings by the PBGC to terminate a Pension Plan under 4042 of ERISA; (J) an event or condition which could reasonably be expected to constitute grounds under Section 4042 of ERISA for the termination of, or the appointment of a trustee to administer, a Pension Plan; (K) the imposition of any liability under Title IV of ERISA,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76" w:name="page277"/>
    <w:bookmarkEnd w:id="276"/>
    <w:p>
      <w:pPr>
        <w:jc w:val="both"/>
        <w:spacing w:after="0" w:line="268" w:lineRule="auto"/>
        <w:rPr>
          <w:sz w:val="20"/>
          <w:szCs w:val="20"/>
          <w:color w:val="auto"/>
        </w:rPr>
      </w:pPr>
      <w:r>
        <w:rPr>
          <w:rFonts w:ascii="Times New Roman" w:cs="Times New Roman" w:eastAsia="Times New Roman" w:hAnsi="Times New Roman"/>
          <w:sz w:val="20"/>
          <w:szCs w:val="20"/>
          <w:color w:val="auto"/>
        </w:rPr>
        <w:t>than PBGC premiums due but not delinquent under Section 4007 of ERISA or (L) any transaction that could subject any Loan Party or any ERISA Affiliate to liability under Section 4069 or 4212 of ERISA.</w:t>
      </w:r>
    </w:p>
    <w:p>
      <w:pPr>
        <w:spacing w:after="0" w:line="15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EU Bail-In Legislation Schedule</w:t>
      </w:r>
      <w:r>
        <w:rPr>
          <w:rFonts w:ascii="Times New Roman" w:cs="Times New Roman" w:eastAsia="Times New Roman" w:hAnsi="Times New Roman"/>
          <w:sz w:val="20"/>
          <w:szCs w:val="20"/>
          <w:color w:val="auto"/>
        </w:rPr>
        <w:t>” means the EU Bail-In Legislation Schedule published by the Loan Market Association (or any successor Person), as in effect from time to time.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means any of the events described in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and referred to therein as an “</w:t>
      </w:r>
      <w:r>
        <w:rPr>
          <w:rFonts w:ascii="Times New Roman" w:cs="Times New Roman" w:eastAsia="Times New Roman" w:hAnsi="Times New Roman"/>
          <w:sz w:val="20"/>
          <w:szCs w:val="20"/>
          <w:b w:val="1"/>
          <w:bCs w:val="1"/>
          <w:color w:val="auto"/>
        </w:rPr>
        <w:t>Event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Accounts</w:t>
      </w:r>
      <w:r>
        <w:rPr>
          <w:rFonts w:ascii="Times New Roman" w:cs="Times New Roman" w:eastAsia="Times New Roman" w:hAnsi="Times New Roman"/>
          <w:sz w:val="20"/>
          <w:szCs w:val="20"/>
          <w:color w:val="auto"/>
        </w:rPr>
        <w:t>” means any deposit account of any Loan Party (a) which is used for the sole purpose of making payroll and withholding tax payments related thereto and other employee wage and benefit payments and accrued and unpaid employee compensation payments (including salaries, wages, benefits and expense reimbursements, 401(k) and other retirement plans and employee benefits, including rabbi trusts for deferred compensation and health care benefits), (b) which are zero balance accounts, (c) which is used solely for paying taxes, including sales taxes, (d) Funding Program Deposit Accounts or (e) which is used as an escrow account or as a fiduciary or trust account for the benefit of an unaffiliated third party or is otherwise held exclusively for the benefit of an unaffiliated third party (including any account solely holding amounts representing fines, violations, fees and similar amounts paid by third parties and owed to municipalities).</w:t>
      </w:r>
    </w:p>
    <w:p>
      <w:pPr>
        <w:spacing w:after="0" w:line="18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Excluded Subsidiary</w:t>
      </w:r>
      <w:r>
        <w:rPr>
          <w:rFonts w:ascii="Times New Roman" w:cs="Times New Roman" w:eastAsia="Times New Roman" w:hAnsi="Times New Roman"/>
          <w:sz w:val="19"/>
          <w:szCs w:val="19"/>
          <w:color w:val="auto"/>
        </w:rPr>
        <w:t>” means any Restricted Subsidiary (A) that is an Immaterial Subsidiary, (B) with respect to which the Administrative Agent and the Borrower mutually agree in writing that the burden or cost or other tax consequences (including any material adverse tax consequences) of becoming a Guarantor shall be excessive in view of the benefits obtained by the Lenders therefrom (for the avoidance of doubt, no such Subsidiaries have been designated as such as of the Closing Date), (C) that is a Specified CFC (other than a Material Foreign Subsidiary), (D) that is a Domestic Foreign Holdco, (E) that is a Domestic Subsidiary of a Specified CFC, (F) that is a Stimulus Recipient Subsidiary, (G) CAH Holdco and the CAH Holdco Subsidiaries, and (H) each of Sacred Wind Communications, Inc. and SW DinehNet, LLC.</w:t>
      </w:r>
    </w:p>
    <w:p>
      <w:pPr>
        <w:spacing w:after="0" w:line="16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Swap Obligation</w:t>
      </w:r>
      <w:r>
        <w:rPr>
          <w:rFonts w:ascii="Times New Roman" w:cs="Times New Roman" w:eastAsia="Times New Roman" w:hAnsi="Times New Roman"/>
          <w:sz w:val="20"/>
          <w:szCs w:val="20"/>
          <w:color w:val="auto"/>
        </w:rPr>
        <w:t xml:space="preserve">” means, with respect to any Loan Party providing a Guaranty of or granting a security interest to secure any Swap Obligation of another Loan Party, if, and to the extent that, all or a portion of the Guaranty of such Loan Party of,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not to constitute an “eligible contract participant” as defined in the Commodity Exchange Act (determined after giving effect to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and any other “keepwell, support or other agreements” for the benefit of such Guarantor) at the time the Guaranty of, or the grant of such security interest by, such Loan Party becomes effective with respect to such related Swap Obligation. If a Swap Obligation arises under a master agreement governing more than one swap, such exclusion shall apply only to the portion of such Swap Obligation that is attributable to swaps for which such Guaranty or grant of security interest is or becomes illegal.</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7" w:name="page278"/>
    <w:bookmarkEnd w:id="277"/>
    <w:p>
      <w:pPr>
        <w:spacing w:after="0" w:line="263" w:lineRule="auto"/>
        <w:rPr>
          <w:sz w:val="20"/>
          <w:szCs w:val="20"/>
          <w:color w:val="auto"/>
        </w:rPr>
      </w:pPr>
      <w:r>
        <w:rPr>
          <w:rFonts w:ascii="Times New Roman" w:cs="Times New Roman" w:eastAsia="Times New Roman" w:hAnsi="Times New Roman"/>
          <w:sz w:val="19"/>
          <w:szCs w:val="19"/>
          <w:color w:val="auto"/>
        </w:rPr>
        <w:t xml:space="preserve">applicable interest in a Loan or Commitment pursuant to a law in effect on the date on which (x) such Lender acquires such interest in such Loan or Commitment (other than pursuant to an assignment request by the Borrower under </w:t>
      </w:r>
      <w:r>
        <w:rPr>
          <w:rFonts w:ascii="Times New Roman" w:cs="Times New Roman" w:eastAsia="Times New Roman" w:hAnsi="Times New Roman"/>
          <w:sz w:val="19"/>
          <w:szCs w:val="19"/>
          <w:u w:val="single" w:color="auto"/>
          <w:color w:val="auto"/>
        </w:rPr>
        <w:t>Section 3.6(b)</w:t>
      </w:r>
      <w:r>
        <w:rPr>
          <w:rFonts w:ascii="Times New Roman" w:cs="Times New Roman" w:eastAsia="Times New Roman" w:hAnsi="Times New Roman"/>
          <w:sz w:val="19"/>
          <w:szCs w:val="19"/>
          <w:color w:val="auto"/>
        </w:rPr>
        <w:t>) or</w:t>
      </w:r>
    </w:p>
    <w:p>
      <w:pPr>
        <w:spacing w:after="0" w:line="1" w:lineRule="exact"/>
        <w:rPr>
          <w:sz w:val="20"/>
          <w:szCs w:val="20"/>
          <w:color w:val="auto"/>
        </w:rPr>
      </w:pPr>
    </w:p>
    <w:p>
      <w:pPr>
        <w:jc w:val="both"/>
        <w:ind w:firstLine="8"/>
        <w:spacing w:after="0" w:line="241" w:lineRule="auto"/>
        <w:tabs>
          <w:tab w:leader="none" w:pos="305"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3.2(g)</w:t>
      </w:r>
      <w:r>
        <w:rPr>
          <w:rFonts w:ascii="Times New Roman" w:cs="Times New Roman" w:eastAsia="Times New Roman" w:hAnsi="Times New Roman"/>
          <w:sz w:val="20"/>
          <w:szCs w:val="20"/>
          <w:color w:val="auto"/>
        </w:rPr>
        <w:t xml:space="preserve"> and (d) any U.S. federal withholding Taxes imposed under FATCA.</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Credit Agreement</w:t>
      </w:r>
      <w:r>
        <w:rPr>
          <w:rFonts w:ascii="Times New Roman" w:cs="Times New Roman" w:eastAsia="Times New Roman" w:hAnsi="Times New Roman"/>
          <w:sz w:val="20"/>
          <w:szCs w:val="20"/>
          <w:color w:val="auto"/>
        </w:rPr>
        <w:t>” means that certain Fourth Amended and Restated Credit Agreement dated as of December 19, 2014, among the Borrower, CoBank, as administrative agent, the other loan parties party thereto, and the other lenders party thereto, as amended, restated or otherwise modified prior to the Closing Date.</w:t>
      </w:r>
    </w:p>
    <w:p>
      <w:pPr>
        <w:spacing w:after="0" w:line="16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Facilities</w:t>
      </w:r>
      <w:r>
        <w:rPr>
          <w:rFonts w:ascii="Times New Roman" w:cs="Times New Roman" w:eastAsia="Times New Roman" w:hAnsi="Times New Roman"/>
          <w:sz w:val="20"/>
          <w:szCs w:val="20"/>
          <w:color w:val="auto"/>
        </w:rPr>
        <w:t>” means, as of any day, collectively, then-existing Revolving Credit Facilities, and Term Loan Facilities.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Existing Maturity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Extension Amendment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 means, collectively, any Revolving Credit Facility, any Term Loan Facility, the Swing Line Facility and the Letter of Credit Facility.</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Farm Credit Lender</w:t>
      </w:r>
      <w:r>
        <w:rPr>
          <w:rFonts w:ascii="Times New Roman" w:cs="Times New Roman" w:eastAsia="Times New Roman" w:hAnsi="Times New Roman"/>
          <w:sz w:val="20"/>
          <w:szCs w:val="20"/>
          <w:color w:val="auto"/>
        </w:rPr>
        <w:t>” means a federally-chartered Farm Credit System lending institution organized under the Farm Credit Act of 1971.</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FCC</w:t>
      </w:r>
      <w:r>
        <w:rPr>
          <w:rFonts w:ascii="Times New Roman" w:cs="Times New Roman" w:eastAsia="Times New Roman" w:hAnsi="Times New Roman"/>
          <w:sz w:val="20"/>
          <w:szCs w:val="20"/>
          <w:color w:val="auto"/>
        </w:rPr>
        <w:t>” means the Federal Communications Commission or any Governmental Authority succeeding to any of its principal functions.</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Effective Rate</w:t>
      </w:r>
      <w:r>
        <w:rPr>
          <w:rFonts w:ascii="Times New Roman" w:cs="Times New Roman" w:eastAsia="Times New Roman" w:hAnsi="Times New Roman"/>
          <w:sz w:val="20"/>
          <w:szCs w:val="20"/>
          <w:color w:val="auto"/>
        </w:rPr>
        <w:t>” means, for any day, the greater of (a) the rate of interest per annum (rounded upward, if necessary, to the nearest whole multiple of 1/100th of 1%) equal to the weighted average of the rates on overnight federal funds transactions with members of the Federal Reserve System, as published by the Federal Reserve Bank of New York on such date, or if no such rate is so published on such day, on the most recent day preceding such day on which such rate is so published and (b) 0%.</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Fee Letter</w:t>
      </w:r>
      <w:r>
        <w:rPr>
          <w:rFonts w:ascii="Times New Roman" w:cs="Times New Roman" w:eastAsia="Times New Roman" w:hAnsi="Times New Roman"/>
          <w:sz w:val="20"/>
          <w:szCs w:val="20"/>
          <w:color w:val="auto"/>
        </w:rPr>
        <w:t>” means that certain fee letter dated as of May 23, 2023, between the Borrower and the Administrative Agent, together with any other fee letters entered into between the Borrower and the Administrative Agent from time to time in connection with any Incremental Facility.</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Amendment Agreement</w:t>
      </w:r>
      <w:r>
        <w:rPr>
          <w:rFonts w:ascii="Times New Roman" w:cs="Times New Roman" w:eastAsia="Times New Roman" w:hAnsi="Times New Roman"/>
          <w:sz w:val="20"/>
          <w:szCs w:val="20"/>
          <w:color w:val="auto"/>
        </w:rPr>
        <w:t>” means that certain Joinder and First Amendment Agreement and Reaffirmation Agreement, dated as of the First Amendment Date, among the Loan Parties, the Lenders party thereto and the Administrative Agent.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First Amendment Date</w:t>
      </w:r>
      <w:r>
        <w:rPr>
          <w:rFonts w:ascii="Times New Roman" w:cs="Times New Roman" w:eastAsia="Times New Roman" w:hAnsi="Times New Roman"/>
          <w:sz w:val="20"/>
          <w:szCs w:val="20"/>
          <w:color w:val="auto"/>
        </w:rPr>
        <w:t>” means July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78" w:name="page279"/>
    <w:bookmarkEnd w:id="278"/>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Flood Laws</w:t>
      </w:r>
      <w:r>
        <w:rPr>
          <w:rFonts w:ascii="Times New Roman" w:cs="Times New Roman" w:eastAsia="Times New Roman" w:hAnsi="Times New Roman"/>
          <w:sz w:val="20"/>
          <w:szCs w:val="20"/>
          <w:color w:val="auto"/>
        </w:rPr>
        <w:t>” means, collectively, (a) the National Flood Insurance Act of 1968, (b) the Flood Disaster Protection Act of 1973, (c) the National Flood Insurance Reform Act of 1994 and (d) the Flood Insurance Reform Act of 2004, and all other applicable Laws related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Floor</w:t>
      </w:r>
      <w:r>
        <w:rPr>
          <w:rFonts w:ascii="Times New Roman" w:cs="Times New Roman" w:eastAsia="Times New Roman" w:hAnsi="Times New Roman"/>
          <w:sz w:val="20"/>
          <w:szCs w:val="20"/>
          <w:color w:val="auto"/>
        </w:rPr>
        <w:t>” means a rate of interest equal to 0.00%.</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Lender</w:t>
      </w:r>
      <w:r>
        <w:rPr>
          <w:rFonts w:ascii="Times New Roman" w:cs="Times New Roman" w:eastAsia="Times New Roman" w:hAnsi="Times New Roman"/>
          <w:sz w:val="20"/>
          <w:szCs w:val="20"/>
          <w:color w:val="auto"/>
        </w:rPr>
        <w:t>” means (a) if the Borrower is a U.S. Person, a Lender that is not a U.S. Person, and (b) if the Borrower is not a U.S. Person, a Lender that is a resident or organized under the Laws of a jurisdiction other than that in which the applicable Borrower is resident for tax purposes. For purposes of this definition, the United States of America, each State thereof and the District of Columbia shall be deemed to constitute a single jurisdiction.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“Foreign Restricted Subsidiary” </w:t>
      </w:r>
      <w:r>
        <w:rPr>
          <w:rFonts w:ascii="Times New Roman" w:cs="Times New Roman" w:eastAsia="Times New Roman" w:hAnsi="Times New Roman"/>
          <w:sz w:val="20"/>
          <w:szCs w:val="20"/>
          <w:color w:val="auto"/>
        </w:rPr>
        <w:t>means any Restricted Subsidiary that is a Foreign Subsidiary.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Subsidiary</w:t>
      </w:r>
      <w:r>
        <w:rPr>
          <w:rFonts w:ascii="Times New Roman" w:cs="Times New Roman" w:eastAsia="Times New Roman" w:hAnsi="Times New Roman"/>
          <w:sz w:val="20"/>
          <w:szCs w:val="20"/>
          <w:color w:val="auto"/>
        </w:rPr>
        <w:t>” means any Subsidiary of the Borrower that is not a Domestic Subsidiary.</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Fronting Exposure</w:t>
      </w:r>
      <w:r>
        <w:rPr>
          <w:rFonts w:ascii="Times New Roman" w:cs="Times New Roman" w:eastAsia="Times New Roman" w:hAnsi="Times New Roman"/>
          <w:sz w:val="20"/>
          <w:szCs w:val="20"/>
          <w:color w:val="auto"/>
        </w:rPr>
        <w:t>” means, at any time there is a Defaulting Lender, (a) with respect to the Issuing Lender, such Defaulting Lender’s Pro Rata Share of the outstanding Letter of Credit Obligations with respect to Letters of Credit issued by the Issuing Lender other than Letter of Credit Obligations as to which such Defaulting Lender’s participation obligation has been reallocated to other Lenders or Cash Collateralized in accordance with the terms hereof, and (b) with respect to the Swing Line Lender, such Defaulting Lender’s Pro Rata Share of outstanding Swing Line Loans made by the Swing Line Lender other than Swing Line Loans as to which such Defaulting Lender’s participation obligation has been reallocated to other Lenders.</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w:t>
      </w:r>
      <w:r>
        <w:rPr>
          <w:rFonts w:ascii="Times New Roman" w:cs="Times New Roman" w:eastAsia="Times New Roman" w:hAnsi="Times New Roman"/>
          <w:sz w:val="20"/>
          <w:szCs w:val="20"/>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b w:val="1"/>
          <w:bCs w:val="1"/>
          <w:color w:val="auto"/>
        </w:rPr>
        <w:t>“Funding Agency</w:t>
      </w:r>
      <w:r>
        <w:rPr>
          <w:rFonts w:ascii="Times New Roman" w:cs="Times New Roman" w:eastAsia="Times New Roman" w:hAnsi="Times New Roman"/>
          <w:sz w:val="20"/>
          <w:szCs w:val="20"/>
          <w:color w:val="auto"/>
        </w:rPr>
        <w:t>” means USAC, USDA, National Telecommunications and Information Administration (NTIA),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RUS, any comparable federal, state, local or municipal funding agency or any successor agency or organization of any of the foregoing.</w:t>
      </w:r>
    </w:p>
    <w:p>
      <w:pPr>
        <w:spacing w:after="0" w:line="16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Program</w:t>
      </w:r>
      <w:r>
        <w:rPr>
          <w:rFonts w:ascii="Times New Roman" w:cs="Times New Roman" w:eastAsia="Times New Roman" w:hAnsi="Times New Roman"/>
          <w:sz w:val="20"/>
          <w:szCs w:val="20"/>
          <w:color w:val="auto"/>
        </w:rPr>
        <w:t>” means any federal, state, local, or municipal grant, subsidy or support program or similar program or arrangement entered into with a Governmental Authority and/or Funding Agency and any Loan Party or Restricted Subsidiary. The definition of “Funding Program” shall not include any loan or grant/loan combination program. A Funding Program shall not qualify as a loan or grant/loan combination program if repayment is only required when (i) the funds are not used by such Loan Party or Restricted Subsidiary within a required timeframe, or (ii) the applicable Loan Party or Restricted Subsidiary is not compliant with the terms and conditions of such program or agreement executed with a Funding Agency in connection with the Funding Program. Any Funding Program constituting award funds or grant money in excess of $10,000,000.00 entered into on or after the First Amendment Date must be on terms and conditions reasonably acceptable to the Administrative Agent.</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Program Agreement</w:t>
      </w:r>
      <w:r>
        <w:rPr>
          <w:rFonts w:ascii="Times New Roman" w:cs="Times New Roman" w:eastAsia="Times New Roman" w:hAnsi="Times New Roman"/>
          <w:sz w:val="20"/>
          <w:szCs w:val="20"/>
          <w:color w:val="auto"/>
        </w:rPr>
        <w:t>” means any grant agreement, security agreement, guarantee agreement, or similar agreement and all other agreements, documents and instruments referred to in such agreements or otherwise evidencing or pertaining to or executed in connection with a Funding Program. For the avoidance of doubt, and without limitation on what other agreements may qualify as Funding Program Agreements, the following agreements shall be deemed to be Funding Program Agreements: (a) that certain ReConnect Program Grant and Security Agreement, dated as of February 22, 2021, by and between SWC Telesolutions, Inc. and the United States of America, acting through the Administrator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79" w:name="page280"/>
    <w:bookmarkEnd w:id="279"/>
    <w:p>
      <w:pPr>
        <w:jc w:val="both"/>
        <w:spacing w:after="0" w:line="246" w:lineRule="auto"/>
        <w:rPr>
          <w:sz w:val="20"/>
          <w:szCs w:val="20"/>
          <w:color w:val="auto"/>
        </w:rPr>
      </w:pPr>
      <w:r>
        <w:rPr>
          <w:rFonts w:ascii="Times New Roman" w:cs="Times New Roman" w:eastAsia="Times New Roman" w:hAnsi="Times New Roman"/>
          <w:sz w:val="20"/>
          <w:szCs w:val="20"/>
          <w:color w:val="auto"/>
        </w:rPr>
        <w:t>the Rural Utilities Service, and (b) the letter agreement dated July 7, 2023, by and between Andrew Burke, Administrator, Rural Utility Service, and Nectarios Nicolaou, Senior Vice President and General Manager of SWC Telesolutions, Inc. and the agreement to be executed between the United States of America, acting through the Administrator of the Rural Utilities Service and SWC Telesolutions, Inc. in connection with the grant approved in such letter agreement, such agreement to be substantially in the form previously provided to the Administrative Agent.</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Program Assets</w:t>
      </w:r>
      <w:r>
        <w:rPr>
          <w:rFonts w:ascii="Times New Roman" w:cs="Times New Roman" w:eastAsia="Times New Roman" w:hAnsi="Times New Roman"/>
          <w:sz w:val="20"/>
          <w:szCs w:val="20"/>
          <w:color w:val="auto"/>
        </w:rPr>
        <w:t>” means Funding Program In-kind Assets, Funding Program Cash Assets and any property of any Loan Party or Restricted Subsidiary now or hereafter purchased with any Funding Program Award Funds or Funding Program Matching Funds pursuant to a Funding Program, together with any proceeds from the sale or other disposition of such property.</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Program Award Funds</w:t>
      </w:r>
      <w:r>
        <w:rPr>
          <w:rFonts w:ascii="Times New Roman" w:cs="Times New Roman" w:eastAsia="Times New Roman" w:hAnsi="Times New Roman"/>
          <w:sz w:val="20"/>
          <w:szCs w:val="20"/>
          <w:color w:val="auto"/>
        </w:rPr>
        <w:t>” means the award funds or grant money provided to any Loan Party or Restricted Subsidiary by a Funding Agency under a Funding Program.</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Program Cash Assets</w:t>
      </w:r>
      <w:r>
        <w:rPr>
          <w:rFonts w:ascii="Times New Roman" w:cs="Times New Roman" w:eastAsia="Times New Roman" w:hAnsi="Times New Roman"/>
          <w:sz w:val="20"/>
          <w:szCs w:val="20"/>
          <w:color w:val="auto"/>
        </w:rPr>
        <w:t>” means, with respect to a Funding Program, any cash earmarked by a Loan Party or Restricted Subsidiary to constitute part (or all) of the satisfaction of a matching fund obligation imposed under the rules of a Funding Program, the fair market value of which, together with any Funding Program In-kind Assets, is not to exceed $20,000,000.00 in the aggregate (to be calculated in accordance with the Funding Program documents, if applicable).</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Program Deposit Account</w:t>
      </w:r>
      <w:r>
        <w:rPr>
          <w:rFonts w:ascii="Times New Roman" w:cs="Times New Roman" w:eastAsia="Times New Roman" w:hAnsi="Times New Roman"/>
          <w:sz w:val="20"/>
          <w:szCs w:val="20"/>
          <w:color w:val="auto"/>
        </w:rPr>
        <w:t>” means, with respect to any Funding Program, any deposit account (i) required to be pledged to the applicable Funding Agency in connection with such Funding Program or (ii) prohibited from being pledged to a lender other than a Funding Agency in connection with such Funding Program, and in which account the amounts on deposit consist solely of (a) the proceeds of such Funding Program and (b) Funding Program Matching Funds.</w:t>
      </w:r>
    </w:p>
    <w:p>
      <w:pPr>
        <w:spacing w:after="0" w:line="1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Program In-kind Assets</w:t>
      </w:r>
      <w:r>
        <w:rPr>
          <w:rFonts w:ascii="Times New Roman" w:cs="Times New Roman" w:eastAsia="Times New Roman" w:hAnsi="Times New Roman"/>
          <w:sz w:val="20"/>
          <w:szCs w:val="20"/>
          <w:color w:val="auto"/>
        </w:rPr>
        <w:t>” means, with respect to a Funding Program, any property (other than cash) earmarked by a Loan Party or Restricted Subsidiary to constitute part (or all) of the satisfaction of a matching fund obligation imposed under the rules of such Funding Program, the fair market value of which, together with any Funding Program Cash Assets, is not to exceed $20,000,000.00 in the aggregate (to be calculated in accordance with the Funding Program documents, if applicable), if, under such rules, such property, or the proceeds from the sale of such property, may not be pledged as security for indebtedness outside of the Funding Program or is subject to a lien in favor of the Funding Agency in connection with the Funding Program.</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Funding Program Matching Funds</w:t>
      </w:r>
      <w:r>
        <w:rPr>
          <w:rFonts w:ascii="Times New Roman" w:cs="Times New Roman" w:eastAsia="Times New Roman" w:hAnsi="Times New Roman"/>
          <w:sz w:val="20"/>
          <w:szCs w:val="20"/>
          <w:color w:val="auto"/>
        </w:rPr>
        <w:t>” means (i) the funds or grant money deposited from time to time in a Funding Program Deposit Account to the extent required pursuant to a Funding Program, (ii) Funding Program In-kind Assets and (iii) any Funding Program Cash Assets.</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means generally accepted accounting principles as are in effect from time to time, subject to the provisions of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and applied on a consistent basis both as to classification of items and amounts.</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including the FCC, any applicable PUC, NTIA and RUS.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80" w:name="page281"/>
    <w:bookmarkEnd w:id="28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GTT</w:t>
      </w:r>
      <w:r>
        <w:rPr>
          <w:rFonts w:ascii="Times New Roman" w:cs="Times New Roman" w:eastAsia="Times New Roman" w:hAnsi="Times New Roman"/>
          <w:sz w:val="20"/>
          <w:szCs w:val="20"/>
          <w:color w:val="auto"/>
        </w:rPr>
        <w:t>” means Guyana Telephone and Telegraph Company Limited, a Guyana entity.</w:t>
      </w:r>
    </w:p>
    <w:p>
      <w:pPr>
        <w:spacing w:after="0" w:line="21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Liabilities</w:t>
      </w:r>
      <w:r>
        <w:rPr>
          <w:rFonts w:ascii="Times New Roman" w:cs="Times New Roman" w:eastAsia="Times New Roman" w:hAnsi="Times New Roman"/>
          <w:sz w:val="20"/>
          <w:szCs w:val="20"/>
          <w:color w:val="auto"/>
        </w:rPr>
        <w:t>” means (a) the prompt Payment In Full, when due or declared due and at all such times, of all Secured Obligations and all other amounts pursuant to the terms of this Agreement, the Notes, and all other Loan Documents heretofore, now or at any time or times hereafter owing, arising, due or payable from the Borrower or any other Loan Party to any one or more of the Secured Parties, including principal, interest, premiums and fees (including all reasonable fees and expenses of counsel); (b) the prompt, full and faithful performance, observance and discharge of each and every agreement, undertaking, covenant and provision to be performed, observed or discharged by the Borrower and each other Loan Party under this Agreement, the Notes and all other Loan Documents to which it is a party; and (c) the prompt Payment In Full by the Borrower and each other Loan Party, when due or declared due and at all such times, of obligations and liabilities now or hereafter arising with respect to any Secured Bank Product or Secured Hedge. Notwithstanding the foregoing, the “Guaranteed Liabilities”, with respect to any Loan Party providing a Guaranty, shall not include the Excluded Swap Obligations.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means each of the parties to this Agreement that is designated as a “</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on the signature page hereof and each other Person that joins this Agreement as a Guarantor after the Closing Date pursuant to a Joinder Agreement.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Guarantors’ Obligations</w:t>
      </w:r>
      <w:r>
        <w:rPr>
          <w:rFonts w:ascii="Times New Roman" w:cs="Times New Roman" w:eastAsia="Times New Roman" w:hAnsi="Times New Roman"/>
          <w:sz w:val="20"/>
          <w:szCs w:val="20"/>
          <w:color w:val="auto"/>
        </w:rPr>
        <w:t xml:space="preserve">” means the obligations of the Guarantors to the Secured Parties under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Guaranty</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Guarantee</w:t>
      </w:r>
      <w:r>
        <w:rPr>
          <w:rFonts w:ascii="Times New Roman" w:cs="Times New Roman" w:eastAsia="Times New Roman" w:hAnsi="Times New Roman"/>
          <w:sz w:val="20"/>
          <w:szCs w:val="20"/>
          <w:color w:val="auto"/>
        </w:rPr>
        <w:t xml:space="preserve">” means, with respect to any Person, without duplication, any obligation, contingent or otherwise, of such Person pursuant to which such Person has directly or indirectly guaranteed or had the economic effect of guaranteeing any Indebtedness or other obligation or liability of any other Person and, without limiting the generality of the foregoing, any obligation, direct or indirect, contingent or otherwise, of any such Person (a) to purchase or pay (or advance or supply funds for the purchase or payment of) such Indebtedness or other obligation or liability (whether arising by virtue of partnership arrangements, by agreement to keep well, to purchase assets, goods, securities or services, to take-or-pay, or to maintain financial statement condition or otherwise), (b) to purchase or lease property or services for the purpose of assuring another Person’s payment or performance of any Indebtedness or other obligations or liabilities, (c) to maintain the working capital of such Person to permit such Person to pay such Indebtedness or other obligations or liabilities or (d) entered into for the purpose of assuring in any other manner the obligee of such Indebtedness or other obligation or liability of the payment thereof or to protect such obligee against loss in respect thereof (in whole or in part);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the term Guaranty/Guarantee shall not include (i) endorsements for collection or deposit in the ordinary course of business or (ii) any guarantee of real property or operating leases. Unless otherwise specified, the amount of any Guaranty shall be deemed to be the lesser of the principal amount of the Indebtedness or other obligations or liabilities guaranteed and still outstanding and the maximum amount for which the guaranteeing Person may be liable pursuant to the terms of the instrument embodying such Guaranty.</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(a) any explosive or radioactive substances, materials or wastes, (b) any hazardous or toxic substances, materials or wastes, defined or regulated as such in or under, or that could reasonably be expected to give rise to liability due to its hazardous or toxic characteristics under, any applicable Environmental Law, including, asbestos or asbestos containing materials, infectious or medical waste, polychlorinated biphenyls, radon gas, urea-formaldehyde insulation, gasoline or petroleum (including crude oil or any fraction thereof) or petroleum products and (c) all other substances, materials or wastes, which, due to their explosive, radioactive, hazardous or toxic nature, are regulated under or with respect to which liability or standards of conduct are imposed pursuant to any Environmental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81" w:name="page282"/>
    <w:bookmarkEnd w:id="281"/>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Agreement</w:t>
      </w:r>
      <w:r>
        <w:rPr>
          <w:rFonts w:ascii="Times New Roman" w:cs="Times New Roman" w:eastAsia="Times New Roman" w:hAnsi="Times New Roman"/>
          <w:sz w:val="20"/>
          <w:szCs w:val="20"/>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Bank</w:t>
      </w:r>
      <w:r>
        <w:rPr>
          <w:rFonts w:ascii="Times New Roman" w:cs="Times New Roman" w:eastAsia="Times New Roman" w:hAnsi="Times New Roman"/>
          <w:sz w:val="20"/>
          <w:szCs w:val="20"/>
          <w:color w:val="auto"/>
        </w:rPr>
        <w:t>” means any Person that, at the time it enters into a Hedge Agreement with a Loan Party for an Interest Rate Hedge with respect to interest on the Obligations, is a Lender, an Affiliate of a Lender, the Administrative Agent or an Affiliate of the Administrative Agent.</w:t>
      </w:r>
    </w:p>
    <w:p>
      <w:pPr>
        <w:spacing w:after="0" w:line="16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Hedge Termination Value</w:t>
      </w:r>
      <w:r>
        <w:rPr>
          <w:rFonts w:ascii="Times New Roman" w:cs="Times New Roman" w:eastAsia="Times New Roman" w:hAnsi="Times New Roman"/>
          <w:sz w:val="20"/>
          <w:szCs w:val="20"/>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7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Immaterial Subsidiary</w:t>
      </w:r>
      <w:r>
        <w:rPr>
          <w:rFonts w:ascii="Times New Roman" w:cs="Times New Roman" w:eastAsia="Times New Roman" w:hAnsi="Times New Roman"/>
          <w:sz w:val="20"/>
          <w:szCs w:val="20"/>
          <w:color w:val="auto"/>
        </w:rPr>
        <w:t>” means, any direct or indirect Restricted Subsidiary of the Borrower that, as of the last day of the Test Period, had revenues and total assets for the fiscal quarter ended on such last day in an amount less than 5.0% of the aggregate revenues and total assets of the Borrower and its Restricted Subsidiaries for such quarter, and that is designated by the Borrower as an Immaterial Subsidiary; provided that (x) in no event shall all Immaterial Subsidiaries collectively account for more than 10.0% of the aggregate revenues and total assets of the Borrower and its Restricted Subsidiaries in any Test Period, and (y) no Immaterial Subsidiary shall hold any Material Intellectual Property or Material License.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Amendment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2.5(d)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Commitments</w:t>
      </w:r>
      <w:r>
        <w:rPr>
          <w:rFonts w:ascii="Times New Roman" w:cs="Times New Roman" w:eastAsia="Times New Roman" w:hAnsi="Times New Roman"/>
          <w:sz w:val="20"/>
          <w:szCs w:val="20"/>
          <w:color w:val="auto"/>
        </w:rPr>
        <w:t>” means, collectively, all Incremental Term Loan Commitments and all Incremental Revolving Commitments and “</w:t>
      </w:r>
      <w:r>
        <w:rPr>
          <w:rFonts w:ascii="Times New Roman" w:cs="Times New Roman" w:eastAsia="Times New Roman" w:hAnsi="Times New Roman"/>
          <w:sz w:val="20"/>
          <w:szCs w:val="20"/>
          <w:b w:val="1"/>
          <w:bCs w:val="1"/>
          <w:color w:val="auto"/>
        </w:rPr>
        <w:t>Incremental Commitment</w:t>
      </w:r>
      <w:r>
        <w:rPr>
          <w:rFonts w:ascii="Times New Roman" w:cs="Times New Roman" w:eastAsia="Times New Roman" w:hAnsi="Times New Roman"/>
          <w:sz w:val="20"/>
          <w:szCs w:val="20"/>
          <w:color w:val="auto"/>
        </w:rPr>
        <w:t>” means any such commitment individually.</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Facility</w:t>
      </w:r>
      <w:r>
        <w:rPr>
          <w:rFonts w:ascii="Times New Roman" w:cs="Times New Roman" w:eastAsia="Times New Roman" w:hAnsi="Times New Roman"/>
          <w:sz w:val="20"/>
          <w:szCs w:val="20"/>
          <w:color w:val="auto"/>
        </w:rPr>
        <w:t>” means any Incremental Term Loan Facility, any Incremental Revolving Facility, any Term Loan Increase and any Revolving Increase.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Lender</w:t>
      </w:r>
      <w:r>
        <w:rPr>
          <w:rFonts w:ascii="Times New Roman" w:cs="Times New Roman" w:eastAsia="Times New Roman" w:hAnsi="Times New Roman"/>
          <w:sz w:val="20"/>
          <w:szCs w:val="20"/>
          <w:color w:val="auto"/>
        </w:rPr>
        <w:t>” means each Incremental Term Lender and Incremental Revolving Lender. “</w:t>
      </w:r>
      <w:r>
        <w:rPr>
          <w:rFonts w:ascii="Times New Roman" w:cs="Times New Roman" w:eastAsia="Times New Roman" w:hAnsi="Times New Roman"/>
          <w:sz w:val="20"/>
          <w:szCs w:val="20"/>
          <w:b w:val="1"/>
          <w:bCs w:val="1"/>
          <w:color w:val="auto"/>
        </w:rPr>
        <w:t>Incremental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means any incremental loan funded pursuant to any Incremental Commitment.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Request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xml:space="preserve"> and in a form acceptable to the Administrative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82" w:name="page283"/>
    <w:bookmarkEnd w:id="282"/>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Commitment</w:t>
      </w:r>
      <w:r>
        <w:rPr>
          <w:rFonts w:ascii="Times New Roman" w:cs="Times New Roman" w:eastAsia="Times New Roman" w:hAnsi="Times New Roman"/>
          <w:sz w:val="20"/>
          <w:szCs w:val="20"/>
          <w:color w:val="auto"/>
        </w:rPr>
        <w:t xml:space="preserve">” means, with respect to any Lender at any time, the obligation of such Lender to (a) make revolving loans and (b) acquire participations in Letters of Credit in connection with any Incremental Revolving Facility or any Revolving Increase established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in an aggregate principal amount at any time outstanding not to exceed the amount initially set forth in the applicable Incremental Amendment or in the Assignment and Assumption pursuant to which such Lender becomes party hereto, as such commitment may be reduced from time to time in accordance with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as may be modified from time to time pursuant to a Revolving Increase.</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Lender</w:t>
      </w:r>
      <w:r>
        <w:rPr>
          <w:rFonts w:ascii="Times New Roman" w:cs="Times New Roman" w:eastAsia="Times New Roman" w:hAnsi="Times New Roman"/>
          <w:sz w:val="20"/>
          <w:szCs w:val="20"/>
          <w:color w:val="auto"/>
        </w:rPr>
        <w:t>” means each Lender having an Incremental Revolving Commitment or who has funded or purchased all or a portion of an Incremental Revolving Loan or Incremental Revolving Commitment in accordance with the terms hereof.</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Revolving Loan</w:t>
      </w:r>
      <w:r>
        <w:rPr>
          <w:rFonts w:ascii="Times New Roman" w:cs="Times New Roman" w:eastAsia="Times New Roman" w:hAnsi="Times New Roman"/>
          <w:sz w:val="20"/>
          <w:szCs w:val="20"/>
          <w:color w:val="auto"/>
        </w:rPr>
        <w:t>” means any incremental revolving loan funded pursuant to any Incremental Revolving Facility.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Lender</w:t>
      </w:r>
      <w:r>
        <w:rPr>
          <w:rFonts w:ascii="Times New Roman" w:cs="Times New Roman" w:eastAsia="Times New Roman" w:hAnsi="Times New Roman"/>
          <w:sz w:val="20"/>
          <w:szCs w:val="20"/>
          <w:color w:val="auto"/>
        </w:rPr>
        <w:t>” means each Lender having an Incremental Term Loan Commitment or who has funded or purchased all or a portion of an Incremental Term Loan or Incremental Term Loan Commitment in accordance with the terms hereof.</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w:t>
      </w:r>
      <w:r>
        <w:rPr>
          <w:rFonts w:ascii="Times New Roman" w:cs="Times New Roman" w:eastAsia="Times New Roman" w:hAnsi="Times New Roman"/>
          <w:sz w:val="20"/>
          <w:szCs w:val="20"/>
          <w:color w:val="auto"/>
        </w:rPr>
        <w:t>” means any incremental term loan funded pursuant to any Incremental Term Loan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 Commitment</w:t>
      </w:r>
      <w:r>
        <w:rPr>
          <w:rFonts w:ascii="Times New Roman" w:cs="Times New Roman" w:eastAsia="Times New Roman" w:hAnsi="Times New Roman"/>
          <w:sz w:val="20"/>
          <w:szCs w:val="20"/>
          <w:color w:val="auto"/>
        </w:rPr>
        <w:t xml:space="preserve">” means, with respect to each Lender, its obligation to make an incremental term loans in connection with any Incremental Term Loan Facility or any Term Loan Increase established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in an aggregate principal amount not to exceed the amount initial set forth in the applicable Incremental Amendment or in the Assignment and Assumption pursuant to which such Lender becomes party hereto.</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Incremental Term Loan Facility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 as may be modified from time to time pursuant to a Term Loan Increase.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means, as to any Person at a particular time, without duplication, all of the following, whether or not included as indebtedness or liabilities in accordance with GAAP:</w:t>
      </w:r>
    </w:p>
    <w:p>
      <w:pPr>
        <w:spacing w:after="0" w:line="156" w:lineRule="exact"/>
        <w:rPr>
          <w:sz w:val="20"/>
          <w:szCs w:val="20"/>
          <w:color w:val="auto"/>
        </w:rPr>
      </w:pPr>
    </w:p>
    <w:p>
      <w:pPr>
        <w:ind w:firstLine="1304"/>
        <w:spacing w:after="0" w:line="269" w:lineRule="auto"/>
        <w:tabs>
          <w:tab w:leader="none" w:pos="194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for borrowed money and all obligations of such Person evidenced by bonds, debentures, notes, loan agreements or other similar instruments;</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or contingent obligations of such Person arising under letters of credit (including standby and commercial), bankers’ acceptances, bank guaranties, surety bonds and similar instruments, in each case, except to the extent that the same have been fully cash collateralized;</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net obligations of such Person under each Hedge Agreement to which it is a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net obligation under any Hedge Agreement on any date shall be deemed to be the Hedge Termination Value thereof as of such date);</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pay the deferred purchase price of property or services (other than trade accounts payable in the ordinary course of business and outstanding not more than 90 days after such obligation is due (unless thereafter contested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83" w:name="page284"/>
    <w:bookmarkEnd w:id="283"/>
    <w:p>
      <w:pPr>
        <w:jc w:val="both"/>
        <w:ind w:right="20" w:firstLine="1304"/>
        <w:spacing w:after="0" w:line="253" w:lineRule="auto"/>
        <w:tabs>
          <w:tab w:leader="none" w:pos="194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(excluding prepaid interest thereon) secured by a Lien on property owned or being purchased by such Person (including indebtedness arising under conditional sales or other title retention agreements), whether or not such obligations shall have been assumed by such Person or is limited in recourse;</w:t>
      </w:r>
    </w:p>
    <w:p>
      <w:pPr>
        <w:spacing w:after="0" w:line="17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under Capital Leases and all its Synthetic Lease Obligations;</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obligations of such Person to purchase, redeem, retire, defease or otherwise make any payment in respect of any Equity Interest in such Person or any other Person in cash, valued, in the case of a redeemable preferred interest, at the greater of its voluntary or involuntary liquidation preference plus accrued and unpaid dividends; and</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fixed payment obligations of any Person under any Guarantee of such Person in respect of any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foregoing;</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notwithstanding anything to the contrary contained herein, (i) the Indebtedness of any Person shall include the Indebtedness of any partnership or joint venture in which such Person is a general partner or a joint venturer, unless such Indebtedness, or the applicable portion thereof, is non- recourse to such Person, (ii) in respect of Indebtedness of another Person secured by a Lien on the assets of the specified Person, if such Indebtedness shall not have been assumed by such Person or is limited in recourse to the assets securing such Lien, the amount of such Indebtedness as of any date of determination will be the lesser of (x) the fair market value of such assets of such Person as of such date (as determined in good faith by the Borrower) and (y) the amount of the applicable portion of such Indebtedness of such Person as of such date, (iii) in no event shall any obligations with respect to deferred compensation or the guarantee of operating or real property leases constitute Indebtedness, (iv) obligations with respect to any Funding Program Agreement or any Funding Program Award Funds shall be deemed excluded from the definition of “Indebtedness”, and (v) any Indebtedness with respect to earn-out or similar contingent obligations shall only constitute Indebtedness to the extent that such obligations are finally determined to be due and owing (after giving effect to any dispute or similar mechanics contained in the applicable agreements with respect thereto and the same are required to be booked as a liability on the balance sheet of such Person in accordance with GAAP).</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means (a) Taxes, other than Excluded Taxes, imposed on or with respect to any payment made by or on account of any obligation of the Borrower or any other Loan Party under any Loan Document and (b) to the extent not otherwise described in the preceding clause (a), Other Taxes.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11.8</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Insolvency Proceeding</w:t>
      </w:r>
      <w:r>
        <w:rPr>
          <w:rFonts w:ascii="Times New Roman" w:cs="Times New Roman" w:eastAsia="Times New Roman" w:hAnsi="Times New Roman"/>
          <w:sz w:val="20"/>
          <w:szCs w:val="20"/>
          <w:color w:val="auto"/>
        </w:rPr>
        <w:t>” means, with respect to any Person, (a) a case, action or proceeding with respect to such Person (i) before any court or any other Governmental Authority under any Debtor Relief Law or other similar law now or hereafter in effect, or (ii) for the appointment of a receiver, liquidator, assignee, custodian, trustee, sequestrator, conservator (or similar official) of such Person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84" w:name="page285"/>
    <w:bookmarkEnd w:id="284"/>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w:t>
      </w:r>
      <w:r>
        <w:rPr>
          <w:rFonts w:ascii="Times New Roman" w:cs="Times New Roman" w:eastAsia="Times New Roman" w:hAnsi="Times New Roman"/>
          <w:sz w:val="20"/>
          <w:szCs w:val="20"/>
          <w:color w:val="auto"/>
        </w:rPr>
        <w:t>” means all Copyrights, Domain Names, Patents, Trademarks and IP Licenses, in each case as defined in the Security Agreement.</w:t>
      </w:r>
    </w:p>
    <w:p>
      <w:pPr>
        <w:spacing w:after="0" w:line="15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Intellectual Property Security Agreement</w:t>
      </w:r>
      <w:r>
        <w:rPr>
          <w:rFonts w:ascii="Times New Roman" w:cs="Times New Roman" w:eastAsia="Times New Roman" w:hAnsi="Times New Roman"/>
          <w:sz w:val="20"/>
          <w:szCs w:val="20"/>
          <w:color w:val="auto"/>
        </w:rPr>
        <w:t>” means the Grant of Security Interest in Copyrights and the Grant of Security Interest in Patents and Trademarks, each in substantially the form attached to the Security Agreement.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Interest Payment Date</w:t>
      </w:r>
      <w:r>
        <w:rPr>
          <w:rFonts w:ascii="Times New Roman" w:cs="Times New Roman" w:eastAsia="Times New Roman" w:hAnsi="Times New Roman"/>
          <w:sz w:val="19"/>
          <w:szCs w:val="19"/>
          <w:color w:val="auto"/>
        </w:rPr>
        <w:t>” means the last day of each calendar quarter after the Closing Date and the Maturity Date.</w:t>
      </w:r>
    </w:p>
    <w:p>
      <w:pPr>
        <w:spacing w:after="0" w:line="22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 the period of time selected by the Borrower in connection with (and to apply to) any election permitted hereunder by the Borrower to have Revolving Loans or Term Loans bear interest under the Term SOFR Rate Option. Subject to the last sentence of this definition, at the Borrower’s election, such period shall be one, three or six months. Such Interest Period shall commence on the effective date of such Term SOFR Rate Loan, which shall be (a) the Borrowing Date if the Borrower is requesting new Loans, or (b) the date of renewal of or conversion to a Term SOFR Rate Loan if the Borrower is renewing or converting an existing Loan. Notwithstanding the second sentence hereof: (i) any Interest Period that would otherwise end on a date that is not a Business Day shall be extended to the next succeeding Business Day unless such Business Day falls in the next calendar month, in which case such Interest Period shall end on the next preceding Business Day, (ii) no Borrower shall select, convert to or renew an Interest Period for any portion of the Loans that would end after the applicable Maturity Date and (iii) if any Interest Period begins on the last Business Day of a month or on a day of a month for which there is no numerically corresponding day in the month in which such Interest Period is to end, such Interest Period shall be deemed to end on the last Business Day of the final month of such Interest Period.</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Rate Hedge</w:t>
      </w:r>
      <w:r>
        <w:rPr>
          <w:rFonts w:ascii="Times New Roman" w:cs="Times New Roman" w:eastAsia="Times New Roman" w:hAnsi="Times New Roman"/>
          <w:sz w:val="20"/>
          <w:szCs w:val="20"/>
          <w:color w:val="auto"/>
        </w:rPr>
        <w:t>” means a Hedge Agreement entered into by the Loan Parties or Restricted Subsidiaries in order to provide protection to, or minimize the impact upon, the Borrower and/or the Restricted Subsidiaries of increasing floating rates of interest applicable to Indebtedness.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Rate Option</w:t>
      </w:r>
      <w:r>
        <w:rPr>
          <w:rFonts w:ascii="Times New Roman" w:cs="Times New Roman" w:eastAsia="Times New Roman" w:hAnsi="Times New Roman"/>
          <w:sz w:val="20"/>
          <w:szCs w:val="20"/>
          <w:color w:val="auto"/>
        </w:rPr>
        <w:t>” means any (a) Base Rate Option or (b) Term SOFR Rate Option.</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 means, with respect to any Person, any direct or indirect acquisition or investment by such Person, whether by means of (a) the purchase or other acquisition of capital stock or other securities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United States Internal Revenue Service.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ISP</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2.11(k)</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Issuing Lender</w:t>
      </w:r>
      <w:r>
        <w:rPr>
          <w:rFonts w:ascii="Times New Roman" w:cs="Times New Roman" w:eastAsia="Times New Roman" w:hAnsi="Times New Roman"/>
          <w:sz w:val="20"/>
          <w:szCs w:val="20"/>
          <w:color w:val="auto"/>
        </w:rPr>
        <w:t>” means CoBank, in its individual capacity as issuer of Letters of Credit hereunder.</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 xml:space="preserve">” means a joinder agreement joining a Person as a Guarantor under the Loan Documents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85" w:name="page286"/>
    <w:bookmarkEnd w:id="285"/>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Landlord Agreement</w:t>
      </w:r>
      <w:r>
        <w:rPr>
          <w:rFonts w:ascii="Times New Roman" w:cs="Times New Roman" w:eastAsia="Times New Roman" w:hAnsi="Times New Roman"/>
          <w:sz w:val="20"/>
          <w:szCs w:val="20"/>
          <w:color w:val="auto"/>
        </w:rPr>
        <w:t>” means any landlord’s waiver or other lien waiver or subordination agreement executed and delivered by a lessor, warehouse operator or other applicable Person with respect to a leased location of any Loan Party to the Administrative Agent for the benefit of the Lenders.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Law</w:t>
      </w:r>
      <w:r>
        <w:rPr>
          <w:rFonts w:ascii="Times New Roman" w:cs="Times New Roman" w:eastAsia="Times New Roman" w:hAnsi="Times New Roman"/>
          <w:sz w:val="20"/>
          <w:szCs w:val="20"/>
          <w:color w:val="auto"/>
        </w:rPr>
        <w:t>” means any law (including common law), constitution, statute, code, treaty, regulation, rule, ordinance, opinion, release, ruling, order, injunction, writ, decree, bond, judgment, authorization or approval, or award by or settlement agreement with any Governmental Authority applicable to any Person or the properties of any Person, including the Licenses, and, including the Communications Act, any applicable PUC Laws and all Environmental Laws.</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means each of the financial institutions from time to time party hereto as a lender (including the Swing Line Lender and any Additional Incremental Lender) and their respective successors and assigns as permitted hereunder, each of which is referred to herein as a Lender. For the purpose of any Loan Document that provides for the granting of a security interest or other Lien to the Lenders or to the Administrative Agent for the benefit of the Lenders as security for the Obligations, “Lenders” shall include any Affiliate of a Lender to the extent such Affiliate is a Secured Party.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Borrowing</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2.11(c)(iii)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Expiration Date</w:t>
      </w:r>
      <w:r>
        <w:rPr>
          <w:rFonts w:ascii="Times New Roman" w:cs="Times New Roman" w:eastAsia="Times New Roman" w:hAnsi="Times New Roman"/>
          <w:sz w:val="20"/>
          <w:szCs w:val="20"/>
          <w:color w:val="auto"/>
        </w:rPr>
        <w:t>” means the day that occurs thirty (30) days prior to the Maturity Date for the Revolving A-1 Loans.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Facility</w:t>
      </w:r>
      <w:r>
        <w:rPr>
          <w:rFonts w:ascii="Times New Roman" w:cs="Times New Roman" w:eastAsia="Times New Roman" w:hAnsi="Times New Roman"/>
          <w:sz w:val="20"/>
          <w:szCs w:val="20"/>
          <w:color w:val="auto"/>
        </w:rPr>
        <w:t xml:space="preserve">” means the Letter of Credit facility established pursuant to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Obligations</w:t>
      </w:r>
      <w:r>
        <w:rPr>
          <w:rFonts w:ascii="Times New Roman" w:cs="Times New Roman" w:eastAsia="Times New Roman" w:hAnsi="Times New Roman"/>
          <w:sz w:val="20"/>
          <w:szCs w:val="20"/>
          <w:color w:val="auto"/>
        </w:rPr>
        <w:t xml:space="preserve">” means, as of any date of determination, (a)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aggregate Reimbursement Obligations and Letter of Credit Borrowings on such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Request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Letter of Credit Sublimit</w:t>
      </w:r>
      <w:r>
        <w:rPr>
          <w:rFonts w:ascii="Times New Roman" w:cs="Times New Roman" w:eastAsia="Times New Roman" w:hAnsi="Times New Roman"/>
          <w:sz w:val="20"/>
          <w:szCs w:val="20"/>
          <w:color w:val="auto"/>
        </w:rPr>
        <w:t>” means $25,000,000.</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Licenses</w:t>
      </w:r>
      <w:r>
        <w:rPr>
          <w:rFonts w:ascii="Times New Roman" w:cs="Times New Roman" w:eastAsia="Times New Roman" w:hAnsi="Times New Roman"/>
          <w:sz w:val="20"/>
          <w:szCs w:val="20"/>
          <w:color w:val="auto"/>
        </w:rPr>
        <w:t>” means any cable television franchise or any wireline telephone, cellular telephone, microwave, personal communications, commercial mobile radio service, broadband, undersea cable or other telecommunications or similar license, authorization, registration, certificate, certificate of compliance, waiver, franchise (including cable television and telecommunications franchise), approval, ordinance, right of way, material filing, exemption, order, or permit, or any renewal or extension of any of the foregoing, whether for the acquisition, construction or operation of any Communications System, including the lease of any spectrum (and attendant rights and obligations), or to otherwise provide the services related to any Communications System, granted or issued by the FCC or any applicable PUC or other Governmental Authority.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any mortgage, deed of trust, pledge, hypothecation, collateral assignment, lien (statutory or otherwise), security interest, charge or other encumbrance or security arrangement of any nature whatsoever, whether voluntarily or involuntarily given, including any conditional sale or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86" w:name="page287"/>
    <w:bookmarkEnd w:id="286"/>
    <w:p>
      <w:pPr>
        <w:jc w:val="both"/>
        <w:spacing w:after="0" w:line="253" w:lineRule="auto"/>
        <w:rPr>
          <w:sz w:val="20"/>
          <w:szCs w:val="20"/>
          <w:color w:val="auto"/>
        </w:rPr>
      </w:pPr>
      <w:r>
        <w:rPr>
          <w:rFonts w:ascii="Times New Roman" w:cs="Times New Roman" w:eastAsia="Times New Roman" w:hAnsi="Times New Roman"/>
          <w:sz w:val="20"/>
          <w:szCs w:val="20"/>
          <w:color w:val="auto"/>
        </w:rPr>
        <w:t>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Limited Condition Acquisition</w:t>
      </w:r>
      <w:r>
        <w:rPr>
          <w:rFonts w:ascii="Times New Roman" w:cs="Times New Roman" w:eastAsia="Times New Roman" w:hAnsi="Times New Roman"/>
          <w:sz w:val="20"/>
          <w:szCs w:val="20"/>
          <w:color w:val="auto"/>
        </w:rPr>
        <w:t xml:space="preserve">” means any Permitted Acquisition by the Borrower or one or more of the Loan Parties, the consummation of which is not conditioned on the availability of, or on obtaining, third party 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the consummation of any such Permitted Acquisition shall not have occurred on or prior to the date that is three hundred sixty-five (365) days following the execution and effectiveness of the Acquisition Agreement relating thereto (or such longer period agreed to by Administrative Agent in its sole discretion), such Acquisition shall no longer constitute a Limited Condition Acquisition for any purpose without Administrative Agent’s consent.</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means this Agreement, the Fee Letter, the Collateral Documents, the Solvency Certificates, the Landlord Agreements (if any), the Incremental Requests (if any), the Notes, the Letter of Credit Requests (if any), the First Amendment Agreement, any Joinder Agreement and any other instruments, certificates or documents delivered in connection herewith or therewith, all as amended, restated, reaffirmed, reconfirmed, replaced, substituted or otherwise modified from time to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Parties</w:t>
      </w:r>
      <w:r>
        <w:rPr>
          <w:rFonts w:ascii="Times New Roman" w:cs="Times New Roman" w:eastAsia="Times New Roman" w:hAnsi="Times New Roman"/>
          <w:sz w:val="20"/>
          <w:szCs w:val="20"/>
          <w:color w:val="auto"/>
        </w:rPr>
        <w:t>” means the Borrower and the Guarantors.</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Request</w:t>
      </w:r>
      <w:r>
        <w:rPr>
          <w:rFonts w:ascii="Times New Roman" w:cs="Times New Roman" w:eastAsia="Times New Roman" w:hAnsi="Times New Roman"/>
          <w:sz w:val="20"/>
          <w:szCs w:val="20"/>
          <w:color w:val="auto"/>
        </w:rPr>
        <w:t xml:space="preserve">” means a request for any of a Term Loan, a Revolving Loan or a Swing Line Loan, in each case substantially in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Loans</w:t>
      </w:r>
      <w:r>
        <w:rPr>
          <w:rFonts w:ascii="Times New Roman" w:cs="Times New Roman" w:eastAsia="Times New Roman" w:hAnsi="Times New Roman"/>
          <w:sz w:val="20"/>
          <w:szCs w:val="20"/>
          <w:color w:val="auto"/>
        </w:rPr>
        <w:t>” means, collectively, all Revolving Loans, Swing Line Loans, Term Loans or any combination of the foregoing and “</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means the reference to any Revolving Loan, Swing Line Loan or Term Loan.</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Account</w:t>
      </w:r>
      <w:r>
        <w:rPr>
          <w:rFonts w:ascii="Times New Roman" w:cs="Times New Roman" w:eastAsia="Times New Roman" w:hAnsi="Times New Roman"/>
          <w:sz w:val="20"/>
          <w:szCs w:val="20"/>
          <w:color w:val="auto"/>
        </w:rPr>
        <w:t>” means, other than Excluded Accounts, all deposit, securities or other investment accounts in the name of any Loan Party to the extent the average daily balance of any such accounts in the aggregate, determined after giving effect to any daily sweeps thereof (or market value of such accounts), for the most recently completed fiscal quarter (or, if shorter, such period as for which such account has been open), exceeds the greater of (i) $25,000,000 and (ii) 30% of EBITDA of the Borrower and the Restricted Subsidiaries for the Test Period.</w:t>
      </w:r>
    </w:p>
    <w:p>
      <w:pPr>
        <w:spacing w:after="0" w:line="18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Change</w:t>
      </w:r>
      <w:r>
        <w:rPr>
          <w:rFonts w:ascii="Times New Roman" w:cs="Times New Roman" w:eastAsia="Times New Roman" w:hAnsi="Times New Roman"/>
          <w:sz w:val="20"/>
          <w:szCs w:val="20"/>
          <w:color w:val="auto"/>
        </w:rPr>
        <w:t>” means, (a) as it relates to a Limited Condition Acquisition, a “Material Adverse Change” as defined in the applicable Acquisition Agreement related to such Limited Condition Acquisition, and (b) otherwise, any event, change or condition that, individually or in the aggregate, has had or would reasonably be expected to have a material adverse effect on (i) the business, financial condition, or operations of the Borrower and the Restricted Subsidiaries, taken as a whole, (ii) the ability of the Borrower and the Loan Parties, taken as a whole, to perform their material payment obligations under the Loan Documents, and (iii) the rights and remedies of the Administrative Agent and the Lenders under the Loan Documents, taken as a whole.</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Agreement</w:t>
      </w:r>
      <w:r>
        <w:rPr>
          <w:rFonts w:ascii="Times New Roman" w:cs="Times New Roman" w:eastAsia="Times New Roman" w:hAnsi="Times New Roman"/>
          <w:sz w:val="20"/>
          <w:szCs w:val="20"/>
          <w:color w:val="auto"/>
        </w:rPr>
        <w:t>” means any agreement, contract or other instrument to which any Loan Party or any Subsidiary of any Loan Party is a party or that is binding upon any Loan Party or any Subsidiary of any Loan Party or its respective property the revocation, suspension or termination (prior to the stated termination date therefor) of which would reasonably be expected to result in a Material Adverse Change.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Foreign Subsidiary</w:t>
      </w:r>
      <w:r>
        <w:rPr>
          <w:rFonts w:ascii="Times New Roman" w:cs="Times New Roman" w:eastAsia="Times New Roman" w:hAnsi="Times New Roman"/>
          <w:sz w:val="20"/>
          <w:szCs w:val="20"/>
          <w:color w:val="auto"/>
        </w:rPr>
        <w:t>” means a direct Foreign Subsidiary of a Loan Party which, when aggregated with any of its direct or indirect Subsidiaries, contributes more than ten percent (10%) of EBITDA of the Borrower and the Restricted Subsidiaries for any consecutive four-quarter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87" w:name="page288"/>
    <w:bookmarkEnd w:id="287"/>
    <w:p>
      <w:pPr>
        <w:jc w:val="both"/>
        <w:ind w:right="20"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Intellectual Property</w:t>
      </w:r>
      <w:r>
        <w:rPr>
          <w:rFonts w:ascii="Times New Roman" w:cs="Times New Roman" w:eastAsia="Times New Roman" w:hAnsi="Times New Roman"/>
          <w:sz w:val="20"/>
          <w:szCs w:val="20"/>
          <w:color w:val="auto"/>
        </w:rPr>
        <w:t>” means Intellectual Property that is material to the business of the Borrower and its Subsidiaries, taken as a whole.</w:t>
      </w:r>
    </w:p>
    <w:p>
      <w:pPr>
        <w:spacing w:after="0" w:line="153"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License</w:t>
      </w:r>
      <w:r>
        <w:rPr>
          <w:rFonts w:ascii="Times New Roman" w:cs="Times New Roman" w:eastAsia="Times New Roman" w:hAnsi="Times New Roman"/>
          <w:sz w:val="20"/>
          <w:szCs w:val="20"/>
          <w:color w:val="auto"/>
        </w:rPr>
        <w:t>” means any License the loss or absence of such License would reasonably be expected to result in a Material Adverse Change.</w:t>
      </w:r>
    </w:p>
    <w:p>
      <w:pPr>
        <w:spacing w:after="0" w:line="15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Maturity Date</w:t>
      </w:r>
      <w:r>
        <w:rPr>
          <w:rFonts w:ascii="Times New Roman" w:cs="Times New Roman" w:eastAsia="Times New Roman" w:hAnsi="Times New Roman"/>
          <w:sz w:val="19"/>
          <w:szCs w:val="19"/>
          <w:color w:val="auto"/>
        </w:rPr>
        <w:t xml:space="preserve">” means (a) with respect to the Revolving A-1 Credit Facility and the Swing Line Facility, the earlier of (i) the date of acceleration of the Obligations in accordance with </w:t>
      </w:r>
      <w:r>
        <w:rPr>
          <w:rFonts w:ascii="Times New Roman" w:cs="Times New Roman" w:eastAsia="Times New Roman" w:hAnsi="Times New Roman"/>
          <w:sz w:val="19"/>
          <w:szCs w:val="19"/>
          <w:u w:val="single" w:color="auto"/>
          <w:color w:val="auto"/>
        </w:rPr>
        <w:t>Section 9.2</w:t>
      </w:r>
      <w:r>
        <w:rPr>
          <w:rFonts w:ascii="Times New Roman" w:cs="Times New Roman" w:eastAsia="Times New Roman" w:hAnsi="Times New Roman"/>
          <w:sz w:val="19"/>
          <w:szCs w:val="19"/>
          <w:color w:val="auto"/>
        </w:rPr>
        <w:t xml:space="preserve"> and (ii) July 13, 2028, (b) with respect to the Term A-1 Loan Facility, the earlier of (i) the date of acceleration of the Obligations in accordance with </w:t>
      </w:r>
      <w:r>
        <w:rPr>
          <w:rFonts w:ascii="Times New Roman" w:cs="Times New Roman" w:eastAsia="Times New Roman" w:hAnsi="Times New Roman"/>
          <w:sz w:val="19"/>
          <w:szCs w:val="19"/>
          <w:u w:val="single" w:color="auto"/>
          <w:color w:val="auto"/>
        </w:rPr>
        <w:t>Section 9.2</w:t>
      </w:r>
      <w:r>
        <w:rPr>
          <w:rFonts w:ascii="Times New Roman" w:cs="Times New Roman" w:eastAsia="Times New Roman" w:hAnsi="Times New Roman"/>
          <w:sz w:val="19"/>
          <w:szCs w:val="19"/>
          <w:color w:val="auto"/>
        </w:rPr>
        <w:t xml:space="preserve"> and</w:t>
      </w:r>
    </w:p>
    <w:p>
      <w:pPr>
        <w:spacing w:after="0" w:line="2" w:lineRule="exact"/>
        <w:rPr>
          <w:sz w:val="20"/>
          <w:szCs w:val="20"/>
          <w:color w:val="auto"/>
        </w:rPr>
      </w:pPr>
    </w:p>
    <w:p>
      <w:pPr>
        <w:jc w:val="both"/>
        <w:ind w:firstLine="8"/>
        <w:spacing w:after="0" w:line="242" w:lineRule="auto"/>
        <w:tabs>
          <w:tab w:leader="none" w:pos="294"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July 13, 2029, and (c) with respect to any Additional Incremental Facility, the earlier of (i) the date of acceleration of the Obligations in accordance with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and (ii) the maturity date set forth in the corresponding Incremental Amendment, in each case, subject to extension in accordance with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Guarantor Liability</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Incremental Amount</w:t>
      </w:r>
      <w:r>
        <w:rPr>
          <w:rFonts w:ascii="Times New Roman" w:cs="Times New Roman" w:eastAsia="Times New Roman" w:hAnsi="Times New Roman"/>
          <w:sz w:val="20"/>
          <w:szCs w:val="20"/>
          <w:color w:val="auto"/>
        </w:rPr>
        <w:t xml:space="preserve">” means the sum of (a) $225,000,000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an additional amount equal to the aggregate amount of voluntary prepayments of the Term A-1 Loan and reductions in the Revolving A-1 Commitment made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in each case, unless the Borrower otherwise elects in writing to the Administrative Agent, (i) the Borrower shall be deemed to have used amounts under clause (b) (to the extent compliant therewith) prior to utilization of amounts under clause (a) and (ii) loans may be incurred under both or any of the foregoing clauses (a) and (b), and proceeds from any such incurrence under both or any of the foregoing clauses (a) and (b) may be utilized in a single transaction by first calculating the incurrence under clause (b) and then calculating the incurrence under clause (a).</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Netting Amount</w:t>
      </w:r>
      <w:r>
        <w:rPr>
          <w:rFonts w:ascii="Times New Roman" w:cs="Times New Roman" w:eastAsia="Times New Roman" w:hAnsi="Times New Roman"/>
          <w:sz w:val="20"/>
          <w:szCs w:val="20"/>
          <w:color w:val="auto"/>
        </w:rPr>
        <w:t>” means an amount up to $25,000,000 to the extent held in depository account subject to a control agreement in favor of the Administrative Agent.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Minimum Collateral Amount</w:t>
      </w:r>
      <w:r>
        <w:rPr>
          <w:rFonts w:ascii="Times New Roman" w:cs="Times New Roman" w:eastAsia="Times New Roman" w:hAnsi="Times New Roman"/>
          <w:sz w:val="20"/>
          <w:szCs w:val="20"/>
          <w:color w:val="auto"/>
        </w:rPr>
        <w:t>” means, at any time, (a) with respect to Cash Collateral consisting of cash or deposit account balances, an amount equal to 103% of the Fronting Exposure of the Issuing Lender with respect to all Letters of Credit issued and outstanding at such time and (b) otherwise, an amount determined by the Administrative Agent and the Issuing Lender in its sole discretion.</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Moody’s</w:t>
      </w:r>
      <w:r>
        <w:rPr>
          <w:rFonts w:ascii="Times New Roman" w:cs="Times New Roman" w:eastAsia="Times New Roman" w:hAnsi="Times New Roman"/>
          <w:sz w:val="20"/>
          <w:szCs w:val="20"/>
          <w:color w:val="auto"/>
        </w:rPr>
        <w:t>” means Moody’s Investors Service, Inc., or any successor or assignee thereof in the business of rating securities and debt.</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Mortgage</w:t>
      </w:r>
      <w:r>
        <w:rPr>
          <w:rFonts w:ascii="Times New Roman" w:cs="Times New Roman" w:eastAsia="Times New Roman" w:hAnsi="Times New Roman"/>
          <w:sz w:val="20"/>
          <w:szCs w:val="20"/>
          <w:color w:val="auto"/>
        </w:rPr>
        <w:t>” means each mortgage or deed of trust (as applicable) in a form acceptable to the Administrative Agent in its reasonable discretion executed and delivered by a Loan Party to the Administrative Agent for the benefit of the Secured Parties with respect to certain of the real estate owned or leased by such Loan Party.</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 Multiemployer plan as defined in Section 4001(a)(3) of ERISA to which any Loan Party or any ERISA Affiliate makes, is making, made, or was at any time during the current year or the immediately preceding six years obligated to make contributions.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Net Cash Proceeds</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88" w:name="page289"/>
    <w:bookmarkEnd w:id="288"/>
    <w:p>
      <w:pPr>
        <w:jc w:val="both"/>
        <w:ind w:firstLine="1304"/>
        <w:spacing w:after="0" w:line="249" w:lineRule="auto"/>
        <w:tabs>
          <w:tab w:leader="none" w:pos="194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Debt Incurrence, an amount equal to: (i) the aggregate amount of all cash and Cash Equivalents received by any Loan Party or Restricted Subsidiary in respect of such Debt Incurrence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customary, bona fide, out-of-pocket direct costs incurred by such Loan Party or Restricted Subsidiaries in connection with such issuance (including without limitation, legal, accounting and investment banking fees and sales commissions);</w:t>
      </w:r>
    </w:p>
    <w:p>
      <w:pPr>
        <w:spacing w:after="0" w:line="178"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Casualty Event, an amount equal to: (i) the aggregate amount of all cash and Cash Equivalents received by any Loan Party or Restricted Subsidiary from such Casualty Event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sum of (v) all income taxes and other taxes assessed by a Governmental Authority as a result of such Casualty Event, (w) all customary, bona fide, out-of-pocket direct costs incurred by such Loan Party or Restricted Subsidiary in connection with collecting such cash payments (including without limitation, legal, accounting and investment banking fees and sales commissions), (x) any portion of proceeds deposited in an escrow account in connection therewith (provided, that any such proceeds received by way of return of funds held in escrow shall be considered “Net Cash Proceeds” but only as and when received), (y) any reserve for adjustment in connection therewith established in accordance with GAAP (provided, that any such reserve received by way of return of funds held in reserve shall be considered “Net Cash Proceeds” but only as and when received), and (z) amounts applied to repayment of permitted Indebtedness (other than the Obligations) secured by a Permitted Lien on the asset or property subject to such Casualty Event having priority over the Lien of the Administrative Agent on the Collateral; and</w:t>
      </w:r>
    </w:p>
    <w:p>
      <w:pPr>
        <w:spacing w:after="0" w:line="187"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Disposition, an amount equal to: (i) the aggregate amount of all cash and Cash Equivalents received by any Loan Party or any Restricted Subsidiary from such Disposition (including any such proceeds received by way of deferred payment of principal pursuant to a note or installment receivable or purchase price adjustment receivable or return of funds held in escrow or otherwise, but only as and when received)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(ii) the sum of (v) all income taxes and other taxes assessed by a Governmental Authority as a result of such transaction, (w) all customary, bona fide, out-of-pocket direct transaction costs incurred by such Loan Party and Restricted Subsidiaries in connection with such Disposition (including without limitation, legal, accounting and investment banking fees and sales commissions), (x) any portion of proceeds deposited in an escrow amount pursuant to the documentation relating to any Disposition (provided, that any such proceeds received by way of return of funds held in escrow shall be considered “Net Cash Proceeds” but only as and when received), (y) any reserve for adjustment in respect of the sale price of assets Disposed established in accordance with GAAP (provided, that any such reserve received by way of return of funds held in reserve shall be considered “Net Cash Proceeds” but only as and when received), and (z) amounts applied to repayment of permitted Indebtedness (other than the Obligations) secured by a Permitted Lien on the asset or property disposed of having priority over the Lien of the Administrative Agent on the Collateral;</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so long as no Default or Event of Default shall have occurred and be continuing or would result therefrom, Net Cash Proceeds shall not include any amounts: (1) with respect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above to the extent that such amounts are applied to reimburse a Loan Party for repairs to or replacements of the property subject to such Casualty Event, used for repairs to or replacements of the property subject to such Casualty Event, or reinvested (or committed to be reinvested) in productive assets (other than inventory unless such Net Cash Proceeds result from a Casualty Event with respect to inventory) of a kind then used or usable in the business of such Loan Party, within 365 days after the receipt thereof (or if committed to be reinvested, within such 365 day period, within 180 days after the end of such 365 day period); or (2) with respect to </w:t>
      </w:r>
      <w:r>
        <w:rPr>
          <w:rFonts w:ascii="Times New Roman" w:cs="Times New Roman" w:eastAsia="Times New Roman" w:hAnsi="Times New Roman"/>
          <w:sz w:val="19"/>
          <w:szCs w:val="19"/>
          <w:u w:val="single" w:color="auto"/>
          <w:color w:val="auto"/>
        </w:rPr>
        <w:t>clause (c)</w:t>
      </w:r>
      <w:r>
        <w:rPr>
          <w:rFonts w:ascii="Times New Roman" w:cs="Times New Roman" w:eastAsia="Times New Roman" w:hAnsi="Times New Roman"/>
          <w:sz w:val="19"/>
          <w:szCs w:val="19"/>
          <w:color w:val="auto"/>
        </w:rPr>
        <w:t xml:space="preserve"> above to the extent that such amounts are reinvested (or committed to be reinvested) in productive assets (other than inventory) of a kind then used or usable in the business of such Loan Party within 365 days after the receipt thereof (or if committed to be reinvested within such 365 day period, within 180 days after the end of such 365 day period).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89" w:name="page290"/>
    <w:bookmarkEnd w:id="289"/>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Non-Defaulting Lender</w:t>
      </w:r>
      <w:r>
        <w:rPr>
          <w:rFonts w:ascii="Times New Roman" w:cs="Times New Roman" w:eastAsia="Times New Roman" w:hAnsi="Times New Roman"/>
          <w:sz w:val="20"/>
          <w:szCs w:val="20"/>
          <w:color w:val="auto"/>
        </w:rPr>
        <w:t>” means, at any time, each Lender that is not a Defaulting Lender at such time.</w:t>
      </w: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Non-Extending Lender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Notes</w:t>
      </w:r>
      <w:r>
        <w:rPr>
          <w:rFonts w:ascii="Times New Roman" w:cs="Times New Roman" w:eastAsia="Times New Roman" w:hAnsi="Times New Roman"/>
          <w:sz w:val="20"/>
          <w:szCs w:val="20"/>
          <w:color w:val="auto"/>
        </w:rPr>
        <w:t>” means, collectively, the Revolving Notes, the Term Loan Notes and the Swing Line Notes.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Date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NTIA</w:t>
      </w:r>
      <w:r>
        <w:rPr>
          <w:rFonts w:ascii="Times New Roman" w:cs="Times New Roman" w:eastAsia="Times New Roman" w:hAnsi="Times New Roman"/>
          <w:sz w:val="20"/>
          <w:szCs w:val="20"/>
          <w:color w:val="auto"/>
        </w:rPr>
        <w:t>” means the National Telecommunications and Information Administration or other agency of the United States of America succeeding to it powers.</w:t>
      </w:r>
    </w:p>
    <w:p>
      <w:pPr>
        <w:spacing w:after="0" w:line="15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w:t>
      </w:r>
      <w:r>
        <w:rPr>
          <w:rFonts w:ascii="Times New Roman" w:cs="Times New Roman" w:eastAsia="Times New Roman" w:hAnsi="Times New Roman"/>
          <w:sz w:val="20"/>
          <w:szCs w:val="20"/>
          <w:color w:val="auto"/>
        </w:rPr>
        <w:t>” means any obligation or liability of any of the Loan Parties (other than Excluded Swap Obligations), howsoever created, arising or evidenced, whether direct or indirect, joint or several, absolute or contingent, for payment or performance, now or hereafter existing (and including obligations or liabilities arising or accruing after the commencement of any Insolvency Proceeding with respect to any Loan Party or which would have arisen or accrued but for the commencement of such Insolvency Proceeding, even if the claim for such obligation or liability is not enforceable or allowable in such proceeding), or due or to become due, under or in connection with this Agreement, the Notes, the Letters of Credit, the Fee Letter or any other Loan Document (regardless of whether any Credit Extension is in excess of the amount committed under or contemplated by the Loan Documents or are made in circumstances in which any condition to any Credit Extension is not satisfied) whether to the Administrative Agent, any of the Lenders or their Affiliates or other persons provided for under such Loan Documents.</w:t>
      </w:r>
    </w:p>
    <w:p>
      <w:pPr>
        <w:spacing w:after="0" w:line="18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Official Body</w:t>
      </w:r>
      <w:r>
        <w:rPr>
          <w:rFonts w:ascii="Times New Roman" w:cs="Times New Roman" w:eastAsia="Times New Roman" w:hAnsi="Times New Roman"/>
          <w:sz w:val="20"/>
          <w:szCs w:val="20"/>
          <w:color w:val="auto"/>
        </w:rPr>
        <w:t>” means (a) any Governmental Authority and (b)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spacing w:after="0" w:line="17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One Communications</w:t>
      </w:r>
      <w:r>
        <w:rPr>
          <w:rFonts w:ascii="Times New Roman" w:cs="Times New Roman" w:eastAsia="Times New Roman" w:hAnsi="Times New Roman"/>
          <w:sz w:val="20"/>
          <w:szCs w:val="20"/>
          <w:color w:val="auto"/>
        </w:rPr>
        <w:t>” means One Communications Ltd. (f/k/a KeyTech Limited), a Bermuda limited liability company.</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Organizational Documents</w:t>
      </w:r>
      <w:r>
        <w:rPr>
          <w:rFonts w:ascii="Times New Roman" w:cs="Times New Roman" w:eastAsia="Times New Roman" w:hAnsi="Times New Roman"/>
          <w:sz w:val="20"/>
          <w:szCs w:val="20"/>
          <w:color w:val="auto"/>
        </w:rPr>
        <w:t>” means the certificate or articles of incorporation, bylaws, certificate of limited partnership, partnership agreement, certificate of formation, limited liability company agreement or other organizational documents of any Person.</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Information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12.13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Liabilities</w:t>
      </w:r>
      <w:r>
        <w:rPr>
          <w:rFonts w:ascii="Times New Roman" w:cs="Times New Roman" w:eastAsia="Times New Roman" w:hAnsi="Times New Roman"/>
          <w:sz w:val="20"/>
          <w:szCs w:val="20"/>
          <w:color w:val="auto"/>
        </w:rPr>
        <w:t>” means any obligation of any Loan Party arising under any document or agreement relating to or on account of (a) any Secured Bank Product and/or (b) any Secured Hedge (other than any Excluded Swap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90" w:name="page291"/>
    <w:bookmarkEnd w:id="290"/>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3.6(b)</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Overadvance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 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Participation Advance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2.11(c)(ii)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Payment In Full</w:t>
      </w:r>
      <w:r>
        <w:rPr>
          <w:rFonts w:ascii="Times New Roman" w:cs="Times New Roman" w:eastAsia="Times New Roman" w:hAnsi="Times New Roman"/>
          <w:sz w:val="20"/>
          <w:szCs w:val="20"/>
          <w:color w:val="auto"/>
        </w:rPr>
        <w:t>” means (a) with respect to the Obligations, the payment in full in cash of the Loans and other Obligations (other than contingent indemnification obligations as to which no claim has been made) hereunder, the termination of the Commitments and the expiration, termination or Cash Collateralization of all Letters of Credit (or other arrangements with respect thereto satisfactory to the Administrative Agent and the Issuing Lender in their respective sole discretion) and (b) with respect to the Other Liabilities, the payment in full in cash or Cash Collateralization of such Other Liabilities (or any such other treatment of such Other Liabilities as the holder thereof shall agree in its sole discretion).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PBGC</w:t>
      </w:r>
      <w:r>
        <w:rPr>
          <w:rFonts w:ascii="Times New Roman" w:cs="Times New Roman" w:eastAsia="Times New Roman" w:hAnsi="Times New Roman"/>
          <w:sz w:val="19"/>
          <w:szCs w:val="19"/>
          <w:color w:val="auto"/>
        </w:rPr>
        <w:t>” means the Pension Benefit Guaranty Corporation established pursuant to Subtitle A of Title IV of ERISA.</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a pension plan (as defined in Section 3(2) of ERISA) subject to Title IV of ERISA which within the current year or the immediately preceding six (6) years any Loan Party or an ERISA Affiliate sponsors, maintains, or to which it makes, is making, or is obligated to make contributions or, in the case of a Multi-employer Plan, has made contributions at any time during the current year or the immediately preceding six plan years.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Performance Standby Letter of Credit</w:t>
      </w:r>
      <w:r>
        <w:rPr>
          <w:rFonts w:ascii="Times New Roman" w:cs="Times New Roman" w:eastAsia="Times New Roman" w:hAnsi="Times New Roman"/>
          <w:sz w:val="20"/>
          <w:szCs w:val="20"/>
          <w:color w:val="auto"/>
        </w:rPr>
        <w:t>” means a Letter of Credit that constitutes a “performance-based standby letter of credit” or a “performance standby letter of credit” or the like under the risk-based capital guidelines of the Comptroller of the Currency or the Federal Reserve Board, as determined in good faith by the related Issuing Lender.</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w:t>
      </w:r>
      <w:r>
        <w:rPr>
          <w:rFonts w:ascii="Times New Roman" w:cs="Times New Roman" w:eastAsia="Times New Roman" w:hAnsi="Times New Roman"/>
          <w:sz w:val="20"/>
          <w:szCs w:val="20"/>
          <w:color w:val="auto"/>
        </w:rPr>
        <w:t xml:space="preserve">” means any Acquisition by any Loan Party or any Restricted Subsidiary of all or substantially all the assets of, or any line of business or division or business unit of, any other Person, or all of the Equity Interests of any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such Acquisition:</w:t>
      </w:r>
    </w:p>
    <w:p>
      <w:pPr>
        <w:spacing w:after="0" w:line="173" w:lineRule="exact"/>
        <w:rPr>
          <w:sz w:val="20"/>
          <w:szCs w:val="20"/>
          <w:color w:val="auto"/>
        </w:rPr>
      </w:pPr>
    </w:p>
    <w:p>
      <w:pPr>
        <w:jc w:val="both"/>
        <w:ind w:firstLine="1304"/>
        <w:spacing w:after="0" w:line="249" w:lineRule="auto"/>
        <w:tabs>
          <w:tab w:leader="none" w:pos="194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at least ten (10) Business Days (or such shorter time period as the Administrative Agent may agree in its sole discretion) prior to the proposed closing date of such Acquisition, the Administrative Agent shall have received a completed Permitted Acquisition Questionnaire and (ii) prior to or concurrently with the consummation of such Acquisition, the Administrative Agent shall have a received a duly executed Permitted Acquisition Certificate;</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assets acquired (other than immaterial assets) are usable in, and any Acquired Business (including any of the Acquired Business’s Subsidiaries) is primarily engaged in, a line of business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7.11</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91" w:name="page292"/>
    <w:bookmarkEnd w:id="291"/>
    <w:p>
      <w:pPr>
        <w:jc w:val="both"/>
        <w:ind w:firstLine="1304"/>
        <w:spacing w:after="0" w:line="244" w:lineRule="auto"/>
        <w:tabs>
          <w:tab w:leader="none" w:pos="194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within forty-five (45) days (or such later date as the Administrative Agent shall agree to in its sole discretion) following the consummation of such Acquisition, the Administrative Agent shall receive in accordance with the requirements of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all documents reasonably required by Administrative Agent to have a first-priority perfected security interest (subject to Permitted Liens other than with respect to any Equity Interests required to be pledged under the Security Agreement) in the Acquired Business acquired or created in such Acquisition, together with all opinions of counsel, certificates, resolutions, proof of insurance and other documents required by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in form and substance reasonably acceptable to the Administrative Agent;</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Acquisition shall not be hostile and shall have been approved by all necessary corporate or limited liability company action of the Acquired Business;</w:t>
      </w:r>
    </w:p>
    <w:p>
      <w:pPr>
        <w:spacing w:after="0" w:line="15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available, the Borrower shall have provided to the Administrative Agent and the Lenders not later than ten (10) Business Days prior to the anticipated closing date of such Acquisition (or such shorter period as the Administrative Agent may agree in its sole discretion) with any requested due diligence materials regarding the Acquired Business and such other information as the Administrative Agent may reasonably request, which may include, without limitation, the total amount of such Acquisition and other terms and conditions of the Acquisition, the full name and jurisdiction of organization of any new Subsidiary created or acquired for the purpose of effecting such Acquisition, copies of historical and projected financial statements of the Acquired Business, a detailed description of assets to be acquired, copies of material agreements of the Acquired Business and copies of any agreements (including, for the avoidance of doubt, any Acquisition Agreement and related material documents), schedules or due diligence delivered in connection with the consummation of such Acquisition;</w:t>
      </w:r>
    </w:p>
    <w:p>
      <w:pPr>
        <w:spacing w:after="0" w:line="192" w:lineRule="exact"/>
        <w:rPr>
          <w:rFonts w:ascii="Times New Roman" w:cs="Times New Roman" w:eastAsia="Times New Roman" w:hAnsi="Times New Roman"/>
          <w:sz w:val="20"/>
          <w:szCs w:val="20"/>
          <w:color w:val="auto"/>
        </w:rPr>
      </w:pPr>
    </w:p>
    <w:p>
      <w:pPr>
        <w:jc w:val="both"/>
        <w:ind w:right="20" w:firstLine="1304"/>
        <w:spacing w:after="0" w:line="246" w:lineRule="auto"/>
        <w:tabs>
          <w:tab w:leader="none" w:pos="194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before and immediately after giving effect to such Acquisition, no Default or Event of Default shall have occurred and be continuing or would reasonably be expected to result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with respect to a Limited Condition Acquisition,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may be satisfied if there is (x) no Default or Event of Default in existence at the time of execution and effectiveness of the Acquisition Agreement for such Limited Condition Acquisition and (y) no Specified Event of Default at the time such Limited Condition Acquisition is consummated;</w:t>
      </w:r>
    </w:p>
    <w:p>
      <w:pPr>
        <w:spacing w:after="0" w:line="184" w:lineRule="exact"/>
        <w:rPr>
          <w:rFonts w:ascii="Times New Roman" w:cs="Times New Roman" w:eastAsia="Times New Roman" w:hAnsi="Times New Roman"/>
          <w:sz w:val="20"/>
          <w:szCs w:val="20"/>
          <w:color w:val="auto"/>
        </w:rPr>
      </w:pPr>
    </w:p>
    <w:p>
      <w:pPr>
        <w:jc w:val="both"/>
        <w:ind w:firstLine="1304"/>
        <w:spacing w:after="0" w:line="259" w:lineRule="auto"/>
        <w:tabs>
          <w:tab w:leader="none" w:pos="1944"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immediately after giving pro forma effect to such Acquisition, the Loan Parties shall be in compliance with the financial covenant set forth in </w:t>
      </w:r>
      <w:r>
        <w:rPr>
          <w:rFonts w:ascii="Times New Roman" w:cs="Times New Roman" w:eastAsia="Times New Roman" w:hAnsi="Times New Roman"/>
          <w:sz w:val="19"/>
          <w:szCs w:val="19"/>
          <w:u w:val="single" w:color="auto"/>
          <w:color w:val="auto"/>
        </w:rPr>
        <w:t>Article VIII</w:t>
      </w:r>
      <w:r>
        <w:rPr>
          <w:rFonts w:ascii="Times New Roman" w:cs="Times New Roman" w:eastAsia="Times New Roman" w:hAnsi="Times New Roman"/>
          <w:sz w:val="19"/>
          <w:szCs w:val="19"/>
          <w:color w:val="auto"/>
        </w:rPr>
        <w:t xml:space="preserve"> for the Test Period;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upon the reasonable request in writing of the Administrative Agent, the Borrower shall deliver a certificate of a Compliance Officer of the Borrower (supported by reasonably detailed calculations) certifying as to the foregoing;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solely to the extent such Acquisition is a Limited Condition Acquisition, at the Borrower’s election, compliance with the financial covenant pursuant to this </w:t>
      </w:r>
      <w:r>
        <w:rPr>
          <w:rFonts w:ascii="Times New Roman" w:cs="Times New Roman" w:eastAsia="Times New Roman" w:hAnsi="Times New Roman"/>
          <w:sz w:val="19"/>
          <w:szCs w:val="19"/>
          <w:u w:val="single" w:color="auto"/>
          <w:color w:val="auto"/>
        </w:rPr>
        <w:t>clause (j)</w:t>
      </w:r>
      <w:r>
        <w:rPr>
          <w:rFonts w:ascii="Times New Roman" w:cs="Times New Roman" w:eastAsia="Times New Roman" w:hAnsi="Times New Roman"/>
          <w:sz w:val="19"/>
          <w:szCs w:val="19"/>
          <w:color w:val="auto"/>
        </w:rPr>
        <w:t xml:space="preserve"> shall be tested as of the date of execution and effectiveness of the Acquisition Agreement for such Limited Condition Acquisition in lieu of the date of consummation of such Limited Condition Acquisition;</w:t>
      </w:r>
    </w:p>
    <w:p>
      <w:pPr>
        <w:spacing w:after="0" w:line="172"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prior to the required satisfaction of clause (c) hereof, the Administrative Agent shall have received (A) all documentation and other information reasonably requested by (or on behalf of) any Lender in writing in order to comply with requirements of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92" w:name="page293"/>
    <w:bookmarkEnd w:id="292"/>
    <w:p>
      <w:pPr>
        <w:spacing w:after="0" w:line="268" w:lineRule="auto"/>
        <w:rPr>
          <w:sz w:val="20"/>
          <w:szCs w:val="20"/>
          <w:color w:val="auto"/>
        </w:rPr>
      </w:pPr>
      <w:r>
        <w:rPr>
          <w:rFonts w:ascii="Times New Roman" w:cs="Times New Roman" w:eastAsia="Times New Roman" w:hAnsi="Times New Roman"/>
          <w:sz w:val="20"/>
          <w:szCs w:val="20"/>
          <w:color w:val="auto"/>
        </w:rPr>
        <w:t>Corruption Laws, Anti-Terrorism Laws and Sanctions and (B) if the Borrower or any other Loan Party qualifies as a “legal entity customer” under the Beneficial Ownership Regulation, a Beneficial Ownership Certification; and</w:t>
      </w:r>
    </w:p>
    <w:p>
      <w:pPr>
        <w:spacing w:after="0" w:line="160" w:lineRule="exact"/>
        <w:rPr>
          <w:sz w:val="20"/>
          <w:szCs w:val="20"/>
          <w:color w:val="auto"/>
        </w:rPr>
      </w:pPr>
    </w:p>
    <w:p>
      <w:pPr>
        <w:jc w:val="both"/>
        <w:ind w:firstLine="1304"/>
        <w:spacing w:after="0" w:line="245" w:lineRule="auto"/>
        <w:tabs>
          <w:tab w:leader="none" w:pos="1944"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available, within ten (10) Business Days (or such longer period as the Administrative Agent may agree in its sole discretion) following the closing date of such Acquisition, the Borrower shall deliver to the Administrative Agent (i) copies of the fully executed Acquisition Agreement for such Acquisition, together with all schedules, exhibits, attachments, amendments and other modifications thereto, (ii) any historical or pro forma financial statements or projections related to such Acquisition and (iii) such other documents and information as the Administrative Agent may request in its reasonable discretion.</w:t>
      </w:r>
    </w:p>
    <w:p>
      <w:pPr>
        <w:spacing w:after="0" w:line="180"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 Certificate</w:t>
      </w:r>
      <w:r>
        <w:rPr>
          <w:rFonts w:ascii="Times New Roman" w:cs="Times New Roman" w:eastAsia="Times New Roman" w:hAnsi="Times New Roman"/>
          <w:sz w:val="20"/>
          <w:szCs w:val="20"/>
          <w:color w:val="auto"/>
        </w:rPr>
        <w:t xml:space="preserve">” means a certificate of the Borrower with respect to a Permitted Acquisition,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Acquisition Questionnaire</w:t>
      </w:r>
      <w:r>
        <w:rPr>
          <w:rFonts w:ascii="Times New Roman" w:cs="Times New Roman" w:eastAsia="Times New Roman" w:hAnsi="Times New Roman"/>
          <w:sz w:val="20"/>
          <w:szCs w:val="20"/>
          <w:color w:val="auto"/>
        </w:rPr>
        <w:t xml:space="preserve">” means the questionnaire for preliminary information regarding a proposed Permitted Acquisition and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hereto.</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Investment</w:t>
      </w:r>
      <w:r>
        <w:rPr>
          <w:rFonts w:ascii="Times New Roman" w:cs="Times New Roman" w:eastAsia="Times New Roman" w:hAnsi="Times New Roman"/>
          <w:sz w:val="20"/>
          <w:szCs w:val="20"/>
          <w:color w:val="auto"/>
        </w:rPr>
        <w:t>” means any Investment (other than a Permitted Acquisition) by any Loan Party or 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Restricted Subsidiary in another Person (other than an Unrestricted Subsidiary),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1304"/>
        <w:spacing w:after="0" w:line="256" w:lineRule="auto"/>
        <w:tabs>
          <w:tab w:leader="none" w:pos="1944" w:val="left"/>
        </w:tabs>
        <w:numPr>
          <w:ilvl w:val="1"/>
          <w:numId w:val="2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such Investment constitutes the extension of Indebtedness by a Loan Party (other than Indebtedness of a Loan Party to another Loan Party), such Investment is evidenced by a written promissory note in form and substance reasonably acceptable to Administrative Agent, and such note is collaterally assigned and delivered to Administrative Agent, provided, however, that such evidence, collateral assignment and delivery shall only be required with respect to the principal amount of such Indebtedness in excess of the aggregate amount of the greater of (i) $45,000,000 and</w:t>
      </w:r>
    </w:p>
    <w:p>
      <w:pPr>
        <w:spacing w:after="0" w:line="4" w:lineRule="exact"/>
        <w:rPr>
          <w:rFonts w:ascii="Times New Roman" w:cs="Times New Roman" w:eastAsia="Times New Roman" w:hAnsi="Times New Roman"/>
          <w:sz w:val="19"/>
          <w:szCs w:val="19"/>
          <w:color w:val="auto"/>
        </w:rPr>
      </w:pPr>
    </w:p>
    <w:p>
      <w:pPr>
        <w:jc w:val="both"/>
        <w:ind w:firstLine="8"/>
        <w:spacing w:after="0" w:line="241" w:lineRule="auto"/>
        <w:tabs>
          <w:tab w:leader="none" w:pos="296" w:val="left"/>
        </w:tabs>
        <w:numPr>
          <w:ilvl w:val="0"/>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45% of EBITDA of the Borrower and the Restricted Subsidiaries for the Test Period (excluding existing Investments set forth on </w:t>
      </w:r>
      <w:r>
        <w:rPr>
          <w:rFonts w:ascii="Times New Roman" w:cs="Times New Roman" w:eastAsia="Times New Roman" w:hAnsi="Times New Roman"/>
          <w:sz w:val="20"/>
          <w:szCs w:val="20"/>
          <w:u w:val="single" w:color="auto"/>
          <w:color w:val="auto"/>
        </w:rPr>
        <w:t>Schedule 7.5)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provided further that</w:t>
      </w:r>
      <w:r>
        <w:rPr>
          <w:rFonts w:ascii="Times New Roman" w:cs="Times New Roman" w:eastAsia="Times New Roman" w:hAnsi="Times New Roman"/>
          <w:sz w:val="20"/>
          <w:szCs w:val="20"/>
          <w:color w:val="auto"/>
        </w:rPr>
        <w:t>, Administrative Agent may elect not to require such additional documentation if it determines in its sole discretion that the costs to the Loan Parties of delivering such documentation exceed the relative benefit afforded the Secured Parties;</w:t>
      </w:r>
    </w:p>
    <w:p>
      <w:pPr>
        <w:spacing w:after="0" w:line="188"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before and immediately after giving effect to such Investment, no Default or Event of Default shall have occurred and be continuing or would reasonably be expected to result therefrom; and</w:t>
      </w:r>
    </w:p>
    <w:p>
      <w:pPr>
        <w:spacing w:after="0" w:line="15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2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pro forma effect to such Investment, the Loan Parties shall be in compliance with the financial covenant set forth in Article VIII for the Test Period; provided that upon the reasonable request in writing of the Administrative Agent the Borrower shall deliver a certificate of a Compliance Officer of the Borrower (supported by reasonably detailed calculations) certifying as to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1304"/>
        <w:spacing w:after="0" w:line="249" w:lineRule="auto"/>
        <w:tabs>
          <w:tab w:leader="none" w:pos="1944"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for taxes, assessments or other governmental charges not yet due and payable or Liens for taxes, assessments or other governmental charges due and payable if the same are being diligently contested in good faith and by appropriate proceedings and then only if and to the extent that adequate reserves therefor are maintained on the books of the Loan Parties and their respective Subsidiaries, as applicable,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93" w:name="page294"/>
    <w:bookmarkEnd w:id="293"/>
    <w:p>
      <w:pPr>
        <w:jc w:val="both"/>
        <w:ind w:firstLine="1304"/>
        <w:spacing w:after="0" w:line="253" w:lineRule="auto"/>
        <w:tabs>
          <w:tab w:leader="none" w:pos="194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pledges or deposits made in the ordinary course of business to secure payment of worker’s compensation, or to participate in any fund in connection with worker’s compensation, unemployment insurance, old-age pensions or other social security programs, other than any Lien imposed by ERISA;</w:t>
      </w:r>
    </w:p>
    <w:p>
      <w:pPr>
        <w:spacing w:after="0" w:line="176"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of mechanics, repairmen, materialmen, warehousemen, carriers, suppliers, landlords or other like Liens that are incurred in the ordinary course of business and either (i) secure obligations that are not overdue by more than sixty (60) days or (ii) are being diligently contested in good faith by appropriate and lawful proceedings that suspend enforcement of such Liens and for which adequate reserves or other appropriate provisions in accordance with GAAP have been set aside on such Loan Party’s books;</w:t>
      </w:r>
    </w:p>
    <w:p>
      <w:pPr>
        <w:spacing w:after="0" w:line="18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good-faith pledges or deposits made in the ordinary course of business to secure the performance of tenders, statutory obligations, surety, stay, customs and appeals bonds, bids, leases, governmental contract, trade contracts, performance and return of money bonds and other similar obligations (exclusive of obligations for the payment of borrowed money or other funded indebtedness) or to secure liability to insurance carriers;</w:t>
      </w:r>
    </w:p>
    <w:p>
      <w:pPr>
        <w:spacing w:after="0" w:line="17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encumbrances consisting of zoning restrictions, easements, right-of-way or other encumbrances, title defects and restrictions on the use of real property and none of which materially impairs the use of such property or the value thereof, none of which is violated in any material respect by existing or proposed structures or land use and which do not materially interfere with the ordinary conduct of the business of the applicable Loan Party;</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security interests and mortgages in favor of the Administrative Agent for the benefit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Secured Parties;</w:t>
      </w:r>
    </w:p>
    <w:p>
      <w:pPr>
        <w:spacing w:after="0" w:line="193"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Lien existing on the date of this Agreement and described on </w:t>
      </w:r>
      <w:r>
        <w:rPr>
          <w:rFonts w:ascii="Times New Roman" w:cs="Times New Roman" w:eastAsia="Times New Roman" w:hAnsi="Times New Roman"/>
          <w:sz w:val="20"/>
          <w:szCs w:val="20"/>
          <w:u w:val="single" w:color="auto"/>
          <w:color w:val="auto"/>
        </w:rPr>
        <w:t>Schedule 1.1(P)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principal amount secured thereby is not hereafter increased, (ii) no additional assets become subject to such Lien, (iii) the direct or contingent obligor with respect thereto is not changed and (iv) any renewal or extension of the Obligations secured or benefitted thereby is permitted by </w:t>
      </w:r>
      <w:r>
        <w:rPr>
          <w:rFonts w:ascii="Times New Roman" w:cs="Times New Roman" w:eastAsia="Times New Roman" w:hAnsi="Times New Roman"/>
          <w:sz w:val="20"/>
          <w:szCs w:val="20"/>
          <w:u w:val="single" w:color="auto"/>
          <w:color w:val="auto"/>
        </w:rPr>
        <w:t>Section 7.1(h)</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CoBank’s Lien (including the right of setoff) in the CoBank Equities and in any cash patronage;</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resulting from judgments or orders not constituting an Event of Default under </w:t>
      </w:r>
      <w:r>
        <w:rPr>
          <w:rFonts w:ascii="Times New Roman" w:cs="Times New Roman" w:eastAsia="Times New Roman" w:hAnsi="Times New Roman"/>
          <w:sz w:val="20"/>
          <w:szCs w:val="20"/>
          <w:u w:val="single" w:color="auto"/>
          <w:color w:val="auto"/>
        </w:rPr>
        <w:t>Section 9.1(f)</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solely on any cash earnest money deposits made by Borrower or any of its Subsidiaries in connection with any letter of intent or purchase agreement arising in connection with a transaction which if consummated would constitute a Permitted Acquisition;</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that are contractual rights of set-off (i) relating to the establishment of depository relations with banks not given in connection with the issuance of Indebtedness or (ii) relating to purchase orders and other agreements entered into with customers of Borrower or any Subsidiary in the ordinary course of business;</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any property acquired, improved or held by any Loan Party or any Subsidiary of any Loan Party securing Indebtedness incurred or assumed for the purpose of financing (or refinancing) all or any part of the cost of acquiring, holding or improving such property and permitted pursuant to </w:t>
      </w:r>
      <w:r>
        <w:rPr>
          <w:rFonts w:ascii="Times New Roman" w:cs="Times New Roman" w:eastAsia="Times New Roman" w:hAnsi="Times New Roman"/>
          <w:sz w:val="20"/>
          <w:szCs w:val="20"/>
          <w:u w:val="single" w:color="auto"/>
          <w:color w:val="auto"/>
        </w:rPr>
        <w:t>Sections 7.1(i)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attach solely to the property so acquired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94" w:name="page295"/>
    <w:bookmarkEnd w:id="294"/>
    <w:p>
      <w:pPr>
        <w:spacing w:after="0" w:line="268" w:lineRule="auto"/>
        <w:rPr>
          <w:sz w:val="20"/>
          <w:szCs w:val="20"/>
          <w:color w:val="auto"/>
        </w:rPr>
      </w:pPr>
      <w:r>
        <w:rPr>
          <w:rFonts w:ascii="Times New Roman" w:cs="Times New Roman" w:eastAsia="Times New Roman" w:hAnsi="Times New Roman"/>
          <w:sz w:val="20"/>
          <w:szCs w:val="20"/>
          <w:color w:val="auto"/>
        </w:rPr>
        <w:t>transaction and the proceeds, accessions thereto and improvements thereon thereof and (ii) the principal amount of the Indebtedness secured thereby does not exceed 100% of the cost of such property;</w:t>
      </w:r>
    </w:p>
    <w:p>
      <w:pPr>
        <w:spacing w:after="0" w:line="160" w:lineRule="exact"/>
        <w:rPr>
          <w:sz w:val="20"/>
          <w:szCs w:val="20"/>
          <w:color w:val="auto"/>
        </w:rPr>
      </w:pPr>
    </w:p>
    <w:p>
      <w:pPr>
        <w:ind w:left="1960" w:hanging="656"/>
        <w:spacing w:after="0"/>
        <w:tabs>
          <w:tab w:leader="none" w:pos="19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from the filing of precautionary UCC financing statements with respect to any lease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hereunder;</w:t>
      </w:r>
    </w:p>
    <w:p>
      <w:pPr>
        <w:spacing w:after="0" w:line="193"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and other Liens on insurance policies and the proceeds thereof made in the ordinary course of business to secure liability to insurance carriers;</w:t>
      </w:r>
    </w:p>
    <w:p>
      <w:pPr>
        <w:spacing w:after="0" w:line="15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on cash advances in favor of the seller of any property to be acquired in an Investment permitted hereunder to be applied against the purchase price for such Investment, and (ii) consisting of an agreement to sell, transfer, lease or otherwise dispose of any property in a transaction permitted hereunder, in each case, solely to the extent such Investment or sale, disposition, transfer or lease, as the case may be, would have been permitted on the date of the creation of such Lien;</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in governance and similar documents relating to joint ventures, provided such restrictions relate solely to such joint venture or the Equity Interests of such joint venture;</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Liens securing obligations not to exceed in the aggregate amount at any time the greater of (i) $10,000,000 and (ii) 15% of EBITDA of the Borrower and the Restricted Subsidiaries for the Test Period;</w:t>
      </w:r>
    </w:p>
    <w:p>
      <w:pPr>
        <w:spacing w:after="0" w:line="159" w:lineRule="exact"/>
        <w:rPr>
          <w:rFonts w:ascii="Times New Roman" w:cs="Times New Roman" w:eastAsia="Times New Roman" w:hAnsi="Times New Roman"/>
          <w:sz w:val="20"/>
          <w:szCs w:val="20"/>
          <w:color w:val="auto"/>
        </w:rPr>
      </w:pPr>
    </w:p>
    <w:p>
      <w:pPr>
        <w:jc w:val="both"/>
        <w:ind w:firstLine="1304"/>
        <w:spacing w:after="0" w:line="263" w:lineRule="auto"/>
        <w:tabs>
          <w:tab w:leader="none" w:pos="1944" w:val="left"/>
        </w:tabs>
        <w:numPr>
          <w:ilvl w:val="0"/>
          <w:numId w:val="2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any interest or title of a lessor, sub-lessor, licensor or sub-licensor under leases, subleases, licenses or sublicenses entered into by the Borrower or any of its Subsidiaries in the ordinary course of business or not otherwise materially interfering with the Borrower’s or any of its Subsidiaries’ business taken as a whole and (B) non-exclusive licenses, sublicenses, leases or subleases with respect to any assets granted to third Persons in the ordinary course of business or not otherwise materially interfering with the Borrower’s or any of its Subsidiaries’ business taken as a whole;</w:t>
      </w:r>
    </w:p>
    <w:p>
      <w:pPr>
        <w:spacing w:after="0" w:line="166" w:lineRule="exact"/>
        <w:rPr>
          <w:rFonts w:ascii="Times New Roman" w:cs="Times New Roman" w:eastAsia="Times New Roman" w:hAnsi="Times New Roman"/>
          <w:sz w:val="19"/>
          <w:szCs w:val="19"/>
          <w:color w:val="auto"/>
        </w:rPr>
      </w:pPr>
    </w:p>
    <w:p>
      <w:pPr>
        <w:jc w:val="both"/>
        <w:ind w:firstLine="1304"/>
        <w:spacing w:after="0" w:line="254"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arising out of conditional sale, title retention, consignment or similar arrangements for sale or purchase of goods entered into by Borrower or any of its Subsidiaries in the ordinary course of business permitted by this Agreement;</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Indebtedness permitted by </w:t>
      </w:r>
      <w:r>
        <w:rPr>
          <w:rFonts w:ascii="Times New Roman" w:cs="Times New Roman" w:eastAsia="Times New Roman" w:hAnsi="Times New Roman"/>
          <w:sz w:val="20"/>
          <w:szCs w:val="20"/>
          <w:u w:val="single" w:color="auto"/>
          <w:color w:val="auto"/>
        </w:rPr>
        <w:t>Section 7.1(p)</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600" w:hanging="296"/>
        <w:spacing w:after="0"/>
        <w:tabs>
          <w:tab w:leader="none" w:pos="160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assets of CAH Holdco and the CAH Holdco Subsidiaries securing Indebtedness permitted</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Section 7.1(t)</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the assets of GTT and its Subsidiaries or One Communications and its Subsidiaries, respectively, securing Indebtedness permitted by Section 7.1(u);</w:t>
      </w:r>
    </w:p>
    <w:p>
      <w:pPr>
        <w:spacing w:after="0" w:line="15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(i) of a collection bank arising under Section 4-208 of the Uniform Commercial Code on items in the course of collection, (ii) attaching to commodity trading accounts or other commodities brokerage accounts incurred in the ordinary course of business, and (iii) in favor of a banking or other financial institution arising as a matter of Law or under customary general terms and conditions encumbering deposits or other funds maintained with a financial institution (including the right of set-off) and that are within the general parameters customary in the banking industry or arising pursuant to such banking institutions general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95" w:name="page296"/>
    <w:bookmarkEnd w:id="295"/>
    <w:p>
      <w:pPr>
        <w:jc w:val="both"/>
        <w:ind w:right="20" w:firstLine="1304"/>
        <w:spacing w:after="0" w:line="249" w:lineRule="auto"/>
        <w:tabs>
          <w:tab w:leader="none" w:pos="1944"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assets of any Person that becomes a Restricted Subsidiary pursuant to a Permitted Acquisition, to the extent such Liens secure Indebtedness permitted by Section 7.1(m);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Liens attach at all times only to the same assets to which such Liens attached (and after- acquired property that is affixed or incorporated into the property covered by such Lien), and secure only Indebtedness permitted by </w:t>
      </w:r>
      <w:r>
        <w:rPr>
          <w:rFonts w:ascii="Times New Roman" w:cs="Times New Roman" w:eastAsia="Times New Roman" w:hAnsi="Times New Roman"/>
          <w:sz w:val="20"/>
          <w:szCs w:val="20"/>
          <w:u w:val="single" w:color="auto"/>
          <w:color w:val="auto"/>
        </w:rPr>
        <w:t>Section 7.1(m)</w:t>
      </w:r>
      <w:r>
        <w:rPr>
          <w:rFonts w:ascii="Times New Roman" w:cs="Times New Roman" w:eastAsia="Times New Roman" w:hAnsi="Times New Roman"/>
          <w:sz w:val="20"/>
          <w:szCs w:val="20"/>
          <w:color w:val="auto"/>
        </w:rPr>
        <w:t>; and</w:t>
      </w:r>
    </w:p>
    <w:p>
      <w:pPr>
        <w:spacing w:after="0" w:line="178" w:lineRule="exact"/>
        <w:rPr>
          <w:rFonts w:ascii="Times New Roman" w:cs="Times New Roman" w:eastAsia="Times New Roman" w:hAnsi="Times New Roman"/>
          <w:sz w:val="20"/>
          <w:szCs w:val="20"/>
          <w:color w:val="auto"/>
        </w:rPr>
      </w:pPr>
    </w:p>
    <w:p>
      <w:pPr>
        <w:jc w:val="both"/>
        <w:ind w:right="20" w:firstLine="1304"/>
        <w:spacing w:after="0" w:line="245" w:lineRule="auto"/>
        <w:tabs>
          <w:tab w:leader="none" w:pos="1944"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Liens in favor of Funding Agencies arising with respect to Funding Programs; provided that (a) such Liens are required to be granted in connection with such Funding Programs and (b) no such Lien shall extend to or cover property of the applicable Loan Party or Subsidiary other than (v) Funding Program Assets, (w) Funding Program Deposit Accounts, (x) Funding Program In-kind Assets, (y) Funding Program Cash Assets and (z) Funding Program Matching Funds and (ii) Liens constituting cash collateral provided to a Funding Agency or cash collateral securing letters of credit or similar instruments provided to a Funding Agency, in each case, in connection with any Funding Program.</w:t>
      </w:r>
    </w:p>
    <w:p>
      <w:pPr>
        <w:spacing w:after="0" w:line="180" w:lineRule="exact"/>
        <w:rPr>
          <w:sz w:val="20"/>
          <w:szCs w:val="20"/>
          <w:color w:val="auto"/>
        </w:rPr>
      </w:pPr>
    </w:p>
    <w:p>
      <w:pPr>
        <w:jc w:val="both"/>
        <w:ind w:right="20"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Stimulus Indebtedness</w:t>
      </w:r>
      <w:r>
        <w:rPr>
          <w:rFonts w:ascii="Times New Roman" w:cs="Times New Roman" w:eastAsia="Times New Roman" w:hAnsi="Times New Roman"/>
          <w:sz w:val="20"/>
          <w:szCs w:val="20"/>
          <w:color w:val="auto"/>
        </w:rPr>
        <w:t>” means any Indebtedness incurred by a Stimulus Recipient Subsidiary to or guaranteed by a Stimulus Source Agency, so long as (A) neither the Borrower nor any of its Subsidiaries (other than such Stimulus Recipient Subsidiary) is liable for the obligations of such Stimulus Recipient Subsidiary in respect thereof, except to the extent of any guarantee required by such Stimulus Source Agency as a term or condition to such Indebtedness, (B) no Lien upon any assets of the Borrower or any of its Subsidiaries (other than such Stimulus Recipient Subsidiary) secures any such Indebtedness, except to the extent of any pledge of the Equity Interests in such Stimulus Recipient Subsidiary required by such Stimulus Source Agency as a term or condition to such Indebtedness, and (C) such Indebtedness is extended to a Stimulus Recipient Subsidiary under the Rural Broadband Access Loan and Loan Guarantee Program of the Rural Utilities Service, or a substantially similar program.</w:t>
      </w:r>
    </w:p>
    <w:p>
      <w:pPr>
        <w:spacing w:after="0" w:line="18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company, partnership, limited liability company, association, joint-stock company, trust, unincorporated organization, joint venture, Official Body, or any other entity.</w:t>
      </w:r>
    </w:p>
    <w:p>
      <w:pPr>
        <w:spacing w:after="0" w:line="1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an employee benefit plan (as defined in Section 3(3) of ERISA) which any Loan Party or any of their ERISA Affiliates sponsors or maintains or to which any Loan Party or any of their ERISA Affiliates make, is making, or is obligated to make contributions and includes any Pension Plan.</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Pricing Grid</w:t>
      </w:r>
      <w:r>
        <w:rPr>
          <w:rFonts w:ascii="Times New Roman" w:cs="Times New Roman" w:eastAsia="Times New Roman" w:hAnsi="Times New Roman"/>
          <w:sz w:val="20"/>
          <w:szCs w:val="20"/>
          <w:color w:val="auto"/>
        </w:rPr>
        <w:t>” means the table and text set forth below:</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02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10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auto"/>
            </w:tcBorders>
            <w:shd w:val="clear" w:color="auto" w:fill="E6E6E6"/>
          </w:tcPr>
          <w:p>
            <w:pPr>
              <w:spacing w:after="0"/>
              <w:rPr>
                <w:sz w:val="18"/>
                <w:szCs w:val="18"/>
                <w:color w:val="auto"/>
              </w:rPr>
            </w:pPr>
          </w:p>
        </w:tc>
        <w:tc>
          <w:tcPr>
            <w:tcW w:w="20" w:type="dxa"/>
            <w:vAlign w:val="bottom"/>
            <w:tcBorders>
              <w:top w:val="single" w:sz="8" w:color="auto"/>
            </w:tcBorders>
            <w:shd w:val="clear" w:color="auto" w:fill="E6E6E6"/>
          </w:tcPr>
          <w:p>
            <w:pPr>
              <w:spacing w:after="0"/>
              <w:rPr>
                <w:sz w:val="18"/>
                <w:szCs w:val="18"/>
                <w:color w:val="auto"/>
              </w:rPr>
            </w:pPr>
          </w:p>
        </w:tc>
        <w:tc>
          <w:tcPr>
            <w:tcW w:w="80" w:type="dxa"/>
            <w:vAlign w:val="bottom"/>
            <w:tcBorders>
              <w:top w:val="single" w:sz="8" w:color="auto"/>
            </w:tcBorders>
            <w:shd w:val="clear" w:color="auto" w:fill="E6E6E6"/>
          </w:tcPr>
          <w:p>
            <w:pPr>
              <w:spacing w:after="0"/>
              <w:rPr>
                <w:sz w:val="18"/>
                <w:szCs w:val="18"/>
                <w:color w:val="auto"/>
              </w:rPr>
            </w:pPr>
          </w:p>
        </w:tc>
        <w:tc>
          <w:tcPr>
            <w:tcW w:w="1160" w:type="dxa"/>
            <w:vAlign w:val="bottom"/>
            <w:tcBorders>
              <w:top w:val="single" w:sz="8" w:color="auto"/>
              <w:right w:val="single" w:sz="8" w:color="auto"/>
            </w:tcBorders>
            <w:shd w:val="clear" w:color="auto" w:fill="E6E6E6"/>
          </w:tcPr>
          <w:p>
            <w:pPr>
              <w:spacing w:after="0"/>
              <w:rPr>
                <w:sz w:val="18"/>
                <w:szCs w:val="18"/>
                <w:color w:val="auto"/>
              </w:rPr>
            </w:pPr>
          </w:p>
        </w:tc>
        <w:tc>
          <w:tcPr>
            <w:tcW w:w="1240" w:type="dxa"/>
            <w:vAlign w:val="bottom"/>
            <w:tcBorders>
              <w:top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c>
          <w:tcPr>
            <w:tcW w:w="1240" w:type="dxa"/>
            <w:vAlign w:val="bottom"/>
            <w:tcBorders>
              <w:top w:val="single" w:sz="8" w:color="auto"/>
              <w:right w:val="single" w:sz="8" w:color="auto"/>
            </w:tcBorders>
            <w:shd w:val="clear" w:color="auto" w:fill="E6E6E6"/>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Applicable</w:t>
            </w:r>
          </w:p>
        </w:tc>
        <w:tc>
          <w:tcPr>
            <w:tcW w:w="1240" w:type="dxa"/>
            <w:vAlign w:val="bottom"/>
            <w:tcBorders>
              <w:top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Applicable</w:t>
            </w:r>
          </w:p>
        </w:tc>
        <w:tc>
          <w:tcPr>
            <w:tcW w:w="1240" w:type="dxa"/>
            <w:vAlign w:val="bottom"/>
            <w:tcBorders>
              <w:top w:val="single" w:sz="8" w:color="auto"/>
              <w:right w:val="single" w:sz="8" w:color="auto"/>
            </w:tcBorders>
            <w:shd w:val="clear" w:color="auto" w:fill="E6E6E6"/>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Applicable</w:t>
            </w:r>
          </w:p>
        </w:tc>
        <w:tc>
          <w:tcPr>
            <w:tcW w:w="1260" w:type="dxa"/>
            <w:vAlign w:val="bottom"/>
            <w:tcBorders>
              <w:top w:val="single" w:sz="8" w:color="auto"/>
              <w:right w:val="single" w:sz="8" w:color="auto"/>
            </w:tcBorders>
            <w:shd w:val="clear" w:color="auto" w:fill="E6E6E6"/>
          </w:tcPr>
          <w:p>
            <w:pPr>
              <w:spacing w:after="0"/>
              <w:rPr>
                <w:sz w:val="18"/>
                <w:szCs w:val="18"/>
                <w:color w:val="auto"/>
              </w:rPr>
            </w:pPr>
          </w:p>
        </w:tc>
        <w:tc>
          <w:tcPr>
            <w:tcW w:w="1260" w:type="dxa"/>
            <w:vAlign w:val="bottom"/>
            <w:tcBorders>
              <w:top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1160" w:type="dxa"/>
            <w:vAlign w:val="bottom"/>
            <w:tcBorders>
              <w:right w:val="single" w:sz="8" w:color="auto"/>
            </w:tcBorders>
            <w:shd w:val="clear" w:color="auto" w:fill="E6E6E6"/>
          </w:tcPr>
          <w:p>
            <w:pPr>
              <w:spacing w:after="0"/>
              <w:rPr>
                <w:sz w:val="9"/>
                <w:szCs w:val="9"/>
                <w:color w:val="auto"/>
              </w:rPr>
            </w:pP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60" w:type="dxa"/>
            <w:vAlign w:val="bottom"/>
            <w:tcBorders>
              <w:right w:val="single" w:sz="8" w:color="auto"/>
            </w:tcBorders>
            <w:shd w:val="clear" w:color="auto" w:fill="E6E6E6"/>
          </w:tcPr>
          <w:p>
            <w:pPr>
              <w:spacing w:after="0"/>
              <w:rPr>
                <w:sz w:val="9"/>
                <w:szCs w:val="9"/>
                <w:color w:val="auto"/>
              </w:rPr>
            </w:pP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shd w:val="clear" w:color="auto" w:fill="E6E6E6"/>
          </w:tcPr>
          <w:p>
            <w:pPr>
              <w:spacing w:after="0"/>
              <w:rPr>
                <w:sz w:val="10"/>
                <w:szCs w:val="10"/>
                <w:color w:val="auto"/>
              </w:rPr>
            </w:pPr>
          </w:p>
        </w:tc>
        <w:tc>
          <w:tcPr>
            <w:tcW w:w="100" w:type="dxa"/>
            <w:vAlign w:val="bottom"/>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1160" w:type="dxa"/>
            <w:vAlign w:val="bottom"/>
            <w:tcBorders>
              <w:right w:val="single" w:sz="8" w:color="auto"/>
            </w:tcBorders>
            <w:vMerge w:val="restart"/>
            <w:shd w:val="clear" w:color="auto" w:fill="E6E6E6"/>
          </w:tcPr>
          <w:p>
            <w:pPr>
              <w:jc w:val="center"/>
              <w:ind w:right="201"/>
              <w:spacing w:after="0"/>
              <w:rPr>
                <w:sz w:val="20"/>
                <w:szCs w:val="20"/>
                <w:color w:val="auto"/>
              </w:rPr>
            </w:pPr>
            <w:r>
              <w:rPr>
                <w:rFonts w:ascii="Times New Roman" w:cs="Times New Roman" w:eastAsia="Times New Roman" w:hAnsi="Times New Roman"/>
                <w:sz w:val="20"/>
                <w:szCs w:val="20"/>
                <w:b w:val="1"/>
                <w:bCs w:val="1"/>
                <w:color w:val="auto"/>
                <w:w w:val="96"/>
              </w:rPr>
              <w:t>Total Net</w:t>
            </w: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Letter of</w:t>
            </w: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Unused</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116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Term SOFR</w:t>
            </w: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20" w:type="dxa"/>
            <w:vAlign w:val="bottom"/>
            <w:tcBorders>
              <w:left w:val="single" w:sz="8" w:color="auto"/>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Level</w:t>
            </w:r>
          </w:p>
        </w:tc>
        <w:tc>
          <w:tcPr>
            <w:tcW w:w="10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20" w:type="dxa"/>
            <w:vAlign w:val="bottom"/>
            <w:shd w:val="clear" w:color="auto" w:fill="E6E6E6"/>
          </w:tcPr>
          <w:p>
            <w:pPr>
              <w:spacing w:after="0"/>
              <w:rPr>
                <w:sz w:val="17"/>
                <w:szCs w:val="17"/>
                <w:color w:val="auto"/>
              </w:rPr>
            </w:pPr>
          </w:p>
        </w:tc>
        <w:tc>
          <w:tcPr>
            <w:tcW w:w="80" w:type="dxa"/>
            <w:vAlign w:val="bottom"/>
            <w:shd w:val="clear" w:color="auto" w:fill="E6E6E6"/>
          </w:tcPr>
          <w:p>
            <w:pPr>
              <w:spacing w:after="0"/>
              <w:rPr>
                <w:sz w:val="17"/>
                <w:szCs w:val="17"/>
                <w:color w:val="auto"/>
              </w:rPr>
            </w:pPr>
          </w:p>
        </w:tc>
        <w:tc>
          <w:tcPr>
            <w:tcW w:w="1160" w:type="dxa"/>
            <w:vAlign w:val="bottom"/>
            <w:tcBorders>
              <w:right w:val="single" w:sz="8" w:color="auto"/>
            </w:tcBorders>
            <w:shd w:val="clear" w:color="auto" w:fill="E6E6E6"/>
          </w:tcPr>
          <w:p>
            <w:pPr>
              <w:jc w:val="center"/>
              <w:ind w:right="201"/>
              <w:spacing w:after="0" w:line="203" w:lineRule="exact"/>
              <w:rPr>
                <w:sz w:val="20"/>
                <w:szCs w:val="20"/>
                <w:color w:val="auto"/>
              </w:rPr>
            </w:pPr>
            <w:r>
              <w:rPr>
                <w:rFonts w:ascii="Times New Roman" w:cs="Times New Roman" w:eastAsia="Times New Roman" w:hAnsi="Times New Roman"/>
                <w:sz w:val="20"/>
                <w:szCs w:val="20"/>
                <w:b w:val="1"/>
                <w:bCs w:val="1"/>
                <w:color w:val="auto"/>
                <w:w w:val="98"/>
              </w:rPr>
              <w:t>Leverage</w:t>
            </w:r>
          </w:p>
        </w:tc>
        <w:tc>
          <w:tcPr>
            <w:tcW w:w="124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6"/>
              </w:rPr>
              <w:t>Term SOFR</w:t>
            </w:r>
          </w:p>
        </w:tc>
        <w:tc>
          <w:tcPr>
            <w:tcW w:w="1240" w:type="dxa"/>
            <w:vAlign w:val="bottom"/>
            <w:tcBorders>
              <w:right w:val="single" w:sz="8" w:color="auto"/>
            </w:tcBorders>
            <w:vMerge w:val="continue"/>
            <w:shd w:val="clear" w:color="auto" w:fill="E6E6E6"/>
          </w:tcPr>
          <w:p>
            <w:pPr>
              <w:spacing w:after="0"/>
              <w:rPr>
                <w:sz w:val="17"/>
                <w:szCs w:val="17"/>
                <w:color w:val="auto"/>
              </w:rPr>
            </w:pPr>
          </w:p>
        </w:tc>
        <w:tc>
          <w:tcPr>
            <w:tcW w:w="124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rPr>
              <w:t>Base Rate</w:t>
            </w:r>
          </w:p>
        </w:tc>
        <w:tc>
          <w:tcPr>
            <w:tcW w:w="1240" w:type="dxa"/>
            <w:vAlign w:val="bottom"/>
            <w:tcBorders>
              <w:right w:val="single" w:sz="8" w:color="auto"/>
            </w:tcBorders>
            <w:vMerge w:val="continue"/>
            <w:shd w:val="clear" w:color="auto" w:fill="E6E6E6"/>
          </w:tcPr>
          <w:p>
            <w:pPr>
              <w:spacing w:after="0"/>
              <w:rPr>
                <w:sz w:val="17"/>
                <w:szCs w:val="17"/>
                <w:color w:val="auto"/>
              </w:rPr>
            </w:pPr>
          </w:p>
        </w:tc>
        <w:tc>
          <w:tcPr>
            <w:tcW w:w="126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Credit Fee</w:t>
            </w:r>
          </w:p>
        </w:tc>
        <w:tc>
          <w:tcPr>
            <w:tcW w:w="126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Revolving</w:t>
            </w: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 w:type="dxa"/>
            <w:vAlign w:val="bottom"/>
            <w:shd w:val="clear" w:color="auto" w:fill="E6E6E6"/>
          </w:tcPr>
          <w:p>
            <w:pPr>
              <w:spacing w:after="0"/>
              <w:rPr>
                <w:sz w:val="12"/>
                <w:szCs w:val="12"/>
                <w:color w:val="auto"/>
              </w:rPr>
            </w:pPr>
          </w:p>
        </w:tc>
        <w:tc>
          <w:tcPr>
            <w:tcW w:w="20" w:type="dxa"/>
            <w:vAlign w:val="bottom"/>
            <w:shd w:val="clear" w:color="auto" w:fill="E6E6E6"/>
          </w:tcPr>
          <w:p>
            <w:pPr>
              <w:spacing w:after="0"/>
              <w:rPr>
                <w:sz w:val="12"/>
                <w:szCs w:val="12"/>
                <w:color w:val="auto"/>
              </w:rPr>
            </w:pPr>
          </w:p>
        </w:tc>
        <w:tc>
          <w:tcPr>
            <w:tcW w:w="80" w:type="dxa"/>
            <w:vAlign w:val="bottom"/>
            <w:shd w:val="clear" w:color="auto" w:fill="E6E6E6"/>
          </w:tcPr>
          <w:p>
            <w:pPr>
              <w:spacing w:after="0"/>
              <w:rPr>
                <w:sz w:val="12"/>
                <w:szCs w:val="12"/>
                <w:color w:val="auto"/>
              </w:rPr>
            </w:pPr>
          </w:p>
        </w:tc>
        <w:tc>
          <w:tcPr>
            <w:tcW w:w="1160" w:type="dxa"/>
            <w:vAlign w:val="bottom"/>
            <w:tcBorders>
              <w:right w:val="single" w:sz="8" w:color="auto"/>
            </w:tcBorders>
            <w:vMerge w:val="restart"/>
            <w:shd w:val="clear" w:color="auto" w:fill="E6E6E6"/>
          </w:tcPr>
          <w:p>
            <w:pPr>
              <w:jc w:val="center"/>
              <w:ind w:right="201"/>
              <w:spacing w:after="0"/>
              <w:rPr>
                <w:sz w:val="20"/>
                <w:szCs w:val="20"/>
                <w:color w:val="auto"/>
              </w:rPr>
            </w:pPr>
            <w:r>
              <w:rPr>
                <w:rFonts w:ascii="Times New Roman" w:cs="Times New Roman" w:eastAsia="Times New Roman" w:hAnsi="Times New Roman"/>
                <w:sz w:val="20"/>
                <w:szCs w:val="20"/>
                <w:b w:val="1"/>
                <w:bCs w:val="1"/>
                <w:color w:val="auto"/>
                <w:w w:val="98"/>
              </w:rPr>
              <w:t>Ratio</w:t>
            </w: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1240" w:type="dxa"/>
            <w:vAlign w:val="bottom"/>
            <w:tcBorders>
              <w:right w:val="single" w:sz="8" w:color="auto"/>
            </w:tcBorders>
            <w:shd w:val="clear" w:color="auto" w:fill="E6E6E6"/>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Loans</w:t>
            </w: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Loans</w:t>
            </w:r>
          </w:p>
        </w:tc>
        <w:tc>
          <w:tcPr>
            <w:tcW w:w="1240" w:type="dxa"/>
            <w:vAlign w:val="bottom"/>
            <w:tcBorders>
              <w:right w:val="single" w:sz="8" w:color="auto"/>
            </w:tcBorders>
            <w:shd w:val="clear" w:color="auto" w:fill="E6E6E6"/>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Loans</w:t>
            </w: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shd w:val="clear" w:color="auto" w:fill="E6E6E6"/>
          </w:tcPr>
          <w:p>
            <w:pPr>
              <w:spacing w:after="0"/>
              <w:rPr>
                <w:sz w:val="9"/>
                <w:szCs w:val="9"/>
                <w:color w:val="auto"/>
              </w:rPr>
            </w:pPr>
          </w:p>
        </w:tc>
        <w:tc>
          <w:tcPr>
            <w:tcW w:w="10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20" w:type="dxa"/>
            <w:vAlign w:val="bottom"/>
            <w:shd w:val="clear" w:color="auto" w:fill="E6E6E6"/>
          </w:tcPr>
          <w:p>
            <w:pPr>
              <w:spacing w:after="0"/>
              <w:rPr>
                <w:sz w:val="9"/>
                <w:szCs w:val="9"/>
                <w:color w:val="auto"/>
              </w:rPr>
            </w:pPr>
          </w:p>
        </w:tc>
        <w:tc>
          <w:tcPr>
            <w:tcW w:w="80" w:type="dxa"/>
            <w:vAlign w:val="bottom"/>
            <w:shd w:val="clear" w:color="auto" w:fill="E6E6E6"/>
          </w:tcPr>
          <w:p>
            <w:pPr>
              <w:spacing w:after="0"/>
              <w:rPr>
                <w:sz w:val="9"/>
                <w:szCs w:val="9"/>
                <w:color w:val="auto"/>
              </w:rPr>
            </w:pPr>
          </w:p>
        </w:tc>
        <w:tc>
          <w:tcPr>
            <w:tcW w:w="116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(Revolving</w:t>
            </w: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(Revolving</w:t>
            </w: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shd w:val="clear" w:color="auto" w:fill="E6E6E6"/>
          </w:tcPr>
          <w:p>
            <w:pPr>
              <w:spacing w:after="0"/>
              <w:rPr>
                <w:sz w:val="10"/>
                <w:szCs w:val="10"/>
                <w:color w:val="auto"/>
              </w:rPr>
            </w:pPr>
          </w:p>
        </w:tc>
        <w:tc>
          <w:tcPr>
            <w:tcW w:w="100" w:type="dxa"/>
            <w:vAlign w:val="bottom"/>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20" w:type="dxa"/>
            <w:vAlign w:val="bottom"/>
            <w:shd w:val="clear" w:color="auto" w:fill="E6E6E6"/>
          </w:tcPr>
          <w:p>
            <w:pPr>
              <w:spacing w:after="0"/>
              <w:rPr>
                <w:sz w:val="10"/>
                <w:szCs w:val="10"/>
                <w:color w:val="auto"/>
              </w:rPr>
            </w:pPr>
          </w:p>
        </w:tc>
        <w:tc>
          <w:tcPr>
            <w:tcW w:w="80" w:type="dxa"/>
            <w:vAlign w:val="bottom"/>
            <w:shd w:val="clear" w:color="auto" w:fill="E6E6E6"/>
          </w:tcPr>
          <w:p>
            <w:pPr>
              <w:spacing w:after="0"/>
              <w:rPr>
                <w:sz w:val="10"/>
                <w:szCs w:val="10"/>
                <w:color w:val="auto"/>
              </w:rPr>
            </w:pPr>
          </w:p>
        </w:tc>
        <w:tc>
          <w:tcPr>
            <w:tcW w:w="1160" w:type="dxa"/>
            <w:vAlign w:val="bottom"/>
            <w:tcBorders>
              <w:right w:val="single" w:sz="8" w:color="auto"/>
            </w:tcBorders>
            <w:shd w:val="clear" w:color="auto" w:fill="E6E6E6"/>
          </w:tcPr>
          <w:p>
            <w:pPr>
              <w:spacing w:after="0"/>
              <w:rPr>
                <w:sz w:val="10"/>
                <w:szCs w:val="10"/>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(Term Loan)</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(Term Loan)</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60" w:type="dxa"/>
            <w:vAlign w:val="bottom"/>
            <w:tcBorders>
              <w:right w:val="single" w:sz="8" w:color="auto"/>
            </w:tcBorders>
            <w:shd w:val="clear" w:color="auto" w:fill="E6E6E6"/>
          </w:tcPr>
          <w:p>
            <w:pPr>
              <w:spacing w:after="0"/>
              <w:rPr>
                <w:sz w:val="10"/>
                <w:szCs w:val="10"/>
                <w:color w:val="auto"/>
              </w:rPr>
            </w:pP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Fee Rate</w:t>
            </w:r>
          </w:p>
        </w:tc>
        <w:tc>
          <w:tcPr>
            <w:tcW w:w="0" w:type="dxa"/>
            <w:vAlign w:val="bottom"/>
          </w:tcPr>
          <w:p>
            <w:pPr>
              <w:spacing w:after="0"/>
              <w:rPr>
                <w:sz w:val="1"/>
                <w:szCs w:val="1"/>
                <w:color w:val="auto"/>
              </w:rPr>
            </w:pPr>
          </w:p>
        </w:tc>
      </w:tr>
      <w:tr>
        <w:trPr>
          <w:trHeight w:val="141"/>
        </w:trPr>
        <w:tc>
          <w:tcPr>
            <w:tcW w:w="1020" w:type="dxa"/>
            <w:vAlign w:val="bottom"/>
            <w:tcBorders>
              <w:left w:val="single" w:sz="8" w:color="auto"/>
              <w:right w:val="single" w:sz="8" w:color="auto"/>
            </w:tcBorders>
            <w:shd w:val="clear" w:color="auto" w:fill="E6E6E6"/>
          </w:tcPr>
          <w:p>
            <w:pPr>
              <w:spacing w:after="0"/>
              <w:rPr>
                <w:sz w:val="12"/>
                <w:szCs w:val="12"/>
                <w:color w:val="auto"/>
              </w:rPr>
            </w:pPr>
          </w:p>
        </w:tc>
        <w:tc>
          <w:tcPr>
            <w:tcW w:w="100" w:type="dxa"/>
            <w:vAlign w:val="bottom"/>
            <w:shd w:val="clear" w:color="auto" w:fill="E6E6E6"/>
          </w:tcPr>
          <w:p>
            <w:pPr>
              <w:spacing w:after="0"/>
              <w:rPr>
                <w:sz w:val="12"/>
                <w:szCs w:val="12"/>
                <w:color w:val="auto"/>
              </w:rPr>
            </w:pPr>
          </w:p>
        </w:tc>
        <w:tc>
          <w:tcPr>
            <w:tcW w:w="80" w:type="dxa"/>
            <w:vAlign w:val="bottom"/>
            <w:shd w:val="clear" w:color="auto" w:fill="E6E6E6"/>
          </w:tcPr>
          <w:p>
            <w:pPr>
              <w:spacing w:after="0"/>
              <w:rPr>
                <w:sz w:val="12"/>
                <w:szCs w:val="12"/>
                <w:color w:val="auto"/>
              </w:rPr>
            </w:pPr>
          </w:p>
        </w:tc>
        <w:tc>
          <w:tcPr>
            <w:tcW w:w="20" w:type="dxa"/>
            <w:vAlign w:val="bottom"/>
            <w:shd w:val="clear" w:color="auto" w:fill="E6E6E6"/>
          </w:tcPr>
          <w:p>
            <w:pPr>
              <w:spacing w:after="0"/>
              <w:rPr>
                <w:sz w:val="12"/>
                <w:szCs w:val="12"/>
                <w:color w:val="auto"/>
              </w:rPr>
            </w:pPr>
          </w:p>
        </w:tc>
        <w:tc>
          <w:tcPr>
            <w:tcW w:w="80" w:type="dxa"/>
            <w:vAlign w:val="bottom"/>
            <w:shd w:val="clear" w:color="auto" w:fill="E6E6E6"/>
          </w:tcPr>
          <w:p>
            <w:pPr>
              <w:spacing w:after="0"/>
              <w:rPr>
                <w:sz w:val="12"/>
                <w:szCs w:val="12"/>
                <w:color w:val="auto"/>
              </w:rPr>
            </w:pPr>
          </w:p>
        </w:tc>
        <w:tc>
          <w:tcPr>
            <w:tcW w:w="1160" w:type="dxa"/>
            <w:vAlign w:val="bottom"/>
            <w:tcBorders>
              <w:right w:val="single" w:sz="8" w:color="auto"/>
            </w:tcBorders>
            <w:shd w:val="clear" w:color="auto" w:fill="E6E6E6"/>
          </w:tcPr>
          <w:p>
            <w:pPr>
              <w:spacing w:after="0"/>
              <w:rPr>
                <w:sz w:val="12"/>
                <w:szCs w:val="12"/>
                <w:color w:val="auto"/>
              </w:rPr>
            </w:pPr>
          </w:p>
        </w:tc>
        <w:tc>
          <w:tcPr>
            <w:tcW w:w="1240" w:type="dxa"/>
            <w:vAlign w:val="bottom"/>
            <w:tcBorders>
              <w:right w:val="single" w:sz="8" w:color="auto"/>
            </w:tcBorders>
            <w:vMerge w:val="continue"/>
            <w:shd w:val="clear" w:color="auto" w:fill="E6E6E6"/>
          </w:tcPr>
          <w:p>
            <w:pPr>
              <w:spacing w:after="0"/>
              <w:rPr>
                <w:sz w:val="12"/>
                <w:szCs w:val="12"/>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Loan)</w:t>
            </w:r>
          </w:p>
        </w:tc>
        <w:tc>
          <w:tcPr>
            <w:tcW w:w="1240" w:type="dxa"/>
            <w:vAlign w:val="bottom"/>
            <w:tcBorders>
              <w:right w:val="single" w:sz="8" w:color="auto"/>
            </w:tcBorders>
            <w:vMerge w:val="continue"/>
            <w:shd w:val="clear" w:color="auto" w:fill="E6E6E6"/>
          </w:tcPr>
          <w:p>
            <w:pPr>
              <w:spacing w:after="0"/>
              <w:rPr>
                <w:sz w:val="12"/>
                <w:szCs w:val="12"/>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Loan)</w:t>
            </w:r>
          </w:p>
        </w:tc>
        <w:tc>
          <w:tcPr>
            <w:tcW w:w="1260" w:type="dxa"/>
            <w:vAlign w:val="bottom"/>
            <w:tcBorders>
              <w:right w:val="single" w:sz="8" w:color="auto"/>
            </w:tcBorders>
            <w:shd w:val="clear" w:color="auto" w:fill="E6E6E6"/>
          </w:tcPr>
          <w:p>
            <w:pPr>
              <w:spacing w:after="0"/>
              <w:rPr>
                <w:sz w:val="12"/>
                <w:szCs w:val="12"/>
                <w:color w:val="auto"/>
              </w:rPr>
            </w:pPr>
          </w:p>
        </w:tc>
        <w:tc>
          <w:tcPr>
            <w:tcW w:w="1260" w:type="dxa"/>
            <w:vAlign w:val="bottom"/>
            <w:tcBorders>
              <w:right w:val="single" w:sz="8" w:color="auto"/>
            </w:tcBorders>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02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100" w:type="dxa"/>
            <w:vAlign w:val="bottom"/>
            <w:tcBorders>
              <w:bottom w:val="single" w:sz="8" w:color="auto"/>
            </w:tcBorders>
            <w:shd w:val="clear" w:color="auto" w:fill="E6E6E6"/>
          </w:tcPr>
          <w:p>
            <w:pPr>
              <w:spacing w:after="0"/>
              <w:rPr>
                <w:sz w:val="10"/>
                <w:szCs w:val="10"/>
                <w:color w:val="auto"/>
              </w:rPr>
            </w:pPr>
          </w:p>
        </w:tc>
        <w:tc>
          <w:tcPr>
            <w:tcW w:w="80" w:type="dxa"/>
            <w:vAlign w:val="bottom"/>
            <w:tcBorders>
              <w:bottom w:val="single" w:sz="8" w:color="auto"/>
            </w:tcBorders>
            <w:shd w:val="clear" w:color="auto" w:fill="E6E6E6"/>
          </w:tcPr>
          <w:p>
            <w:pPr>
              <w:spacing w:after="0"/>
              <w:rPr>
                <w:sz w:val="10"/>
                <w:szCs w:val="10"/>
                <w:color w:val="auto"/>
              </w:rPr>
            </w:pPr>
          </w:p>
        </w:tc>
        <w:tc>
          <w:tcPr>
            <w:tcW w:w="20" w:type="dxa"/>
            <w:vAlign w:val="bottom"/>
            <w:tcBorders>
              <w:bottom w:val="single" w:sz="8" w:color="auto"/>
            </w:tcBorders>
            <w:shd w:val="clear" w:color="auto" w:fill="E6E6E6"/>
          </w:tcPr>
          <w:p>
            <w:pPr>
              <w:spacing w:after="0"/>
              <w:rPr>
                <w:sz w:val="10"/>
                <w:szCs w:val="10"/>
                <w:color w:val="auto"/>
              </w:rPr>
            </w:pPr>
          </w:p>
        </w:tc>
        <w:tc>
          <w:tcPr>
            <w:tcW w:w="80" w:type="dxa"/>
            <w:vAlign w:val="bottom"/>
            <w:tcBorders>
              <w:bottom w:val="single" w:sz="8" w:color="auto"/>
            </w:tcBorders>
            <w:shd w:val="clear" w:color="auto" w:fill="E6E6E6"/>
          </w:tcPr>
          <w:p>
            <w:pPr>
              <w:spacing w:after="0"/>
              <w:rPr>
                <w:sz w:val="10"/>
                <w:szCs w:val="10"/>
                <w:color w:val="auto"/>
              </w:rPr>
            </w:pPr>
          </w:p>
        </w:tc>
        <w:tc>
          <w:tcPr>
            <w:tcW w:w="1160" w:type="dxa"/>
            <w:vAlign w:val="bottom"/>
            <w:tcBorders>
              <w:bottom w:val="single" w:sz="8" w:color="auto"/>
              <w:right w:val="single" w:sz="8" w:color="auto"/>
            </w:tcBorders>
            <w:shd w:val="clear" w:color="auto" w:fill="E6E6E6"/>
          </w:tcPr>
          <w:p>
            <w:pPr>
              <w:spacing w:after="0"/>
              <w:rPr>
                <w:sz w:val="10"/>
                <w:szCs w:val="10"/>
                <w:color w:val="auto"/>
              </w:rPr>
            </w:pPr>
          </w:p>
        </w:tc>
        <w:tc>
          <w:tcPr>
            <w:tcW w:w="1240" w:type="dxa"/>
            <w:vAlign w:val="bottom"/>
            <w:tcBorders>
              <w:bottom w:val="single" w:sz="8" w:color="auto"/>
              <w:right w:val="single" w:sz="8" w:color="auto"/>
            </w:tcBorders>
            <w:shd w:val="clear" w:color="auto" w:fill="E6E6E6"/>
          </w:tcPr>
          <w:p>
            <w:pPr>
              <w:spacing w:after="0"/>
              <w:rPr>
                <w:sz w:val="10"/>
                <w:szCs w:val="10"/>
                <w:color w:val="auto"/>
              </w:rPr>
            </w:pPr>
          </w:p>
        </w:tc>
        <w:tc>
          <w:tcPr>
            <w:tcW w:w="124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1240" w:type="dxa"/>
            <w:vAlign w:val="bottom"/>
            <w:tcBorders>
              <w:bottom w:val="single" w:sz="8" w:color="auto"/>
              <w:right w:val="single" w:sz="8" w:color="auto"/>
            </w:tcBorders>
            <w:shd w:val="clear" w:color="auto" w:fill="E6E6E6"/>
          </w:tcPr>
          <w:p>
            <w:pPr>
              <w:spacing w:after="0"/>
              <w:rPr>
                <w:sz w:val="10"/>
                <w:szCs w:val="10"/>
                <w:color w:val="auto"/>
              </w:rPr>
            </w:pPr>
          </w:p>
        </w:tc>
        <w:tc>
          <w:tcPr>
            <w:tcW w:w="124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1260" w:type="dxa"/>
            <w:vAlign w:val="bottom"/>
            <w:tcBorders>
              <w:bottom w:val="single" w:sz="8" w:color="auto"/>
              <w:right w:val="single" w:sz="8" w:color="auto"/>
            </w:tcBorders>
            <w:shd w:val="clear" w:color="auto" w:fill="E6E6E6"/>
          </w:tcPr>
          <w:p>
            <w:pPr>
              <w:spacing w:after="0"/>
              <w:rPr>
                <w:sz w:val="10"/>
                <w:szCs w:val="10"/>
                <w:color w:val="auto"/>
              </w:rPr>
            </w:pPr>
          </w:p>
        </w:tc>
        <w:tc>
          <w:tcPr>
            <w:tcW w:w="1260" w:type="dxa"/>
            <w:vAlign w:val="bottom"/>
            <w:tcBorders>
              <w:bottom w:val="single" w:sz="8" w:color="auto"/>
              <w:right w:val="single" w:sz="8" w:color="auto"/>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89"/>
              </w:rPr>
              <w:t>I</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Borders>
              <w:right w:val="single" w:sz="8" w:color="auto"/>
            </w:tcBorders>
            <w:gridSpan w:val="3"/>
          </w:tcPr>
          <w:p>
            <w:pPr>
              <w:jc w:val="center"/>
              <w:ind w:right="101"/>
              <w:spacing w:after="0"/>
              <w:rPr>
                <w:sz w:val="20"/>
                <w:szCs w:val="20"/>
                <w:color w:val="auto"/>
              </w:rPr>
            </w:pPr>
            <w:r>
              <w:rPr>
                <w:rFonts w:ascii="Times New Roman" w:cs="Times New Roman" w:eastAsia="Times New Roman" w:hAnsi="Times New Roman"/>
                <w:sz w:val="20"/>
                <w:szCs w:val="20"/>
                <w:color w:val="auto"/>
                <w:w w:val="99"/>
              </w:rPr>
              <w:t>&gt;3.25 to 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3.75%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3.50%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2.75%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2.50%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3.50%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0.500%</w:t>
            </w:r>
          </w:p>
        </w:tc>
        <w:tc>
          <w:tcPr>
            <w:tcW w:w="0" w:type="dxa"/>
            <w:vAlign w:val="bottom"/>
          </w:tcPr>
          <w:p>
            <w:pPr>
              <w:spacing w:after="0"/>
              <w:rPr>
                <w:sz w:val="1"/>
                <w:szCs w:val="1"/>
                <w:color w:val="auto"/>
              </w:rPr>
            </w:pPr>
          </w:p>
        </w:tc>
      </w:tr>
      <w:tr>
        <w:trPr>
          <w:trHeight w:val="75"/>
        </w:trPr>
        <w:tc>
          <w:tcPr>
            <w:tcW w:w="102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II</w:t>
            </w:r>
          </w:p>
        </w:tc>
        <w:tc>
          <w:tcPr>
            <w:tcW w:w="100" w:type="dxa"/>
            <w:vAlign w:val="bottom"/>
          </w:tcPr>
          <w:p>
            <w:pPr>
              <w:spacing w:after="0"/>
              <w:rPr>
                <w:sz w:val="18"/>
                <w:szCs w:val="18"/>
                <w:color w:val="auto"/>
              </w:rPr>
            </w:pPr>
          </w:p>
        </w:tc>
        <w:tc>
          <w:tcPr>
            <w:tcW w:w="1340" w:type="dxa"/>
            <w:vAlign w:val="bottom"/>
            <w:tcBorders>
              <w:right w:val="single" w:sz="8" w:color="auto"/>
            </w:tcBorders>
            <w:gridSpan w:val="4"/>
          </w:tcPr>
          <w:p>
            <w:pPr>
              <w:jc w:val="center"/>
              <w:ind w:right="41"/>
              <w:spacing w:after="0" w:line="209" w:lineRule="exact"/>
              <w:rPr>
                <w:sz w:val="20"/>
                <w:szCs w:val="20"/>
                <w:color w:val="auto"/>
              </w:rPr>
            </w:pPr>
            <w:r>
              <w:rPr>
                <w:rFonts w:ascii="Times New Roman" w:cs="Times New Roman" w:eastAsia="Times New Roman" w:hAnsi="Times New Roman"/>
                <w:sz w:val="20"/>
                <w:szCs w:val="20"/>
                <w:color w:val="auto"/>
                <w:w w:val="97"/>
              </w:rPr>
              <w:t>&gt; 2.50:1.00 but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3.25%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3.00%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2.25%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3.00%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0.500%</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tcBorders>
              <w:top w:val="single" w:sz="8" w:color="auto"/>
            </w:tcBorders>
            <w:gridSpan w:val="2"/>
            <w:vMerge w:val="restart"/>
          </w:tcPr>
          <w:p>
            <w:pPr>
              <w:spacing w:after="0"/>
              <w:rPr>
                <w:sz w:val="11"/>
                <w:szCs w:val="11"/>
                <w:color w:val="auto"/>
              </w:rPr>
            </w:pPr>
          </w:p>
        </w:tc>
        <w:tc>
          <w:tcPr>
            <w:tcW w:w="1240" w:type="dxa"/>
            <w:vAlign w:val="bottom"/>
            <w:tcBorders>
              <w:right w:val="single" w:sz="8" w:color="auto"/>
            </w:tcBorders>
            <w:gridSpan w:val="2"/>
            <w:vMerge w:val="restart"/>
          </w:tcPr>
          <w:p>
            <w:pPr>
              <w:jc w:val="center"/>
              <w:ind w:right="141"/>
              <w:spacing w:after="0"/>
              <w:rPr>
                <w:sz w:val="20"/>
                <w:szCs w:val="20"/>
                <w:color w:val="auto"/>
              </w:rPr>
            </w:pPr>
            <w:r>
              <w:rPr>
                <w:rFonts w:ascii="Times New Roman" w:cs="Times New Roman" w:eastAsia="Times New Roman" w:hAnsi="Times New Roman"/>
                <w:sz w:val="20"/>
                <w:szCs w:val="20"/>
                <w:color w:val="auto"/>
              </w:rPr>
              <w:t>&lt; 3.25:1.00</w:t>
            </w: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III</w:t>
            </w:r>
          </w:p>
        </w:tc>
        <w:tc>
          <w:tcPr>
            <w:tcW w:w="100" w:type="dxa"/>
            <w:vAlign w:val="bottom"/>
          </w:tcPr>
          <w:p>
            <w:pPr>
              <w:spacing w:after="0"/>
              <w:rPr>
                <w:sz w:val="18"/>
                <w:szCs w:val="18"/>
                <w:color w:val="auto"/>
              </w:rPr>
            </w:pPr>
          </w:p>
        </w:tc>
        <w:tc>
          <w:tcPr>
            <w:tcW w:w="1340" w:type="dxa"/>
            <w:vAlign w:val="bottom"/>
            <w:tcBorders>
              <w:right w:val="single" w:sz="8" w:color="auto"/>
            </w:tcBorders>
            <w:gridSpan w:val="4"/>
          </w:tcPr>
          <w:p>
            <w:pPr>
              <w:jc w:val="center"/>
              <w:ind w:right="41"/>
              <w:spacing w:after="0" w:line="209" w:lineRule="exact"/>
              <w:rPr>
                <w:sz w:val="20"/>
                <w:szCs w:val="20"/>
                <w:color w:val="auto"/>
              </w:rPr>
            </w:pPr>
            <w:r>
              <w:rPr>
                <w:rFonts w:ascii="Times New Roman" w:cs="Times New Roman" w:eastAsia="Times New Roman" w:hAnsi="Times New Roman"/>
                <w:sz w:val="20"/>
                <w:szCs w:val="20"/>
                <w:color w:val="auto"/>
                <w:w w:val="97"/>
              </w:rPr>
              <w:t>&gt; 2.00:1.00 but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2.75%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2.50%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1.75%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1.50%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2.50%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0.375%</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tcBorders>
              <w:top w:val="single" w:sz="8" w:color="auto"/>
            </w:tcBorders>
            <w:gridSpan w:val="2"/>
            <w:vMerge w:val="restart"/>
          </w:tcPr>
          <w:p>
            <w:pPr>
              <w:spacing w:after="0"/>
              <w:rPr>
                <w:sz w:val="11"/>
                <w:szCs w:val="11"/>
                <w:color w:val="auto"/>
              </w:rPr>
            </w:pPr>
          </w:p>
        </w:tc>
        <w:tc>
          <w:tcPr>
            <w:tcW w:w="1240" w:type="dxa"/>
            <w:vAlign w:val="bottom"/>
            <w:tcBorders>
              <w:right w:val="single" w:sz="8" w:color="auto"/>
            </w:tcBorders>
            <w:gridSpan w:val="2"/>
            <w:vMerge w:val="restart"/>
          </w:tcPr>
          <w:p>
            <w:pPr>
              <w:jc w:val="center"/>
              <w:ind w:right="141"/>
              <w:spacing w:after="0"/>
              <w:rPr>
                <w:sz w:val="20"/>
                <w:szCs w:val="20"/>
                <w:color w:val="auto"/>
              </w:rPr>
            </w:pPr>
            <w:r>
              <w:rPr>
                <w:rFonts w:ascii="Times New Roman" w:cs="Times New Roman" w:eastAsia="Times New Roman" w:hAnsi="Times New Roman"/>
                <w:sz w:val="20"/>
                <w:szCs w:val="20"/>
                <w:color w:val="auto"/>
              </w:rPr>
              <w:t>&lt; 2.50:1.00</w:t>
            </w: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0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IV</w:t>
            </w:r>
          </w:p>
        </w:tc>
        <w:tc>
          <w:tcPr>
            <w:tcW w:w="100" w:type="dxa"/>
            <w:vAlign w:val="bottom"/>
          </w:tcPr>
          <w:p>
            <w:pPr>
              <w:spacing w:after="0"/>
              <w:rPr>
                <w:sz w:val="18"/>
                <w:szCs w:val="18"/>
                <w:color w:val="auto"/>
              </w:rPr>
            </w:pPr>
          </w:p>
        </w:tc>
        <w:tc>
          <w:tcPr>
            <w:tcW w:w="1340" w:type="dxa"/>
            <w:vAlign w:val="bottom"/>
            <w:tcBorders>
              <w:right w:val="single" w:sz="8" w:color="auto"/>
            </w:tcBorders>
            <w:gridSpan w:val="4"/>
          </w:tcPr>
          <w:p>
            <w:pPr>
              <w:jc w:val="center"/>
              <w:ind w:right="41"/>
              <w:spacing w:after="0" w:line="209" w:lineRule="exact"/>
              <w:rPr>
                <w:sz w:val="20"/>
                <w:szCs w:val="20"/>
                <w:color w:val="auto"/>
              </w:rPr>
            </w:pPr>
            <w:r>
              <w:rPr>
                <w:rFonts w:ascii="Times New Roman" w:cs="Times New Roman" w:eastAsia="Times New Roman" w:hAnsi="Times New Roman"/>
                <w:sz w:val="20"/>
                <w:szCs w:val="20"/>
                <w:color w:val="auto"/>
                <w:w w:val="97"/>
              </w:rPr>
              <w:t>&gt; 1.50:1.00 but</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2.25%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2.00%</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1.25%</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6"/>
              </w:rPr>
              <w:t>1.00%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2.00%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0.250%</w:t>
            </w:r>
          </w:p>
        </w:tc>
        <w:tc>
          <w:tcPr>
            <w:tcW w:w="0" w:type="dxa"/>
            <w:vAlign w:val="bottom"/>
          </w:tcPr>
          <w:p>
            <w:pPr>
              <w:spacing w:after="0"/>
              <w:rPr>
                <w:sz w:val="1"/>
                <w:szCs w:val="1"/>
                <w:color w:val="auto"/>
              </w:rPr>
            </w:pPr>
          </w:p>
        </w:tc>
      </w:tr>
      <w:tr>
        <w:trPr>
          <w:trHeight w:val="135"/>
        </w:trPr>
        <w:tc>
          <w:tcPr>
            <w:tcW w:w="1020" w:type="dxa"/>
            <w:vAlign w:val="bottom"/>
            <w:tcBorders>
              <w:left w:val="single" w:sz="8" w:color="auto"/>
              <w:right w:val="single" w:sz="8" w:color="auto"/>
            </w:tcBorders>
            <w:vMerge w:val="continue"/>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tcBorders>
              <w:top w:val="single" w:sz="8" w:color="auto"/>
            </w:tcBorders>
            <w:gridSpan w:val="2"/>
            <w:vMerge w:val="restart"/>
          </w:tcPr>
          <w:p>
            <w:pPr>
              <w:spacing w:after="0"/>
              <w:rPr>
                <w:sz w:val="11"/>
                <w:szCs w:val="11"/>
                <w:color w:val="auto"/>
              </w:rPr>
            </w:pPr>
          </w:p>
        </w:tc>
        <w:tc>
          <w:tcPr>
            <w:tcW w:w="1240" w:type="dxa"/>
            <w:vAlign w:val="bottom"/>
            <w:tcBorders>
              <w:right w:val="single" w:sz="8" w:color="auto"/>
            </w:tcBorders>
            <w:gridSpan w:val="2"/>
            <w:vMerge w:val="restart"/>
          </w:tcPr>
          <w:p>
            <w:pPr>
              <w:jc w:val="center"/>
              <w:ind w:right="141"/>
              <w:spacing w:after="0"/>
              <w:rPr>
                <w:sz w:val="20"/>
                <w:szCs w:val="20"/>
                <w:color w:val="auto"/>
              </w:rPr>
            </w:pPr>
            <w:r>
              <w:rPr>
                <w:rFonts w:ascii="Times New Roman" w:cs="Times New Roman" w:eastAsia="Times New Roman" w:hAnsi="Times New Roman"/>
                <w:sz w:val="20"/>
                <w:szCs w:val="20"/>
                <w:color w:val="auto"/>
              </w:rPr>
              <w:t>&lt; 2.00:1.00</w:t>
            </w: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gridSpan w:val="2"/>
            <w:vMerge w:val="continue"/>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4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0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96" w:name="page297"/>
    <w:bookmarkEnd w:id="296"/>
    <w:tbl>
      <w:tblPr>
        <w:tblLayout w:type="fixed"/>
        <w:tblInd w:w="10" w:type="dxa"/>
        <w:tblCellMar>
          <w:top w:w="0" w:type="dxa"/>
          <w:left w:w="0" w:type="dxa"/>
          <w:bottom w:w="0" w:type="dxa"/>
          <w:right w:w="0" w:type="dxa"/>
        </w:tblCellMar>
      </w:tblPr>
      <w:tr>
        <w:trPr>
          <w:trHeight w:val="216"/>
        </w:trPr>
        <w:tc>
          <w:tcPr>
            <w:tcW w:w="1020" w:type="dxa"/>
            <w:vAlign w:val="bottom"/>
            <w:tcBorders>
              <w:top w:val="single" w:sz="8" w:color="auto"/>
              <w:left w:val="single" w:sz="8" w:color="auto"/>
              <w:right w:val="single" w:sz="8" w:color="auto"/>
            </w:tcBorders>
            <w:shd w:val="clear" w:color="auto" w:fill="E6E6E6"/>
          </w:tcPr>
          <w:p>
            <w:pPr>
              <w:spacing w:after="0"/>
              <w:rPr>
                <w:sz w:val="18"/>
                <w:szCs w:val="18"/>
                <w:color w:val="auto"/>
              </w:rPr>
            </w:pPr>
          </w:p>
        </w:tc>
        <w:tc>
          <w:tcPr>
            <w:tcW w:w="1440" w:type="dxa"/>
            <w:vAlign w:val="bottom"/>
            <w:tcBorders>
              <w:top w:val="single" w:sz="8" w:color="auto"/>
              <w:right w:val="single" w:sz="8" w:color="auto"/>
            </w:tcBorders>
            <w:shd w:val="clear" w:color="auto" w:fill="E6E6E6"/>
          </w:tcPr>
          <w:p>
            <w:pPr>
              <w:spacing w:after="0"/>
              <w:rPr>
                <w:sz w:val="18"/>
                <w:szCs w:val="18"/>
                <w:color w:val="auto"/>
              </w:rPr>
            </w:pPr>
          </w:p>
        </w:tc>
        <w:tc>
          <w:tcPr>
            <w:tcW w:w="1240" w:type="dxa"/>
            <w:vAlign w:val="bottom"/>
            <w:tcBorders>
              <w:top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c>
          <w:tcPr>
            <w:tcW w:w="1240" w:type="dxa"/>
            <w:vAlign w:val="bottom"/>
            <w:tcBorders>
              <w:top w:val="single" w:sz="8" w:color="auto"/>
              <w:right w:val="single" w:sz="8" w:color="auto"/>
            </w:tcBorders>
            <w:shd w:val="clear" w:color="auto" w:fill="E6E6E6"/>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Applicable</w:t>
            </w:r>
          </w:p>
        </w:tc>
        <w:tc>
          <w:tcPr>
            <w:tcW w:w="1240" w:type="dxa"/>
            <w:vAlign w:val="bottom"/>
            <w:tcBorders>
              <w:top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Applicable</w:t>
            </w:r>
          </w:p>
        </w:tc>
        <w:tc>
          <w:tcPr>
            <w:tcW w:w="1240" w:type="dxa"/>
            <w:vAlign w:val="bottom"/>
            <w:tcBorders>
              <w:top w:val="single" w:sz="8" w:color="auto"/>
              <w:right w:val="single" w:sz="8" w:color="auto"/>
            </w:tcBorders>
            <w:shd w:val="clear" w:color="auto" w:fill="E6E6E6"/>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auto"/>
                <w:w w:val="97"/>
              </w:rPr>
              <w:t>Applicable</w:t>
            </w:r>
          </w:p>
        </w:tc>
        <w:tc>
          <w:tcPr>
            <w:tcW w:w="1260" w:type="dxa"/>
            <w:vAlign w:val="bottom"/>
            <w:tcBorders>
              <w:top w:val="single" w:sz="8" w:color="auto"/>
              <w:right w:val="single" w:sz="8" w:color="auto"/>
            </w:tcBorders>
            <w:shd w:val="clear" w:color="auto" w:fill="E6E6E6"/>
          </w:tcPr>
          <w:p>
            <w:pPr>
              <w:spacing w:after="0"/>
              <w:rPr>
                <w:sz w:val="18"/>
                <w:szCs w:val="18"/>
                <w:color w:val="auto"/>
              </w:rPr>
            </w:pPr>
          </w:p>
        </w:tc>
        <w:tc>
          <w:tcPr>
            <w:tcW w:w="1260" w:type="dxa"/>
            <w:vAlign w:val="bottom"/>
            <w:tcBorders>
              <w:top w:val="single" w:sz="8" w:color="auto"/>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Applicable</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shd w:val="clear" w:color="auto" w:fill="E6E6E6"/>
          </w:tcPr>
          <w:p>
            <w:pPr>
              <w:spacing w:after="0"/>
              <w:rPr>
                <w:sz w:val="9"/>
                <w:szCs w:val="9"/>
                <w:color w:val="auto"/>
              </w:rPr>
            </w:pPr>
          </w:p>
        </w:tc>
        <w:tc>
          <w:tcPr>
            <w:tcW w:w="1440" w:type="dxa"/>
            <w:vAlign w:val="bottom"/>
            <w:tcBorders>
              <w:right w:val="single" w:sz="8" w:color="auto"/>
            </w:tcBorders>
            <w:shd w:val="clear" w:color="auto" w:fill="E6E6E6"/>
          </w:tcPr>
          <w:p>
            <w:pPr>
              <w:spacing w:after="0"/>
              <w:rPr>
                <w:sz w:val="9"/>
                <w:szCs w:val="9"/>
                <w:color w:val="auto"/>
              </w:rPr>
            </w:pP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60" w:type="dxa"/>
            <w:vAlign w:val="bottom"/>
            <w:tcBorders>
              <w:right w:val="single" w:sz="8" w:color="auto"/>
            </w:tcBorders>
            <w:shd w:val="clear" w:color="auto" w:fill="E6E6E6"/>
          </w:tcPr>
          <w:p>
            <w:pPr>
              <w:spacing w:after="0"/>
              <w:rPr>
                <w:sz w:val="9"/>
                <w:szCs w:val="9"/>
                <w:color w:val="auto"/>
              </w:rPr>
            </w:pP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shd w:val="clear" w:color="auto" w:fill="E6E6E6"/>
          </w:tcPr>
          <w:p>
            <w:pPr>
              <w:spacing w:after="0"/>
              <w:rPr>
                <w:sz w:val="10"/>
                <w:szCs w:val="10"/>
                <w:color w:val="auto"/>
              </w:rPr>
            </w:pPr>
          </w:p>
        </w:tc>
        <w:tc>
          <w:tcPr>
            <w:tcW w:w="14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Total Net</w:t>
            </w: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Margin for</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Letter of</w:t>
            </w: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Unused</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shd w:val="clear" w:color="auto" w:fill="E6E6E6"/>
          </w:tcPr>
          <w:p>
            <w:pPr>
              <w:spacing w:after="0"/>
              <w:rPr>
                <w:sz w:val="9"/>
                <w:szCs w:val="9"/>
                <w:color w:val="auto"/>
              </w:rPr>
            </w:pPr>
          </w:p>
        </w:tc>
        <w:tc>
          <w:tcPr>
            <w:tcW w:w="14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6"/>
              </w:rPr>
              <w:t>Term SOFR</w:t>
            </w: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Base Rate</w:t>
            </w: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1020" w:type="dxa"/>
            <w:vAlign w:val="bottom"/>
            <w:tcBorders>
              <w:left w:val="single" w:sz="8" w:color="auto"/>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Level</w:t>
            </w:r>
          </w:p>
        </w:tc>
        <w:tc>
          <w:tcPr>
            <w:tcW w:w="144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Leverage</w:t>
            </w:r>
          </w:p>
        </w:tc>
        <w:tc>
          <w:tcPr>
            <w:tcW w:w="124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6"/>
              </w:rPr>
              <w:t>Term SOFR</w:t>
            </w:r>
          </w:p>
        </w:tc>
        <w:tc>
          <w:tcPr>
            <w:tcW w:w="1240" w:type="dxa"/>
            <w:vAlign w:val="bottom"/>
            <w:tcBorders>
              <w:right w:val="single" w:sz="8" w:color="auto"/>
            </w:tcBorders>
            <w:vMerge w:val="continue"/>
            <w:shd w:val="clear" w:color="auto" w:fill="E6E6E6"/>
          </w:tcPr>
          <w:p>
            <w:pPr>
              <w:spacing w:after="0"/>
              <w:rPr>
                <w:sz w:val="17"/>
                <w:szCs w:val="17"/>
                <w:color w:val="auto"/>
              </w:rPr>
            </w:pPr>
          </w:p>
        </w:tc>
        <w:tc>
          <w:tcPr>
            <w:tcW w:w="124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rPr>
              <w:t>Base Rate</w:t>
            </w:r>
          </w:p>
        </w:tc>
        <w:tc>
          <w:tcPr>
            <w:tcW w:w="1240" w:type="dxa"/>
            <w:vAlign w:val="bottom"/>
            <w:tcBorders>
              <w:right w:val="single" w:sz="8" w:color="auto"/>
            </w:tcBorders>
            <w:vMerge w:val="continue"/>
            <w:shd w:val="clear" w:color="auto" w:fill="E6E6E6"/>
          </w:tcPr>
          <w:p>
            <w:pPr>
              <w:spacing w:after="0"/>
              <w:rPr>
                <w:sz w:val="17"/>
                <w:szCs w:val="17"/>
                <w:color w:val="auto"/>
              </w:rPr>
            </w:pPr>
          </w:p>
        </w:tc>
        <w:tc>
          <w:tcPr>
            <w:tcW w:w="126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7"/>
              </w:rPr>
              <w:t>Credit Fee</w:t>
            </w:r>
          </w:p>
        </w:tc>
        <w:tc>
          <w:tcPr>
            <w:tcW w:w="1260" w:type="dxa"/>
            <w:vAlign w:val="bottom"/>
            <w:tcBorders>
              <w:right w:val="single" w:sz="8" w:color="auto"/>
            </w:tcBorders>
            <w:shd w:val="clear" w:color="auto" w:fill="E6E6E6"/>
          </w:tcPr>
          <w:p>
            <w:pPr>
              <w:jc w:val="center"/>
              <w:spacing w:after="0" w:line="203" w:lineRule="exact"/>
              <w:rPr>
                <w:sz w:val="20"/>
                <w:szCs w:val="20"/>
                <w:color w:val="auto"/>
              </w:rPr>
            </w:pPr>
            <w:r>
              <w:rPr>
                <w:rFonts w:ascii="Times New Roman" w:cs="Times New Roman" w:eastAsia="Times New Roman" w:hAnsi="Times New Roman"/>
                <w:sz w:val="20"/>
                <w:szCs w:val="20"/>
                <w:b w:val="1"/>
                <w:bCs w:val="1"/>
                <w:color w:val="auto"/>
                <w:w w:val="98"/>
              </w:rPr>
              <w:t>Revolving</w:t>
            </w:r>
          </w:p>
        </w:tc>
        <w:tc>
          <w:tcPr>
            <w:tcW w:w="0" w:type="dxa"/>
            <w:vAlign w:val="bottom"/>
          </w:tcPr>
          <w:p>
            <w:pPr>
              <w:spacing w:after="0"/>
              <w:rPr>
                <w:sz w:val="1"/>
                <w:szCs w:val="1"/>
                <w:color w:val="auto"/>
              </w:rPr>
            </w:pPr>
          </w:p>
        </w:tc>
      </w:tr>
      <w:tr>
        <w:trPr>
          <w:trHeight w:val="149"/>
        </w:trPr>
        <w:tc>
          <w:tcPr>
            <w:tcW w:w="1020" w:type="dxa"/>
            <w:vAlign w:val="bottom"/>
            <w:tcBorders>
              <w:left w:val="single" w:sz="8" w:color="auto"/>
              <w:right w:val="single" w:sz="8" w:color="auto"/>
            </w:tcBorders>
            <w:shd w:val="clear" w:color="auto" w:fill="E6E6E6"/>
          </w:tcPr>
          <w:p>
            <w:pPr>
              <w:spacing w:after="0"/>
              <w:rPr>
                <w:sz w:val="12"/>
                <w:szCs w:val="12"/>
                <w:color w:val="auto"/>
              </w:rPr>
            </w:pPr>
          </w:p>
        </w:tc>
        <w:tc>
          <w:tcPr>
            <w:tcW w:w="14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Ratio</w:t>
            </w: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Loans</w:t>
            </w:r>
          </w:p>
        </w:tc>
        <w:tc>
          <w:tcPr>
            <w:tcW w:w="1240" w:type="dxa"/>
            <w:vAlign w:val="bottom"/>
            <w:tcBorders>
              <w:right w:val="single" w:sz="8" w:color="auto"/>
            </w:tcBorders>
            <w:shd w:val="clear" w:color="auto" w:fill="E6E6E6"/>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Loans</w:t>
            </w: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Loans</w:t>
            </w:r>
          </w:p>
        </w:tc>
        <w:tc>
          <w:tcPr>
            <w:tcW w:w="1240" w:type="dxa"/>
            <w:vAlign w:val="bottom"/>
            <w:tcBorders>
              <w:right w:val="single" w:sz="8" w:color="auto"/>
            </w:tcBorders>
            <w:shd w:val="clear" w:color="auto" w:fill="E6E6E6"/>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auto"/>
              </w:rPr>
              <w:t>Loans</w:t>
            </w: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Commitment</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shd w:val="clear" w:color="auto" w:fill="E6E6E6"/>
          </w:tcPr>
          <w:p>
            <w:pPr>
              <w:spacing w:after="0"/>
              <w:rPr>
                <w:sz w:val="9"/>
                <w:szCs w:val="9"/>
                <w:color w:val="auto"/>
              </w:rPr>
            </w:pPr>
          </w:p>
        </w:tc>
        <w:tc>
          <w:tcPr>
            <w:tcW w:w="14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(Revolving</w:t>
            </w:r>
          </w:p>
        </w:tc>
        <w:tc>
          <w:tcPr>
            <w:tcW w:w="1240" w:type="dxa"/>
            <w:vAlign w:val="bottom"/>
            <w:tcBorders>
              <w:right w:val="single" w:sz="8" w:color="auto"/>
            </w:tcBorders>
            <w:vMerge w:val="continue"/>
            <w:shd w:val="clear" w:color="auto" w:fill="E6E6E6"/>
          </w:tcPr>
          <w:p>
            <w:pPr>
              <w:spacing w:after="0"/>
              <w:rPr>
                <w:sz w:val="9"/>
                <w:szCs w:val="9"/>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(Revolving</w:t>
            </w: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1260" w:type="dxa"/>
            <w:vAlign w:val="bottom"/>
            <w:tcBorders>
              <w:right w:val="single" w:sz="8" w:color="auto"/>
            </w:tcBorders>
            <w:vMerge w:val="continue"/>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20" w:type="dxa"/>
            <w:vAlign w:val="bottom"/>
            <w:tcBorders>
              <w:left w:val="single" w:sz="8" w:color="auto"/>
              <w:right w:val="single" w:sz="8" w:color="auto"/>
            </w:tcBorders>
            <w:shd w:val="clear" w:color="auto" w:fill="E6E6E6"/>
          </w:tcPr>
          <w:p>
            <w:pPr>
              <w:spacing w:after="0"/>
              <w:rPr>
                <w:sz w:val="10"/>
                <w:szCs w:val="10"/>
                <w:color w:val="auto"/>
              </w:rPr>
            </w:pPr>
          </w:p>
        </w:tc>
        <w:tc>
          <w:tcPr>
            <w:tcW w:w="1440" w:type="dxa"/>
            <w:vAlign w:val="bottom"/>
            <w:tcBorders>
              <w:right w:val="single" w:sz="8" w:color="auto"/>
            </w:tcBorders>
            <w:shd w:val="clear" w:color="auto" w:fill="E6E6E6"/>
          </w:tcPr>
          <w:p>
            <w:pPr>
              <w:spacing w:after="0"/>
              <w:rPr>
                <w:sz w:val="10"/>
                <w:szCs w:val="10"/>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(Term Loan)</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5"/>
              </w:rPr>
              <w:t>(Term Loan)</w:t>
            </w:r>
          </w:p>
        </w:tc>
        <w:tc>
          <w:tcPr>
            <w:tcW w:w="1240" w:type="dxa"/>
            <w:vAlign w:val="bottom"/>
            <w:tcBorders>
              <w:right w:val="single" w:sz="8" w:color="auto"/>
            </w:tcBorders>
            <w:vMerge w:val="continue"/>
            <w:shd w:val="clear" w:color="auto" w:fill="E6E6E6"/>
          </w:tcPr>
          <w:p>
            <w:pPr>
              <w:spacing w:after="0"/>
              <w:rPr>
                <w:sz w:val="10"/>
                <w:szCs w:val="10"/>
                <w:color w:val="auto"/>
              </w:rPr>
            </w:pPr>
          </w:p>
        </w:tc>
        <w:tc>
          <w:tcPr>
            <w:tcW w:w="1260" w:type="dxa"/>
            <w:vAlign w:val="bottom"/>
            <w:tcBorders>
              <w:right w:val="single" w:sz="8" w:color="auto"/>
            </w:tcBorders>
            <w:shd w:val="clear" w:color="auto" w:fill="E6E6E6"/>
          </w:tcPr>
          <w:p>
            <w:pPr>
              <w:spacing w:after="0"/>
              <w:rPr>
                <w:sz w:val="10"/>
                <w:szCs w:val="10"/>
                <w:color w:val="auto"/>
              </w:rPr>
            </w:pPr>
          </w:p>
        </w:tc>
        <w:tc>
          <w:tcPr>
            <w:tcW w:w="126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Fee Rate</w:t>
            </w:r>
          </w:p>
        </w:tc>
        <w:tc>
          <w:tcPr>
            <w:tcW w:w="0" w:type="dxa"/>
            <w:vAlign w:val="bottom"/>
          </w:tcPr>
          <w:p>
            <w:pPr>
              <w:spacing w:after="0"/>
              <w:rPr>
                <w:sz w:val="1"/>
                <w:szCs w:val="1"/>
                <w:color w:val="auto"/>
              </w:rPr>
            </w:pPr>
          </w:p>
        </w:tc>
      </w:tr>
      <w:tr>
        <w:trPr>
          <w:trHeight w:val="141"/>
        </w:trPr>
        <w:tc>
          <w:tcPr>
            <w:tcW w:w="1020" w:type="dxa"/>
            <w:vAlign w:val="bottom"/>
            <w:tcBorders>
              <w:left w:val="single" w:sz="8" w:color="auto"/>
              <w:right w:val="single" w:sz="8" w:color="auto"/>
            </w:tcBorders>
            <w:shd w:val="clear" w:color="auto" w:fill="E6E6E6"/>
          </w:tcPr>
          <w:p>
            <w:pPr>
              <w:spacing w:after="0"/>
              <w:rPr>
                <w:sz w:val="12"/>
                <w:szCs w:val="12"/>
                <w:color w:val="auto"/>
              </w:rPr>
            </w:pPr>
          </w:p>
        </w:tc>
        <w:tc>
          <w:tcPr>
            <w:tcW w:w="1440" w:type="dxa"/>
            <w:vAlign w:val="bottom"/>
            <w:tcBorders>
              <w:right w:val="single" w:sz="8" w:color="auto"/>
            </w:tcBorders>
            <w:shd w:val="clear" w:color="auto" w:fill="E6E6E6"/>
          </w:tcPr>
          <w:p>
            <w:pPr>
              <w:spacing w:after="0"/>
              <w:rPr>
                <w:sz w:val="12"/>
                <w:szCs w:val="12"/>
                <w:color w:val="auto"/>
              </w:rPr>
            </w:pPr>
          </w:p>
        </w:tc>
        <w:tc>
          <w:tcPr>
            <w:tcW w:w="1240" w:type="dxa"/>
            <w:vAlign w:val="bottom"/>
            <w:tcBorders>
              <w:right w:val="single" w:sz="8" w:color="auto"/>
            </w:tcBorders>
            <w:vMerge w:val="continue"/>
            <w:shd w:val="clear" w:color="auto" w:fill="E6E6E6"/>
          </w:tcPr>
          <w:p>
            <w:pPr>
              <w:spacing w:after="0"/>
              <w:rPr>
                <w:sz w:val="12"/>
                <w:szCs w:val="12"/>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Loan)</w:t>
            </w:r>
          </w:p>
        </w:tc>
        <w:tc>
          <w:tcPr>
            <w:tcW w:w="1240" w:type="dxa"/>
            <w:vAlign w:val="bottom"/>
            <w:tcBorders>
              <w:right w:val="single" w:sz="8" w:color="auto"/>
            </w:tcBorders>
            <w:vMerge w:val="continue"/>
            <w:shd w:val="clear" w:color="auto" w:fill="E6E6E6"/>
          </w:tcPr>
          <w:p>
            <w:pPr>
              <w:spacing w:after="0"/>
              <w:rPr>
                <w:sz w:val="12"/>
                <w:szCs w:val="12"/>
                <w:color w:val="auto"/>
              </w:rPr>
            </w:pPr>
          </w:p>
        </w:tc>
        <w:tc>
          <w:tcPr>
            <w:tcW w:w="124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Loan)</w:t>
            </w:r>
          </w:p>
        </w:tc>
        <w:tc>
          <w:tcPr>
            <w:tcW w:w="1260" w:type="dxa"/>
            <w:vAlign w:val="bottom"/>
            <w:tcBorders>
              <w:right w:val="single" w:sz="8" w:color="auto"/>
            </w:tcBorders>
            <w:shd w:val="clear" w:color="auto" w:fill="E6E6E6"/>
          </w:tcPr>
          <w:p>
            <w:pPr>
              <w:spacing w:after="0"/>
              <w:rPr>
                <w:sz w:val="12"/>
                <w:szCs w:val="12"/>
                <w:color w:val="auto"/>
              </w:rPr>
            </w:pPr>
          </w:p>
        </w:tc>
        <w:tc>
          <w:tcPr>
            <w:tcW w:w="1260" w:type="dxa"/>
            <w:vAlign w:val="bottom"/>
            <w:tcBorders>
              <w:right w:val="single" w:sz="8" w:color="auto"/>
            </w:tcBorders>
            <w:vMerge w:val="continue"/>
            <w:shd w:val="clear" w:color="auto" w:fill="E6E6E6"/>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1020" w:type="dxa"/>
            <w:vAlign w:val="bottom"/>
            <w:tcBorders>
              <w:left w:val="single" w:sz="8" w:color="auto"/>
              <w:bottom w:val="single" w:sz="8" w:color="auto"/>
              <w:right w:val="single" w:sz="8" w:color="auto"/>
            </w:tcBorders>
            <w:shd w:val="clear" w:color="auto" w:fill="E6E6E6"/>
          </w:tcPr>
          <w:p>
            <w:pPr>
              <w:spacing w:after="0"/>
              <w:rPr>
                <w:sz w:val="10"/>
                <w:szCs w:val="10"/>
                <w:color w:val="auto"/>
              </w:rPr>
            </w:pPr>
          </w:p>
        </w:tc>
        <w:tc>
          <w:tcPr>
            <w:tcW w:w="1440" w:type="dxa"/>
            <w:vAlign w:val="bottom"/>
            <w:tcBorders>
              <w:bottom w:val="single" w:sz="8" w:color="auto"/>
              <w:right w:val="single" w:sz="8" w:color="auto"/>
            </w:tcBorders>
            <w:shd w:val="clear" w:color="auto" w:fill="E6E6E6"/>
          </w:tcPr>
          <w:p>
            <w:pPr>
              <w:spacing w:after="0"/>
              <w:rPr>
                <w:sz w:val="10"/>
                <w:szCs w:val="10"/>
                <w:color w:val="auto"/>
              </w:rPr>
            </w:pPr>
          </w:p>
        </w:tc>
        <w:tc>
          <w:tcPr>
            <w:tcW w:w="1240" w:type="dxa"/>
            <w:vAlign w:val="bottom"/>
            <w:tcBorders>
              <w:bottom w:val="single" w:sz="8" w:color="auto"/>
              <w:right w:val="single" w:sz="8" w:color="auto"/>
            </w:tcBorders>
            <w:shd w:val="clear" w:color="auto" w:fill="E6E6E6"/>
          </w:tcPr>
          <w:p>
            <w:pPr>
              <w:spacing w:after="0"/>
              <w:rPr>
                <w:sz w:val="10"/>
                <w:szCs w:val="10"/>
                <w:color w:val="auto"/>
              </w:rPr>
            </w:pPr>
          </w:p>
        </w:tc>
        <w:tc>
          <w:tcPr>
            <w:tcW w:w="124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1240" w:type="dxa"/>
            <w:vAlign w:val="bottom"/>
            <w:tcBorders>
              <w:bottom w:val="single" w:sz="8" w:color="auto"/>
              <w:right w:val="single" w:sz="8" w:color="auto"/>
            </w:tcBorders>
            <w:shd w:val="clear" w:color="auto" w:fill="E6E6E6"/>
          </w:tcPr>
          <w:p>
            <w:pPr>
              <w:spacing w:after="0"/>
              <w:rPr>
                <w:sz w:val="10"/>
                <w:szCs w:val="10"/>
                <w:color w:val="auto"/>
              </w:rPr>
            </w:pPr>
          </w:p>
        </w:tc>
        <w:tc>
          <w:tcPr>
            <w:tcW w:w="1240" w:type="dxa"/>
            <w:vAlign w:val="bottom"/>
            <w:tcBorders>
              <w:bottom w:val="single" w:sz="8" w:color="auto"/>
              <w:right w:val="single" w:sz="8" w:color="auto"/>
            </w:tcBorders>
            <w:vMerge w:val="continue"/>
            <w:shd w:val="clear" w:color="auto" w:fill="E6E6E6"/>
          </w:tcPr>
          <w:p>
            <w:pPr>
              <w:spacing w:after="0"/>
              <w:rPr>
                <w:sz w:val="10"/>
                <w:szCs w:val="10"/>
                <w:color w:val="auto"/>
              </w:rPr>
            </w:pPr>
          </w:p>
        </w:tc>
        <w:tc>
          <w:tcPr>
            <w:tcW w:w="1260" w:type="dxa"/>
            <w:vAlign w:val="bottom"/>
            <w:tcBorders>
              <w:bottom w:val="single" w:sz="8" w:color="auto"/>
              <w:right w:val="single" w:sz="8" w:color="auto"/>
            </w:tcBorders>
            <w:shd w:val="clear" w:color="auto" w:fill="E6E6E6"/>
          </w:tcPr>
          <w:p>
            <w:pPr>
              <w:spacing w:after="0"/>
              <w:rPr>
                <w:sz w:val="10"/>
                <w:szCs w:val="10"/>
                <w:color w:val="auto"/>
              </w:rPr>
            </w:pPr>
          </w:p>
        </w:tc>
        <w:tc>
          <w:tcPr>
            <w:tcW w:w="1260" w:type="dxa"/>
            <w:vAlign w:val="bottom"/>
            <w:tcBorders>
              <w:bottom w:val="single" w:sz="8" w:color="auto"/>
              <w:right w:val="single" w:sz="8" w:color="auto"/>
            </w:tcBorders>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283"/>
        </w:trPr>
        <w:tc>
          <w:tcPr>
            <w:tcW w:w="10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V</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&lt; 1.50 to 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1.75%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0.75%</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1.75%</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0.250%</w:t>
            </w:r>
          </w:p>
        </w:tc>
        <w:tc>
          <w:tcPr>
            <w:tcW w:w="0" w:type="dxa"/>
            <w:vAlign w:val="bottom"/>
          </w:tcPr>
          <w:p>
            <w:pPr>
              <w:spacing w:after="0"/>
              <w:rPr>
                <w:sz w:val="1"/>
                <w:szCs w:val="1"/>
                <w:color w:val="auto"/>
              </w:rPr>
            </w:pPr>
          </w:p>
        </w:tc>
      </w:tr>
      <w:tr>
        <w:trPr>
          <w:trHeight w:val="48"/>
        </w:trPr>
        <w:tc>
          <w:tcPr>
            <w:tcW w:w="1020" w:type="dxa"/>
            <w:vAlign w:val="bottom"/>
            <w:tcBorders>
              <w:left w:val="single" w:sz="8" w:color="auto"/>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For purposes of determining the Applicable Margin, the Applicable Unused Commitment Fee Rate and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Letter of Credit Fee Rate:</w:t>
      </w:r>
    </w:p>
    <w:p>
      <w:pPr>
        <w:spacing w:after="0" w:line="194" w:lineRule="exact"/>
        <w:rPr>
          <w:sz w:val="20"/>
          <w:szCs w:val="20"/>
          <w:color w:val="auto"/>
        </w:rPr>
      </w:pPr>
    </w:p>
    <w:p>
      <w:pPr>
        <w:jc w:val="both"/>
        <w:ind w:right="20" w:firstLine="1304"/>
        <w:spacing w:after="0" w:line="254" w:lineRule="auto"/>
        <w:tabs>
          <w:tab w:leader="none" w:pos="194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Margin, the Applicable Unused Commitment Fee Rate and the Applicable Letter of Credit Fee Rate shall be set at Level III until receipt of the Compliance Certificate for the measurement period ending June 30, 2023.</w:t>
      </w:r>
    </w:p>
    <w:p>
      <w:pPr>
        <w:spacing w:after="0" w:line="174" w:lineRule="exact"/>
        <w:rPr>
          <w:rFonts w:ascii="Times New Roman" w:cs="Times New Roman" w:eastAsia="Times New Roman" w:hAnsi="Times New Roman"/>
          <w:sz w:val="20"/>
          <w:szCs w:val="20"/>
          <w:color w:val="auto"/>
        </w:rPr>
      </w:pPr>
    </w:p>
    <w:p>
      <w:pPr>
        <w:jc w:val="both"/>
        <w:ind w:right="20" w:firstLine="1304"/>
        <w:spacing w:after="0" w:line="243" w:lineRule="auto"/>
        <w:tabs>
          <w:tab w:leader="none" w:pos="194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Applicable Margin, the Applicable Unused Commitment Fee Rate and the Applicable Letter of Credit Fee Rate shall be recomputed as of the end of each fiscal quarter ending on and after the measurement period ending on June 30, 2023 based on the Total Net Leverage Ratio as of such quarter end. Any increase or decrease in the Applicable Margin, the Applicable Unused Commitment Fee Rate or the Applicable Letter of Credit Fee Rate computed as of a quarter end shall be effective no later than five (5) Business Days following the date on which the Compliance Certificate evidencing such computation is delivered under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xml:space="preserve">. If a Compliance Certificate is not delivered when due in accordance with such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then the rates in Level I shall apply as of the first Business Day after the date on which such Compliance Certificate was required to have been delivered and shall remain in effect until the date on which such Compliance Certificate is delivered.</w:t>
      </w:r>
    </w:p>
    <w:p>
      <w:pPr>
        <w:spacing w:after="0" w:line="185" w:lineRule="exact"/>
        <w:rPr>
          <w:rFonts w:ascii="Times New Roman" w:cs="Times New Roman" w:eastAsia="Times New Roman" w:hAnsi="Times New Roman"/>
          <w:sz w:val="20"/>
          <w:szCs w:val="20"/>
          <w:color w:val="auto"/>
        </w:rPr>
      </w:pPr>
    </w:p>
    <w:p>
      <w:pPr>
        <w:jc w:val="both"/>
        <w:ind w:right="20" w:firstLine="1304"/>
        <w:spacing w:after="0" w:line="242" w:lineRule="auto"/>
        <w:tabs>
          <w:tab w:leader="none" w:pos="1944"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as a result of any restatement of or other adjustment to the financial statements of the Borrower or for any other reason, the Borrower or the Lenders determine that (i) the Total Net Leverage Ratio as calculated by the Borrower as of any applicable date was inaccurate and (ii) a proper calculation of the Total Net Leverage Ratio would have resulted in higher pricing for such period, the Borrower shall immediately and retroactively be obligated to pay to the Administrative Agent for the account of the applicable Lenders, promptly on demand by the Administrative Agent (or, after the occurrence of an actual or deemed entry of an order for relief with respect to the Borrower under the Bankruptcy Code, automatically and without further action by the Administrative Agent, any Lender or the Issuing Lender), an amount equal to the excess of the amount of interest and fees that should have been paid for such period over the amount of interest and fees actually paid for such period.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not limit the rights of the Administrative Agent, any Lender or the Issuing Lender, as the case may be, under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Letter of Credit Fee Rate for any Performance Standby Letter of Credit shall be set</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Level V at all times.</w:t>
      </w:r>
    </w:p>
    <w:p>
      <w:pPr>
        <w:spacing w:after="0" w:line="190" w:lineRule="exact"/>
        <w:rPr>
          <w:sz w:val="20"/>
          <w:szCs w:val="20"/>
          <w:color w:val="auto"/>
        </w:rPr>
      </w:pPr>
    </w:p>
    <w:p>
      <w:pPr>
        <w:jc w:val="both"/>
        <w:ind w:right="20"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Prime Rate</w:t>
      </w:r>
      <w:r>
        <w:rPr>
          <w:rFonts w:ascii="Times New Roman" w:cs="Times New Roman" w:eastAsia="Times New Roman" w:hAnsi="Times New Roman"/>
          <w:sz w:val="20"/>
          <w:szCs w:val="20"/>
          <w:color w:val="auto"/>
        </w:rPr>
        <w:t xml:space="preserve">” means the rate of interest per annum last quoted by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as the “Prime Rate” in the U.S. or, if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Any change in the Prime Rate shall take effect at the opening of business on the day such change is publicly announced or quoted as being effective without the necessity of notice provided to the Borrower or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40"/>
          </w:cols>
          <w:pgMar w:left="980" w:top="133" w:right="979" w:bottom="1440" w:gutter="0" w:footer="0" w:header="0"/>
        </w:sectPr>
      </w:pPr>
    </w:p>
    <w:bookmarkStart w:id="297" w:name="page298"/>
    <w:bookmarkEnd w:id="297"/>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Principal Office</w:t>
      </w:r>
      <w:r>
        <w:rPr>
          <w:rFonts w:ascii="Times New Roman" w:cs="Times New Roman" w:eastAsia="Times New Roman" w:hAnsi="Times New Roman"/>
          <w:sz w:val="20"/>
          <w:szCs w:val="20"/>
          <w:color w:val="auto"/>
        </w:rPr>
        <w:t>” means the main banking office of the Administrative Agent in Greenwood Village, Colorado, or such other banking office as may be designated by the Administrative Agent from time to time.</w:t>
      </w:r>
    </w:p>
    <w:p>
      <w:pPr>
        <w:spacing w:after="0" w:line="15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Prior Security Interest</w:t>
      </w:r>
      <w:r>
        <w:rPr>
          <w:rFonts w:ascii="Times New Roman" w:cs="Times New Roman" w:eastAsia="Times New Roman" w:hAnsi="Times New Roman"/>
          <w:sz w:val="20"/>
          <w:szCs w:val="20"/>
          <w:color w:val="auto"/>
        </w:rPr>
        <w:t>” means a valid and enforceable perfected first-priority security interest in and to the Collateral that is subject only to Permitted Liens which have first-priority by operation of applicable Law, including Permitted Liens set forth in clauses (a), (b), (c), (e), (g), and (w) of the definition of “Permitted Liens”.</w:t>
      </w:r>
    </w:p>
    <w:p>
      <w:pPr>
        <w:spacing w:after="0" w:line="16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Pro Rata Share</w:t>
      </w:r>
      <w:r>
        <w:rPr>
          <w:rFonts w:ascii="Times New Roman" w:cs="Times New Roman" w:eastAsia="Times New Roman" w:hAnsi="Times New Roman"/>
          <w:sz w:val="19"/>
          <w:szCs w:val="19"/>
          <w:color w:val="auto"/>
        </w:rPr>
        <w:t xml:space="preserve">” means (a) (i) with respect to all Revolving Credit Facilities as of any date of determination, the proportion that a Revolving Lender’s Revolving Commitment as of such date bears to the aggregate amount of Revolving Commitments of all of the Revolving Lenders as of such date or (ii) with respect to any Tranche of Revolving Commitments as of any date of determination, the proportion of a Revolving Lender’s Revolving Commitment with respect to such Tranche as of such date bears to the aggregate amount of Revolving Commitments of all of the Revolving Lenders with respect to such Tranche as of such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each of the foregoing clauses (i) and (ii), if the Revolving Commitments have been terminated or have expired, Pro Rata Share under the Revolving Credit Facilities (or the applicable Tranche of Revolving Commitments) shall be determined based upon the applicable Revolving Commitments most recently in effect, giving effect to any assignment and (b) with respect to any Tranche of Term Loans as of any date of determination,</w:t>
      </w:r>
    </w:p>
    <w:p>
      <w:pPr>
        <w:spacing w:after="0" w:line="2" w:lineRule="exact"/>
        <w:rPr>
          <w:sz w:val="20"/>
          <w:szCs w:val="20"/>
          <w:color w:val="auto"/>
        </w:rPr>
      </w:pPr>
    </w:p>
    <w:p>
      <w:pPr>
        <w:jc w:val="both"/>
        <w:ind w:firstLine="8"/>
        <w:spacing w:after="0"/>
        <w:tabs>
          <w:tab w:leader="none" w:pos="267"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Term Loan Commitments with respect to such Tranche remain in effect, the proportion that a Term Lender’s unused Term Loan Commitments with respect to such Tranche bears to the aggregate amount of Term Loan Commitments of all of the Term Lenders for such Tranche as of such date, or (ii) if the Term Loan Commitments with respect to such Tranche have been terminated or have expired, the proportion that the outstanding principal amount of a Term Lender’s Term Loans for such Tranche as of such date bears to the aggregate principal amount of all outstanding Term Loans for such Tranche as of such date.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Protected Person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11.3(d)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PTE</w:t>
      </w:r>
      <w:r>
        <w:rPr>
          <w:rFonts w:ascii="Times New Roman" w:cs="Times New Roman" w:eastAsia="Times New Roman" w:hAnsi="Times New Roman"/>
          <w:sz w:val="20"/>
          <w:szCs w:val="20"/>
          <w:color w:val="auto"/>
        </w:rPr>
        <w:t>” means a prohibited transaction class exemption issued by the U.S. Department of Labor, as any such exemption may be amended from time to time.</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PUC</w:t>
      </w:r>
      <w:r>
        <w:rPr>
          <w:rFonts w:ascii="Times New Roman" w:cs="Times New Roman" w:eastAsia="Times New Roman" w:hAnsi="Times New Roman"/>
          <w:sz w:val="20"/>
          <w:szCs w:val="20"/>
          <w:color w:val="auto"/>
        </w:rPr>
        <w:t>” means any state, provincial or other local public utility commission, franchising authority, public right of way licensor or similar regulatory agency or body that exercises jurisdiction over the rates, terms or services or the ownership, construction or operation of any Communications System (and its related facilities and access to any public right of way) or over Persons who own, construct or operate a Communications System, in each case by reason of the nature or type of the services, operations or business subject to regulation and not pursuant to laws and regulations of general applicability to Persons conducting business in any such jurisdiction.</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PUC Laws</w:t>
      </w:r>
      <w:r>
        <w:rPr>
          <w:rFonts w:ascii="Times New Roman" w:cs="Times New Roman" w:eastAsia="Times New Roman" w:hAnsi="Times New Roman"/>
          <w:sz w:val="20"/>
          <w:szCs w:val="20"/>
          <w:color w:val="auto"/>
        </w:rPr>
        <w:t>” means all relevant rules, regulations, and published policies of, and all Laws administered by, any PUC asserting jurisdiction over any Loan Party or its Subsidiaries.</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Money Security Interest</w:t>
      </w:r>
      <w:r>
        <w:rPr>
          <w:rFonts w:ascii="Times New Roman" w:cs="Times New Roman" w:eastAsia="Times New Roman" w:hAnsi="Times New Roman"/>
          <w:sz w:val="20"/>
          <w:szCs w:val="20"/>
          <w:color w:val="auto"/>
        </w:rPr>
        <w:t>” means Liens upon tangible personal property securing loans to any Loan Party or Subsidiary of a Loan Party or deferred payments by such Loan Party or Subsidiary for the purchase of such tangible personal property.</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ECP Guarantor</w:t>
      </w:r>
      <w:r>
        <w:rPr>
          <w:rFonts w:ascii="Times New Roman" w:cs="Times New Roman" w:eastAsia="Times New Roman" w:hAnsi="Times New Roman"/>
          <w:sz w:val="20"/>
          <w:szCs w:val="20"/>
          <w:color w:val="auto"/>
        </w:rPr>
        <w:t>” means, in respect of any Swap Obligation, each Loan Party that has total assets exceeding $10,000,000 at the time the relevant Guaranty or grant of security interest becomes effective with respect to such Swap Obligation or such other Person as constitutes an “eligible contract participant” under the Commodity Exchange Act or any regulations promulgated thereunder and can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298" w:name="page299"/>
    <w:bookmarkEnd w:id="298"/>
    <w:p>
      <w:pPr>
        <w:spacing w:after="0" w:line="268" w:lineRule="auto"/>
        <w:rPr>
          <w:sz w:val="20"/>
          <w:szCs w:val="20"/>
          <w:color w:val="auto"/>
        </w:rPr>
      </w:pPr>
      <w:r>
        <w:rPr>
          <w:rFonts w:ascii="Times New Roman" w:cs="Times New Roman" w:eastAsia="Times New Roman" w:hAnsi="Times New Roman"/>
          <w:sz w:val="20"/>
          <w:szCs w:val="20"/>
          <w:color w:val="auto"/>
        </w:rPr>
        <w:t>another Person to qualify as an “eligible contract participant” at such time by entering into a keepwell under Section 1a(18) (A)(v)(II) of the Commodity Exchange Act.</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Equity Interests</w:t>
      </w:r>
      <w:r>
        <w:rPr>
          <w:rFonts w:ascii="Times New Roman" w:cs="Times New Roman" w:eastAsia="Times New Roman" w:hAnsi="Times New Roman"/>
          <w:sz w:val="20"/>
          <w:szCs w:val="20"/>
          <w:color w:val="auto"/>
        </w:rPr>
        <w:t>” means any Equity Interests of a Person that are not Disqualified Equity Interests.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Qualifying Acquisition</w:t>
      </w:r>
      <w:r>
        <w:rPr>
          <w:rFonts w:ascii="Times New Roman" w:cs="Times New Roman" w:eastAsia="Times New Roman" w:hAnsi="Times New Roman"/>
          <w:sz w:val="20"/>
          <w:szCs w:val="20"/>
          <w:color w:val="auto"/>
        </w:rPr>
        <w:t>” means the occurrence of the following conditions:</w:t>
      </w:r>
    </w:p>
    <w:p>
      <w:pPr>
        <w:spacing w:after="0" w:line="220" w:lineRule="exact"/>
        <w:rPr>
          <w:sz w:val="20"/>
          <w:szCs w:val="20"/>
          <w:color w:val="auto"/>
        </w:rPr>
      </w:pPr>
    </w:p>
    <w:p>
      <w:pPr>
        <w:jc w:val="both"/>
        <w:ind w:firstLine="1304"/>
        <w:spacing w:after="0" w:line="249" w:lineRule="auto"/>
        <w:tabs>
          <w:tab w:leader="none" w:pos="194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or a Loan Party consummates a Permitted Acquisition for which the purchase price, when aggregated with all other Permitted Acquisitions in the same fiscal quarter and in the fiscal quarter immediately preceding such fiscal quarter, is equal to or in excess of the greater of (i) $100,000,000 and (ii) 100% of EBITDA of the Borrower and the Restricted Subsidiaries for the Test Period; and</w:t>
      </w:r>
    </w:p>
    <w:p>
      <w:pPr>
        <w:spacing w:after="0" w:line="17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Net Leverage Ratio, immediately after giving pro forma effect to any acquisition described in clause (a) above, exceeds 2.75:1.00.</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For the avoidance of doubt, upon the effectiveness of an increased Total Net Leverage Ratio pursuant to the proviso of Section 8.1, no acquisition occurring in the applicable fiscal quarters covered by clause (a) above shall count toward any other future Qualifying Acquisition.</w:t>
      </w:r>
    </w:p>
    <w:p>
      <w:pPr>
        <w:spacing w:after="0" w:line="1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means (a) the Administrative Agent, (b) any Lender or (c) the Issuing Lender, as applicable.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D</w:t>
      </w:r>
      <w:r>
        <w:rPr>
          <w:rFonts w:ascii="Times New Roman" w:cs="Times New Roman" w:eastAsia="Times New Roman" w:hAnsi="Times New Roman"/>
          <w:sz w:val="20"/>
          <w:szCs w:val="20"/>
          <w:color w:val="auto"/>
        </w:rPr>
        <w:t>” means Regulation D of the Federal Reserve Board, as in effect from time to time and all official rulings and interpretations thereunder or thereof.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Reimbursement Obligation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Agreements</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12.3(a)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means, with respect to any Person, such Person’s Affiliates and the partners, directors, officers, employees, agents, brokers, trustees, administrators, managers, advisors and representatives (including accountants, auditors and legal counsel) of such Person and of such Person’s Affiliates.</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Federal Reserve Board or the Federal Reserve Bank of New York, or a committee officially endorsed or convened by the Federal Reserve Board or the Federal Reserve Bank of New York, or any successor thereto.</w:t>
      </w:r>
    </w:p>
    <w:p>
      <w:pPr>
        <w:spacing w:after="0" w:line="16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Reportable Event</w:t>
      </w:r>
      <w:r>
        <w:rPr>
          <w:rFonts w:ascii="Times New Roman" w:cs="Times New Roman" w:eastAsia="Times New Roman" w:hAnsi="Times New Roman"/>
          <w:sz w:val="20"/>
          <w:szCs w:val="20"/>
          <w:color w:val="auto"/>
        </w:rPr>
        <w:t>” means any of the events set forth in Section 4043(b) of ERISA or the regulations thereunder, other than any such event for which the 30 day notice requirement under ERISA has been waived in regulations issued by the PBGC.</w:t>
      </w:r>
    </w:p>
    <w:p>
      <w:pPr>
        <w:spacing w:after="0" w:line="16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Required Lenders</w:t>
      </w:r>
      <w:r>
        <w:rPr>
          <w:rFonts w:ascii="Times New Roman" w:cs="Times New Roman" w:eastAsia="Times New Roman" w:hAnsi="Times New Roman"/>
          <w:sz w:val="20"/>
          <w:szCs w:val="20"/>
          <w:color w:val="auto"/>
        </w:rPr>
        <w:t>” means, at any time, Lenders (other than Defaulting Lenders and including Voting Participants) having Total Credit Exposures representing more than fifty percent (50%) of the Total Credit Exposures of all Lenders. With respect to economic changes applicable only to one of the Facilities, “Required Lenders” shall be calculated with respect to only the Lenders (other than any Defaulting Lender and including Voting Participants) holding Loans or Commitments of the applicable Facility.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20"/>
          <w:szCs w:val="20"/>
          <w:color w:val="auto"/>
        </w:rPr>
        <w:t>Credit Exposure of any Defaulting Lender shall be disregarded in determining Required Lenders at any time.</w:t>
      </w:r>
    </w:p>
    <w:p>
      <w:pPr>
        <w:spacing w:after="0" w:line="211"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Resolution Authority</w:t>
      </w:r>
      <w:r>
        <w:rPr>
          <w:rFonts w:ascii="Times New Roman" w:cs="Times New Roman" w:eastAsia="Times New Roman" w:hAnsi="Times New Roman"/>
          <w:sz w:val="20"/>
          <w:szCs w:val="20"/>
          <w:color w:val="auto"/>
        </w:rPr>
        <w:t>” means an EEA Resolution Authority or, with respect to any UK Financial Institution, a UK Resolution Authority.</w:t>
      </w:r>
    </w:p>
    <w:p>
      <w:pPr>
        <w:spacing w:after="0" w:line="15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Payment</w:t>
      </w:r>
      <w:r>
        <w:rPr>
          <w:rFonts w:ascii="Times New Roman" w:cs="Times New Roman" w:eastAsia="Times New Roman" w:hAnsi="Times New Roman"/>
          <w:sz w:val="20"/>
          <w:szCs w:val="20"/>
          <w:color w:val="auto"/>
        </w:rPr>
        <w:t>” means any dividend or other distribution (whether in cash, securities or other property) with respect to any capital stock or other Equity Interest of the Borrower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stockholders, partners or members (or the equivalent Person thereof) of the Borrower or any Subsidiary.</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Subsidiary</w:t>
      </w:r>
      <w:r>
        <w:rPr>
          <w:rFonts w:ascii="Times New Roman" w:cs="Times New Roman" w:eastAsia="Times New Roman" w:hAnsi="Times New Roman"/>
          <w:sz w:val="20"/>
          <w:szCs w:val="20"/>
          <w:color w:val="auto"/>
        </w:rPr>
        <w:t xml:space="preserve">” means, at any time, each direct and indirect Subsidiary of the Borrower that is not then an Unrestricted Subsidiary;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upon the occurrence of an Unrestricted Subsidiary ceasing to be an Unrestricted Subsidiary while such entity remains a Subsidiary of the Borrower, such Subsidiary shall be included in the definition of “Restricted Subsidiary.”</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Commitment</w:t>
      </w:r>
      <w:r>
        <w:rPr>
          <w:rFonts w:ascii="Times New Roman" w:cs="Times New Roman" w:eastAsia="Times New Roman" w:hAnsi="Times New Roman"/>
          <w:sz w:val="20"/>
          <w:szCs w:val="20"/>
          <w:color w:val="auto"/>
        </w:rPr>
        <w:t xml:space="preserve">” means, with respect to each Lender, its obligation to (a) make revolving loans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and (b) acquire participations in Letters of Credit in an aggregate principal amount at any time outstanding set forth opposite such Lender’s name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or in the Assignment and Assumption pursuant to which such Lender becomes party hereto, as such commitment may be (i) reduced from time to time in accordance with </w:t>
      </w:r>
      <w:r>
        <w:rPr>
          <w:rFonts w:ascii="Times New Roman" w:cs="Times New Roman" w:eastAsia="Times New Roman" w:hAnsi="Times New Roman"/>
          <w:sz w:val="20"/>
          <w:szCs w:val="20"/>
          <w:u w:val="single" w:color="auto"/>
          <w:color w:val="auto"/>
        </w:rPr>
        <w:t>Section 2.14(b)</w:t>
      </w:r>
      <w:r>
        <w:rPr>
          <w:rFonts w:ascii="Times New Roman" w:cs="Times New Roman" w:eastAsia="Times New Roman" w:hAnsi="Times New Roman"/>
          <w:sz w:val="20"/>
          <w:szCs w:val="20"/>
          <w:color w:val="auto"/>
        </w:rPr>
        <w:t xml:space="preserve"> and (ii) increased pursuant to a Revolving Increase. As of the Closing Date, the aggregate amount of the Revolving A-1 Commitments of all Lenders is $170,000,000.</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Credit Facility</w:t>
      </w:r>
      <w:r>
        <w:rPr>
          <w:rFonts w:ascii="Times New Roman" w:cs="Times New Roman" w:eastAsia="Times New Roman" w:hAnsi="Times New Roman"/>
          <w:sz w:val="20"/>
          <w:szCs w:val="20"/>
          <w:color w:val="auto"/>
        </w:rPr>
        <w:t xml:space="preserve">” means the credit facility established on the Closing Date pursuant to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as may be modified from time to time pursuant to a Revolving Increase.</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Credit Facility Usage</w:t>
      </w:r>
      <w:r>
        <w:rPr>
          <w:rFonts w:ascii="Times New Roman" w:cs="Times New Roman" w:eastAsia="Times New Roman" w:hAnsi="Times New Roman"/>
          <w:sz w:val="20"/>
          <w:szCs w:val="20"/>
          <w:color w:val="auto"/>
        </w:rPr>
        <w:t>” means, at any time, the sum of the outstanding principal amounts of the Revolving A-1 Loans, the outstanding principal amounts of the Swing Line Loans, and the Letter of Credit Obligations.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Loan</w:t>
      </w:r>
      <w:r>
        <w:rPr>
          <w:rFonts w:ascii="Times New Roman" w:cs="Times New Roman" w:eastAsia="Times New Roman" w:hAnsi="Times New Roman"/>
          <w:sz w:val="20"/>
          <w:szCs w:val="20"/>
          <w:color w:val="auto"/>
        </w:rPr>
        <w:t>” means any revolving loan funded pursuant to the Revolving A-1 Loan Commitment.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A-1 Loan Lender</w:t>
      </w:r>
      <w:r>
        <w:rPr>
          <w:rFonts w:ascii="Times New Roman" w:cs="Times New Roman" w:eastAsia="Times New Roman" w:hAnsi="Times New Roman"/>
          <w:sz w:val="20"/>
          <w:szCs w:val="20"/>
          <w:color w:val="auto"/>
        </w:rPr>
        <w:t>” means each Lender having a Revolving A-1 Commitment or who has funded or purchased all or a portion of a Revolving A-1 Loan in accordance with the terms hereof.</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Commitments</w:t>
      </w:r>
      <w:r>
        <w:rPr>
          <w:rFonts w:ascii="Times New Roman" w:cs="Times New Roman" w:eastAsia="Times New Roman" w:hAnsi="Times New Roman"/>
          <w:sz w:val="20"/>
          <w:szCs w:val="20"/>
          <w:color w:val="auto"/>
        </w:rPr>
        <w:t>” means, collectively, the Revolving A-1 Commitments and, if and as applicable after the Closing Date, any Incremental Revolving Commitments and “</w:t>
      </w:r>
      <w:r>
        <w:rPr>
          <w:rFonts w:ascii="Times New Roman" w:cs="Times New Roman" w:eastAsia="Times New Roman" w:hAnsi="Times New Roman"/>
          <w:sz w:val="20"/>
          <w:szCs w:val="20"/>
          <w:b w:val="1"/>
          <w:bCs w:val="1"/>
          <w:color w:val="auto"/>
        </w:rPr>
        <w:t>Revolving Commitment</w:t>
      </w:r>
      <w:r>
        <w:rPr>
          <w:rFonts w:ascii="Times New Roman" w:cs="Times New Roman" w:eastAsia="Times New Roman" w:hAnsi="Times New Roman"/>
          <w:sz w:val="20"/>
          <w:szCs w:val="20"/>
          <w:color w:val="auto"/>
        </w:rPr>
        <w:t>” means any such commitment individually.</w:t>
      </w:r>
    </w:p>
    <w:p>
      <w:pPr>
        <w:spacing w:after="0" w:line="169"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Exposure</w:t>
      </w:r>
      <w:r>
        <w:rPr>
          <w:rFonts w:ascii="Times New Roman" w:cs="Times New Roman" w:eastAsia="Times New Roman" w:hAnsi="Times New Roman"/>
          <w:sz w:val="20"/>
          <w:szCs w:val="20"/>
          <w:color w:val="auto"/>
        </w:rPr>
        <w:t>” means, as to any Revolving Lender at any time, the aggregate principal amount at such time of its outstanding Revolving Loans and such Revolving Lender’s participation in Letter of Credit Obligations and Swing Line Loans at such time.</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Facilities</w:t>
      </w:r>
      <w:r>
        <w:rPr>
          <w:rFonts w:ascii="Times New Roman" w:cs="Times New Roman" w:eastAsia="Times New Roman" w:hAnsi="Times New Roman"/>
          <w:sz w:val="20"/>
          <w:szCs w:val="20"/>
          <w:color w:val="auto"/>
        </w:rPr>
        <w:t>” means the Revolving A-1 Credit Facility and, if and as applicable after the Closing Date, any Incremental Revolving Facility and “</w:t>
      </w:r>
      <w:r>
        <w:rPr>
          <w:rFonts w:ascii="Times New Roman" w:cs="Times New Roman" w:eastAsia="Times New Roman" w:hAnsi="Times New Roman"/>
          <w:sz w:val="20"/>
          <w:szCs w:val="20"/>
          <w:b w:val="1"/>
          <w:bCs w:val="1"/>
          <w:color w:val="auto"/>
        </w:rPr>
        <w:t>Revolving Credit Facility</w:t>
      </w:r>
      <w:r>
        <w:rPr>
          <w:rFonts w:ascii="Times New Roman" w:cs="Times New Roman" w:eastAsia="Times New Roman" w:hAnsi="Times New Roman"/>
          <w:sz w:val="20"/>
          <w:szCs w:val="20"/>
          <w:color w:val="auto"/>
        </w:rPr>
        <w:t>” means any such facility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0" w:name="page301"/>
    <w:bookmarkEnd w:id="300"/>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Facility Usage</w:t>
      </w:r>
      <w:r>
        <w:rPr>
          <w:rFonts w:ascii="Times New Roman" w:cs="Times New Roman" w:eastAsia="Times New Roman" w:hAnsi="Times New Roman"/>
          <w:sz w:val="20"/>
          <w:szCs w:val="20"/>
          <w:color w:val="auto"/>
        </w:rPr>
        <w:t>” means, at any time, (a) with respect to the Revolving A-1 Loans, the Revolving A-1 Credit Facility Usage and (b) with respect to any Incremental Revolving Loans, the sum of the outstanding principal amounts under the applicable Tranche of Incremental Revolving Loans.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Increase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Lender</w:t>
      </w:r>
      <w:r>
        <w:rPr>
          <w:rFonts w:ascii="Times New Roman" w:cs="Times New Roman" w:eastAsia="Times New Roman" w:hAnsi="Times New Roman"/>
          <w:sz w:val="20"/>
          <w:szCs w:val="20"/>
          <w:color w:val="auto"/>
        </w:rPr>
        <w:t>” means each Lender (including any Incremental Revolving Lender) having a Revolving Commitment or who has funded or purchased all or a portion of a Revolving Loan in accordance with the terms 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Loan</w:t>
      </w:r>
      <w:r>
        <w:rPr>
          <w:rFonts w:ascii="Times New Roman" w:cs="Times New Roman" w:eastAsia="Times New Roman" w:hAnsi="Times New Roman"/>
          <w:sz w:val="20"/>
          <w:szCs w:val="20"/>
          <w:color w:val="auto"/>
        </w:rPr>
        <w:t>” means any revolving loan funded pursuant to a Revolving Commitment.</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Note</w:t>
      </w:r>
      <w:r>
        <w:rPr>
          <w:rFonts w:ascii="Times New Roman" w:cs="Times New Roman" w:eastAsia="Times New Roman" w:hAnsi="Times New Roman"/>
          <w:sz w:val="20"/>
          <w:szCs w:val="20"/>
          <w:color w:val="auto"/>
        </w:rPr>
        <w:t xml:space="preserve">” means any promissory note of the Borrower substantially in the form of </w:t>
      </w:r>
      <w:r>
        <w:rPr>
          <w:rFonts w:ascii="Times New Roman" w:cs="Times New Roman" w:eastAsia="Times New Roman" w:hAnsi="Times New Roman"/>
          <w:sz w:val="20"/>
          <w:szCs w:val="20"/>
          <w:u w:val="single" w:color="auto"/>
          <w:color w:val="auto"/>
        </w:rPr>
        <w:t>Exhibit F-1</w:t>
      </w:r>
      <w:r>
        <w:rPr>
          <w:rFonts w:ascii="Times New Roman" w:cs="Times New Roman" w:eastAsia="Times New Roman" w:hAnsi="Times New Roman"/>
          <w:sz w:val="20"/>
          <w:szCs w:val="20"/>
          <w:color w:val="auto"/>
        </w:rPr>
        <w:t xml:space="preserve"> hereto evidencing any Revolving Loans.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RTFC Indebtedness</w:t>
      </w:r>
      <w:r>
        <w:rPr>
          <w:rFonts w:ascii="Times New Roman" w:cs="Times New Roman" w:eastAsia="Times New Roman" w:hAnsi="Times New Roman"/>
          <w:sz w:val="20"/>
          <w:szCs w:val="20"/>
          <w:color w:val="auto"/>
        </w:rPr>
        <w:t>” means the Indebtedness incurred by CAH Holdco and the CAH Holdco Subsidiaries pursuant to the RTFC Loan Documents in favor of Rural Telephone Finance Cooperative in an aggregate principal amount (excluding, for the avoidance of doubt, obligations with respect to interest rate protection and similar agreements) not to exceed $60,000,000.</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RTFC Loan Agreement</w:t>
      </w:r>
      <w:r>
        <w:rPr>
          <w:rFonts w:ascii="Times New Roman" w:cs="Times New Roman" w:eastAsia="Times New Roman" w:hAnsi="Times New Roman"/>
          <w:sz w:val="20"/>
          <w:szCs w:val="20"/>
          <w:color w:val="auto"/>
        </w:rPr>
        <w:t>” means that certain Loan Agreement, dated as of July 1, 2016, among CAH Holdco, Caribbean Asset Holdings LLC and Rural Telephone Finance Cooperative.</w:t>
      </w:r>
    </w:p>
    <w:p>
      <w:pPr>
        <w:spacing w:after="0" w:line="152"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RTFC Loan Documents</w:t>
      </w:r>
      <w:r>
        <w:rPr>
          <w:rFonts w:ascii="Times New Roman" w:cs="Times New Roman" w:eastAsia="Times New Roman" w:hAnsi="Times New Roman"/>
          <w:sz w:val="19"/>
          <w:szCs w:val="19"/>
          <w:color w:val="auto"/>
        </w:rPr>
        <w:t>” means, collectively, the RTFC Loan Agreement and the “Other Agreements” (as defined in the RTFC Loan Agreement) and any interest rate protection and similar agreements entered into in connection therewith.</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RUS</w:t>
      </w:r>
      <w:r>
        <w:rPr>
          <w:rFonts w:ascii="Times New Roman" w:cs="Times New Roman" w:eastAsia="Times New Roman" w:hAnsi="Times New Roman"/>
          <w:sz w:val="20"/>
          <w:szCs w:val="20"/>
          <w:color w:val="auto"/>
        </w:rPr>
        <w:t>” means the United States of America acting through the Administrator of the Rural Utilities Service.</w:t>
      </w:r>
    </w:p>
    <w:p>
      <w:pPr>
        <w:spacing w:after="0" w:line="216"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Sanctioned Country</w:t>
      </w:r>
      <w:r>
        <w:rPr>
          <w:rFonts w:ascii="Times New Roman" w:cs="Times New Roman" w:eastAsia="Times New Roman" w:hAnsi="Times New Roman"/>
          <w:sz w:val="19"/>
          <w:szCs w:val="19"/>
          <w:color w:val="auto"/>
        </w:rPr>
        <w:t>” means, at any time, a country, territory or sector that is, or whose government is, the subject or target of any Sanctions or that is, or whose government is, the subject of any list-based or territorial or sectorial Sanctions.</w:t>
      </w:r>
    </w:p>
    <w:p>
      <w:pPr>
        <w:spacing w:after="0" w:line="12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Person</w:t>
      </w:r>
      <w:r>
        <w:rPr>
          <w:rFonts w:ascii="Times New Roman" w:cs="Times New Roman" w:eastAsia="Times New Roman" w:hAnsi="Times New Roman"/>
          <w:sz w:val="20"/>
          <w:szCs w:val="20"/>
          <w:color w:val="auto"/>
        </w:rPr>
        <w:t>” means, at any time, (a) any Person listed in any Sanctions-related list of designated Persons maintained by any Governmental Authority, (b) any Person operating, organized or resident in a Sanctioned Country, (c) any Person that is otherwise subject to any Sanctions, or (d) any Person, directly or indirectly, 50% or more in the aggregate owned by, otherwise controlled by, or acting for the benefit or on behalf of, any Person or Persons described in clause (a), (b) or (c) of this definition.</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any economic or financial sanctions or trade embargoes imposed, administered or enforced from time to time by any Governmental Authority.</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Bank Product</w:t>
      </w:r>
      <w:r>
        <w:rPr>
          <w:rFonts w:ascii="Times New Roman" w:cs="Times New Roman" w:eastAsia="Times New Roman" w:hAnsi="Times New Roman"/>
          <w:sz w:val="20"/>
          <w:szCs w:val="20"/>
          <w:color w:val="auto"/>
        </w:rPr>
        <w:t>” means agreements or other arrangements entered into by a Lender or its Affiliate, on the one hand, and any Loan Party, on the other hand at the time such Lender is a party to this Agreement (or, for the avoidance of doubt, at the time such Lender was a Party to the Existing Credit Agreement), under which any Lender or Affiliate of a Lender provides any of the following products or services to any of the Loan Parties: (a) credit cards, (b) credit card processing services, (c) debit cards, (d) purchase cards, (e) ACH transactions, (f) cash management, including controlled disbursement, accounts or services, or (g) foreign currency exchange, and shall include the CoBank Cash Management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01" w:name="page302"/>
    <w:bookmarkEnd w:id="301"/>
    <w:p>
      <w:pPr>
        <w:jc w:val="both"/>
        <w:spacing w:after="0" w:line="268"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constitute a Secured Bank Product if at any time the applicable provider of such bank products or services is not a Lender or an Affiliate of a Lender.</w:t>
      </w:r>
    </w:p>
    <w:p>
      <w:pPr>
        <w:spacing w:after="0" w:line="1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Hedge</w:t>
      </w:r>
      <w:r>
        <w:rPr>
          <w:rFonts w:ascii="Times New Roman" w:cs="Times New Roman" w:eastAsia="Times New Roman" w:hAnsi="Times New Roman"/>
          <w:sz w:val="20"/>
          <w:szCs w:val="20"/>
          <w:color w:val="auto"/>
        </w:rPr>
        <w:t xml:space="preserve">” means an Interest Rate Hedge permitted under this Agreement (a) that is entered into by a Hedge Bank at the time that such Hedge Bank or its Affiliate is a Lender hereunder and (b) with respect to which such Hedge Bank has provided evidence satisfactory to the Administrative Agent that (i) such Interest Rate Hedge is documented in a standard International Swaps and Derivatives Association, Inc. Master Agreement, and (ii) such Interest Rate Hedge provides for the method of calculating the reimbursable amount of the provider’s credit exposure in a reasonable and customary manner;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constitute a Secured Hedge if at any time the applicable provider of such Interest Rate Hedge is not a Lender or an Affiliate of a Lender.</w:t>
      </w:r>
    </w:p>
    <w:p>
      <w:pPr>
        <w:spacing w:after="0" w:line="17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Obligations”</w:t>
      </w:r>
      <w:r>
        <w:rPr>
          <w:rFonts w:ascii="Times New Roman" w:cs="Times New Roman" w:eastAsia="Times New Roman" w:hAnsi="Times New Roman"/>
          <w:sz w:val="20"/>
          <w:szCs w:val="20"/>
          <w:color w:val="auto"/>
        </w:rPr>
        <w:t xml:space="preserve"> means all Obligations, all Guaranteed Liabilities and all Other Liabilities, but excluding all Excluded Swap Obligations.</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Secured Parties</w:t>
      </w:r>
      <w:r>
        <w:rPr>
          <w:rFonts w:ascii="Times New Roman" w:cs="Times New Roman" w:eastAsia="Times New Roman" w:hAnsi="Times New Roman"/>
          <w:sz w:val="20"/>
          <w:szCs w:val="20"/>
          <w:color w:val="auto"/>
        </w:rPr>
        <w:t xml:space="preserve">” means, collectively, the Administrative Agent, the Lenders, the Issuing Lender, each Lender (or its Affiliate) that provides any Secured Hedge for so long as such Lender remains a Lender hereunder, each Lender (or its Affiliate) that provides any Secured Bank Product for so long as such Lender remains a Lender hereunder, each Related Party or co-agent or sub-agent appointed by the Administrative Agent from time to time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and, in each case, their respective successors and permitted assigns.</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Agreement</w:t>
      </w:r>
      <w:r>
        <w:rPr>
          <w:rFonts w:ascii="Times New Roman" w:cs="Times New Roman" w:eastAsia="Times New Roman" w:hAnsi="Times New Roman"/>
          <w:sz w:val="20"/>
          <w:szCs w:val="20"/>
          <w:color w:val="auto"/>
        </w:rPr>
        <w:t>” means the Pledge and Security Agreement, dated as of the Closing Date, by each of the Loan Parties in favor of the Administrative Agent.</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a rate per annum equal to the secured overnight financing rate as administered by the SOFR Administrator.</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Administrator’s Website</w:t>
      </w:r>
      <w:r>
        <w:rPr>
          <w:rFonts w:ascii="Times New Roman" w:cs="Times New Roman" w:eastAsia="Times New Roman" w:hAnsi="Times New Roman"/>
          <w:sz w:val="20"/>
          <w:szCs w:val="20"/>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Solvency Certificate</w:t>
      </w:r>
      <w:r>
        <w:rPr>
          <w:rFonts w:ascii="Times New Roman" w:cs="Times New Roman" w:eastAsia="Times New Roman" w:hAnsi="Times New Roman"/>
          <w:sz w:val="20"/>
          <w:szCs w:val="20"/>
          <w:color w:val="auto"/>
        </w:rPr>
        <w:t xml:space="preserve">” means the certificate of the Loan Parties in the form of </w:t>
      </w:r>
      <w:r>
        <w:rPr>
          <w:rFonts w:ascii="Times New Roman" w:cs="Times New Roman" w:eastAsia="Times New Roman" w:hAnsi="Times New Roman"/>
          <w:sz w:val="20"/>
          <w:szCs w:val="20"/>
          <w:u w:val="single" w:color="auto"/>
          <w:color w:val="auto"/>
        </w:rPr>
        <w:t>Exhibit G</w:t>
      </w:r>
      <w:r>
        <w:rPr>
          <w:rFonts w:ascii="Times New Roman" w:cs="Times New Roman" w:eastAsia="Times New Roman" w:hAnsi="Times New Roman"/>
          <w:sz w:val="20"/>
          <w:szCs w:val="20"/>
          <w:color w:val="auto"/>
        </w:rPr>
        <w:t xml:space="preserve"> hereto.</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Solvent</w:t>
      </w:r>
      <w:r>
        <w:rPr>
          <w:rFonts w:ascii="Times New Roman" w:cs="Times New Roman" w:eastAsia="Times New Roman" w:hAnsi="Times New Roman"/>
          <w:sz w:val="20"/>
          <w:szCs w:val="20"/>
          <w:color w:val="auto"/>
        </w:rPr>
        <w:t>” means, with respect to any Person on any date of determination, that on such date (a) the sum of the debt (including contingent liabilities) of such Person and its Subsidiaries, taken as a whole, does not exceed the present fair saleable value (on a going concern basis) of the assets of such Person and its Subsidiaries, taken as a whole, (b) the capital of Person and its Subsidiaries, taken as a whole, is not unreasonably small in relation to the business of such Person and its Subsidiaries, taken as a whole, contemplated as of such date, (c) the present fair saleable value of the assets (on a going concern basis) of such Person and its Subsidiaries is greater than the amount that will be required to pay the probable liabilities (including contingent liabilities) of such Person and its Subsidiaries as they become absolute and matured in the ordinary course and (d) such Person and its Subsidiaries, taken as a whole, do not intend to incur, or believe that they will incur, debts (including current obligations) beyond their ability to pay such debt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2" w:name="page303"/>
    <w:bookmarkEnd w:id="302"/>
    <w:p>
      <w:pPr>
        <w:jc w:val="both"/>
        <w:ind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CFC</w:t>
      </w:r>
      <w:r>
        <w:rPr>
          <w:rFonts w:ascii="Times New Roman" w:cs="Times New Roman" w:eastAsia="Times New Roman" w:hAnsi="Times New Roman"/>
          <w:sz w:val="20"/>
          <w:szCs w:val="20"/>
          <w:color w:val="auto"/>
        </w:rPr>
        <w:t>” means any Foreign Subsidiary that is a “controlled foreign corporation” (as defined in Section 957 of the Code).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Equity Contribution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9.3(a)</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Event of Default</w:t>
      </w:r>
      <w:r>
        <w:rPr>
          <w:rFonts w:ascii="Times New Roman" w:cs="Times New Roman" w:eastAsia="Times New Roman" w:hAnsi="Times New Roman"/>
          <w:sz w:val="20"/>
          <w:szCs w:val="20"/>
          <w:color w:val="auto"/>
        </w:rPr>
        <w:t xml:space="preserve">” means any Event of Default under </w:t>
      </w:r>
      <w:r>
        <w:rPr>
          <w:rFonts w:ascii="Times New Roman" w:cs="Times New Roman" w:eastAsia="Times New Roman" w:hAnsi="Times New Roman"/>
          <w:sz w:val="20"/>
          <w:szCs w:val="20"/>
          <w:u w:val="single" w:color="auto"/>
          <w:color w:val="auto"/>
        </w:rPr>
        <w:t>Section 9.1(a)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(solely with respect to any Specified Representations) or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and any default or event of default under any Acquisition Agreement associated with a Limited Condition Acquisition that would give the Borrower (and/or any of its Affiliates) the right to terminate the Borrower’s (and/or its applicable Affiliate’s) obligations under such Acquisition Agreement or to decline to consummate the Limited Condition Acquisition pursuant to the terms of such Acquisition Agreement as a result of such default or event of default.</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Representations</w:t>
      </w:r>
      <w:r>
        <w:rPr>
          <w:rFonts w:ascii="Times New Roman" w:cs="Times New Roman" w:eastAsia="Times New Roman" w:hAnsi="Times New Roman"/>
          <w:sz w:val="20"/>
          <w:szCs w:val="20"/>
          <w:color w:val="auto"/>
        </w:rPr>
        <w:t xml:space="preserve">” means the representations of the Loan Parties (including, for the avoidance of doubt, any Acquired Businesses being joined as Loan Parties concurrently with the consummation of a Limited Condition Acquisition, and including as a Restricted Subsidiary in any such representations any Acquired Businesses that will be Restricted Subsidiaries after the consummation of a Limited Condition Acquisition) set forth in </w:t>
      </w:r>
      <w:r>
        <w:rPr>
          <w:rFonts w:ascii="Times New Roman" w:cs="Times New Roman" w:eastAsia="Times New Roman" w:hAnsi="Times New Roman"/>
          <w:sz w:val="20"/>
          <w:szCs w:val="20"/>
          <w:u w:val="single" w:color="auto"/>
          <w:color w:val="auto"/>
        </w:rPr>
        <w:t>Sections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5.8(a)(i)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5.8(b)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5.24(a)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5.24(d)</w:t>
      </w:r>
      <w:r>
        <w:rPr>
          <w:rFonts w:ascii="Times New Roman" w:cs="Times New Roman" w:eastAsia="Times New Roman" w:hAnsi="Times New Roman"/>
          <w:sz w:val="20"/>
          <w:szCs w:val="20"/>
          <w:color w:val="auto"/>
        </w:rPr>
        <w:t>. Notwithstanding anything to the contrary contained herein, to the extent that any of the Specified Representations are qualified or subject to a “material adverse change” or equivalent term, the definition thereof for purposes of this definition only shall be “Material Adverse Change” or equivalent term as defined in the applicable Acquisition Agreement, for purposes of any representations and warranties made as of the closing of such Limited Condition Acquisition.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Transaction</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1.6(b)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Standard &amp; Poor’s</w:t>
      </w:r>
      <w:r>
        <w:rPr>
          <w:rFonts w:ascii="Times New Roman" w:cs="Times New Roman" w:eastAsia="Times New Roman" w:hAnsi="Times New Roman"/>
          <w:sz w:val="20"/>
          <w:szCs w:val="20"/>
          <w:color w:val="auto"/>
        </w:rPr>
        <w:t>” means Standard &amp; Poor’s Ratings Services LLC, a Subsidiary of The McGraw-Hill Companies, Inc., or any successor or assignee of the business of such division in the business of rating securities and debt.</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Stimulus Recipient Subsidiary</w:t>
      </w:r>
      <w:r>
        <w:rPr>
          <w:rFonts w:ascii="Times New Roman" w:cs="Times New Roman" w:eastAsia="Times New Roman" w:hAnsi="Times New Roman"/>
          <w:sz w:val="20"/>
          <w:szCs w:val="20"/>
          <w:color w:val="auto"/>
        </w:rPr>
        <w:t>” means a Subsidiary of Borrower or any other Person in whom any Loan Party or any Subsidiary of any Loan Party owns a minority equity interest formed for the purpose of incurring Permitted Stimulus Indebtedness or obtaining a grant from a Stimulus Source Agency and conducting the business contemplated in its application to such Stimulus Source Agency for such Permitted Stimulus Indebtedness or grant.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Stimulus Source Agency</w:t>
      </w:r>
      <w:r>
        <w:rPr>
          <w:rFonts w:ascii="Times New Roman" w:cs="Times New Roman" w:eastAsia="Times New Roman" w:hAnsi="Times New Roman"/>
          <w:sz w:val="20"/>
          <w:szCs w:val="20"/>
          <w:color w:val="auto"/>
        </w:rPr>
        <w:t>” means the FCC, RUS or the NTIA.</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of any Person at any time means any corporation, trust, partnership, any limited liability company or other business entity (a) of which more than 50% of the outstanding voting securities or other interests normally entitled to vote for the election of one or more directors, trustees or other members of the governing body (regardless of any contingency that does or may suspend or dilute the voting rights) is at such time owned, or the management of which is controlled, directly or indirectly through one or more intermediaries, or both, by such Person or one or more of such Person’s Subsidiaries, or (b) that is directly or indirectly controlled by such Person or one or more of such Person’s Subsidiaries.</w:t>
      </w:r>
    </w:p>
    <w:p>
      <w:pPr>
        <w:spacing w:after="0" w:line="16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Swap Obligation</w:t>
      </w:r>
      <w:r>
        <w:rPr>
          <w:rFonts w:ascii="Times New Roman" w:cs="Times New Roman" w:eastAsia="Times New Roman" w:hAnsi="Times New Roman"/>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52"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Commitment</w:t>
      </w:r>
      <w:r>
        <w:rPr>
          <w:rFonts w:ascii="Times New Roman" w:cs="Times New Roman" w:eastAsia="Times New Roman" w:hAnsi="Times New Roman"/>
          <w:sz w:val="20"/>
          <w:szCs w:val="20"/>
          <w:color w:val="auto"/>
        </w:rPr>
        <w:t xml:space="preserve">” means, with respect to the Swing Line Lender, its obligation to make swing line loans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in an aggregate principal amount at any time outstanding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03" w:name="page304"/>
    <w:bookmarkEnd w:id="303"/>
    <w:p>
      <w:pPr>
        <w:jc w:val="both"/>
        <w:spacing w:after="0" w:line="268" w:lineRule="auto"/>
        <w:rPr>
          <w:sz w:val="20"/>
          <w:szCs w:val="20"/>
          <w:color w:val="auto"/>
        </w:rPr>
      </w:pPr>
      <w:r>
        <w:rPr>
          <w:rFonts w:ascii="Times New Roman" w:cs="Times New Roman" w:eastAsia="Times New Roman" w:hAnsi="Times New Roman"/>
          <w:sz w:val="20"/>
          <w:szCs w:val="20"/>
          <w:color w:val="auto"/>
        </w:rPr>
        <w:t xml:space="preserve">opposite the Swing Line Lender’s name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As of the Closing Date, the Swing Line Commitment of the Swing Line Lender is $20,000,000.</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Facility</w:t>
      </w:r>
      <w:r>
        <w:rPr>
          <w:rFonts w:ascii="Times New Roman" w:cs="Times New Roman" w:eastAsia="Times New Roman" w:hAnsi="Times New Roman"/>
          <w:sz w:val="20"/>
          <w:szCs w:val="20"/>
          <w:color w:val="auto"/>
        </w:rPr>
        <w:t xml:space="preserve">” means the swing line facility established pursuant to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Lender</w:t>
      </w:r>
      <w:r>
        <w:rPr>
          <w:rFonts w:ascii="Times New Roman" w:cs="Times New Roman" w:eastAsia="Times New Roman" w:hAnsi="Times New Roman"/>
          <w:sz w:val="20"/>
          <w:szCs w:val="20"/>
          <w:color w:val="auto"/>
        </w:rPr>
        <w:t>” means CoBank, in its individual capacity as the provider of the Swing Line Commitment.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Loan</w:t>
      </w:r>
      <w:r>
        <w:rPr>
          <w:rFonts w:ascii="Times New Roman" w:cs="Times New Roman" w:eastAsia="Times New Roman" w:hAnsi="Times New Roman"/>
          <w:sz w:val="20"/>
          <w:szCs w:val="20"/>
          <w:color w:val="auto"/>
        </w:rPr>
        <w:t>” means any swing line loan funded pursuant to the Swing Line Commitment.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Swing Line Note</w:t>
      </w:r>
      <w:r>
        <w:rPr>
          <w:rFonts w:ascii="Times New Roman" w:cs="Times New Roman" w:eastAsia="Times New Roman" w:hAnsi="Times New Roman"/>
          <w:sz w:val="20"/>
          <w:szCs w:val="20"/>
          <w:color w:val="auto"/>
        </w:rPr>
        <w:t xml:space="preserve">” means the promissory note of the Borrower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hereto evidencing the Swing Line Loans.</w:t>
      </w:r>
    </w:p>
    <w:p>
      <w:pPr>
        <w:spacing w:after="0" w:line="15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Synthetic Lease Obligation</w:t>
      </w:r>
      <w:r>
        <w:rPr>
          <w:rFonts w:ascii="Times New Roman" w:cs="Times New Roman" w:eastAsia="Times New Roman" w:hAnsi="Times New Roman"/>
          <w:sz w:val="20"/>
          <w:szCs w:val="20"/>
          <w:color w:val="auto"/>
        </w:rPr>
        <w:t>” means the monetary obligation of a Person under (a) a so-called synthetic, off-balance sheet or tax retention lease, or (b) an agreement for the use or possession of property creating obligations that do not appear on the balance sheet of such Person but which, for tax purposes or otherwise upon the insolvency or bankruptcy of such Person, would be characterized as the indebtedness of such Person (without regard to accounting treatment).</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Compliance Certificate</w:t>
      </w:r>
      <w:r>
        <w:rPr>
          <w:rFonts w:ascii="Times New Roman" w:cs="Times New Roman" w:eastAsia="Times New Roman" w:hAnsi="Times New Roman"/>
          <w:sz w:val="20"/>
          <w:szCs w:val="20"/>
          <w:color w:val="auto"/>
        </w:rPr>
        <w:t xml:space="preserve">” means a tax certificate substantially in the form of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hereto, prepared and delivered in accordance with </w:t>
      </w:r>
      <w:r>
        <w:rPr>
          <w:rFonts w:ascii="Times New Roman" w:cs="Times New Roman" w:eastAsia="Times New Roman" w:hAnsi="Times New Roman"/>
          <w:sz w:val="20"/>
          <w:szCs w:val="20"/>
          <w:u w:val="single" w:color="auto"/>
          <w:color w:val="auto"/>
        </w:rPr>
        <w:t>Section 3.2(g)</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A-1 Loan</w:t>
      </w:r>
      <w:r>
        <w:rPr>
          <w:rFonts w:ascii="Times New Roman" w:cs="Times New Roman" w:eastAsia="Times New Roman" w:hAnsi="Times New Roman"/>
          <w:sz w:val="20"/>
          <w:szCs w:val="20"/>
          <w:color w:val="auto"/>
        </w:rPr>
        <w:t>” means any term loan funded pursuant to the Term A-1 Loan Commitment.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A-1 Loan Commitment</w:t>
      </w:r>
      <w:r>
        <w:rPr>
          <w:rFonts w:ascii="Times New Roman" w:cs="Times New Roman" w:eastAsia="Times New Roman" w:hAnsi="Times New Roman"/>
          <w:sz w:val="20"/>
          <w:szCs w:val="20"/>
          <w:color w:val="auto"/>
        </w:rPr>
        <w:t xml:space="preserve">” means, with respect to each Lender, its obligation to make term loans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on the Closing Date in an aggregate principal amount at any time outstanding set forth opposite such Lender’s name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or in the Assignment and Assumption pursuant to which such Lender becomes party hereto. As of the Closing Date, the aggregate amount of the Term A- 1 Loan Commitments of the Lenders is $130,000,000.</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A-1 Loan Facility</w:t>
      </w:r>
      <w:r>
        <w:rPr>
          <w:rFonts w:ascii="Times New Roman" w:cs="Times New Roman" w:eastAsia="Times New Roman" w:hAnsi="Times New Roman"/>
          <w:sz w:val="20"/>
          <w:szCs w:val="20"/>
          <w:color w:val="auto"/>
        </w:rPr>
        <w:t xml:space="preserve">” means the term loan facility established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as may be modified from time to time pursuant to a Term Loan Increase.</w:t>
      </w:r>
    </w:p>
    <w:p>
      <w:pPr>
        <w:spacing w:after="0" w:line="152"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Lender</w:t>
      </w:r>
      <w:r>
        <w:rPr>
          <w:rFonts w:ascii="Times New Roman" w:cs="Times New Roman" w:eastAsia="Times New Roman" w:hAnsi="Times New Roman"/>
          <w:sz w:val="20"/>
          <w:szCs w:val="20"/>
          <w:color w:val="auto"/>
        </w:rPr>
        <w:t>” means each Lender (including any Incremental Term Lender) having a Term Loan Commitment with respect to any Tranche of Term Loans or who has funded or purchased all or a portion of any Tranche of Term Loans in accordance with the terms hereof.</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w:t>
      </w:r>
      <w:r>
        <w:rPr>
          <w:rFonts w:ascii="Times New Roman" w:cs="Times New Roman" w:eastAsia="Times New Roman" w:hAnsi="Times New Roman"/>
          <w:sz w:val="20"/>
          <w:szCs w:val="20"/>
          <w:color w:val="auto"/>
        </w:rPr>
        <w:t>” means (i) as of the Closing Date, the Term A-1 Loans and, (ii) after the Closing Date, all Incremental Term Loans, if any.</w:t>
      </w:r>
    </w:p>
    <w:p>
      <w:pPr>
        <w:spacing w:after="0" w:line="15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Commitments</w:t>
      </w:r>
      <w:r>
        <w:rPr>
          <w:rFonts w:ascii="Times New Roman" w:cs="Times New Roman" w:eastAsia="Times New Roman" w:hAnsi="Times New Roman"/>
          <w:sz w:val="20"/>
          <w:szCs w:val="20"/>
          <w:color w:val="auto"/>
        </w:rPr>
        <w:t>” means, collectively, the Term A-1 Loan Commitments and, if and as applicable after the Closing Date, any Incremental Term Loan Commitments and “</w:t>
      </w:r>
      <w:r>
        <w:rPr>
          <w:rFonts w:ascii="Times New Roman" w:cs="Times New Roman" w:eastAsia="Times New Roman" w:hAnsi="Times New Roman"/>
          <w:sz w:val="20"/>
          <w:szCs w:val="20"/>
          <w:b w:val="1"/>
          <w:bCs w:val="1"/>
          <w:color w:val="auto"/>
        </w:rPr>
        <w:t>Term Loan Commitment</w:t>
      </w:r>
      <w:r>
        <w:rPr>
          <w:rFonts w:ascii="Times New Roman" w:cs="Times New Roman" w:eastAsia="Times New Roman" w:hAnsi="Times New Roman"/>
          <w:sz w:val="20"/>
          <w:szCs w:val="20"/>
          <w:color w:val="auto"/>
        </w:rPr>
        <w:t>” means any such commitment individually.</w:t>
      </w:r>
    </w:p>
    <w:p>
      <w:pPr>
        <w:spacing w:after="0" w:line="16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Facility</w:t>
      </w:r>
      <w:r>
        <w:rPr>
          <w:rFonts w:ascii="Times New Roman" w:cs="Times New Roman" w:eastAsia="Times New Roman" w:hAnsi="Times New Roman"/>
          <w:sz w:val="20"/>
          <w:szCs w:val="20"/>
          <w:color w:val="auto"/>
        </w:rPr>
        <w:t>” means the Term A-1 Loan Facility and, if and as applicable after the Closing Date, any Incremental Term Loan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4" w:name="page305"/>
    <w:bookmarkEnd w:id="304"/>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Increase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Loan Note</w:t>
      </w:r>
      <w:r>
        <w:rPr>
          <w:rFonts w:ascii="Times New Roman" w:cs="Times New Roman" w:eastAsia="Times New Roman" w:hAnsi="Times New Roman"/>
          <w:sz w:val="20"/>
          <w:szCs w:val="20"/>
          <w:color w:val="auto"/>
        </w:rPr>
        <w:t xml:space="preserve">” means any promissory note of the Borrower substantially in the form of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hereto evidencing any Term Loans.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Adjustment</w:t>
      </w:r>
      <w:r>
        <w:rPr>
          <w:rFonts w:ascii="Times New Roman" w:cs="Times New Roman" w:eastAsia="Times New Roman" w:hAnsi="Times New Roman"/>
          <w:sz w:val="20"/>
          <w:szCs w:val="20"/>
          <w:color w:val="auto"/>
        </w:rPr>
        <w:t>” means 0.10% per annum.</w:t>
      </w:r>
    </w:p>
    <w:p>
      <w:pPr>
        <w:spacing w:after="0" w:line="216"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Administrative Agent in its reasonable discretion).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Rate</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1304"/>
        <w:spacing w:after="0" w:line="242" w:lineRule="auto"/>
        <w:tabs>
          <w:tab w:leader="none" w:pos="1944"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Term SOFR Rate Loan, the Term SOFR Reference Rate for a tenor comparable to the applicable Interest Period on the day (such day, the “</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that is two U.S. Government Securities Business Days prior to the first day of such Interest Period, as such rate is published by the Term SOFR Administrator; provided, however, that if as of 3:00 p.m. on any Periodic Term SOFR Determination Day the Term SOFR Reference Rate for the applicable tenor has not been published by the Term SOFR Administrator and a Benchmark Transition Event with respect to the Term SOFR Reference Rate has not occurred, then the Term SOFR Rate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Periodic Term SOFR Determination Day;</w:t>
      </w:r>
    </w:p>
    <w:p>
      <w:pPr>
        <w:spacing w:after="0" w:line="192"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b w:val="1"/>
          <w:bCs w:val="1"/>
          <w:color w:val="auto"/>
        </w:rPr>
        <w:t>Base Rate Term SOFR Determination Day</w:t>
      </w:r>
      <w:r>
        <w:rPr>
          <w:rFonts w:ascii="Times New Roman" w:cs="Times New Roman" w:eastAsia="Times New Roman" w:hAnsi="Times New Roman"/>
          <w:sz w:val="20"/>
          <w:szCs w:val="20"/>
          <w:color w:val="auto"/>
        </w:rPr>
        <w:t>”) that is two U.S. Government Securities Business Days prior to such day, as such rate is published by the Term SOFR Administrator; provided, however, that if as of 3:00 p.m. on any Base Rate Term SOFR Determination Day the Term SOFR Reference Rate for the applicable tenor has not been published by the Term SOFR Administrator and a Benchmark Transition Event with respect to the Term SOFR Reference Rate has not occurred, then Term SOFR Rate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U.S. Government Securities Business Days prior to such Base Rate Term SOFR Determination Day;</w:t>
      </w:r>
    </w:p>
    <w:p>
      <w:pPr>
        <w:spacing w:after="0" w:line="19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Term SOFR Rate determined as provided above (including pursuant to the proviso under clause (a) or clause (b) above) shall ever be less than the Floor, then Term SOFR Rate shall be deemed to be the Floor.</w:t>
      </w:r>
    </w:p>
    <w:p>
      <w:pPr>
        <w:spacing w:after="0" w:line="15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Rate Loan</w:t>
      </w:r>
      <w:r>
        <w:rPr>
          <w:rFonts w:ascii="Times New Roman" w:cs="Times New Roman" w:eastAsia="Times New Roman" w:hAnsi="Times New Roman"/>
          <w:sz w:val="20"/>
          <w:szCs w:val="20"/>
          <w:color w:val="auto"/>
        </w:rPr>
        <w:t>” means a Loan bearing interest at the Term SOFR Rate Option, other than pursuant to clause (c) of the definition of “Alternate Base Rate”. A Term SOFR Rate Loan is a Loan subject to an Interest Period.</w:t>
      </w:r>
    </w:p>
    <w:p>
      <w:pPr>
        <w:spacing w:after="0" w:line="15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Rate Option</w:t>
      </w:r>
      <w:r>
        <w:rPr>
          <w:rFonts w:ascii="Times New Roman" w:cs="Times New Roman" w:eastAsia="Times New Roman" w:hAnsi="Times New Roman"/>
          <w:sz w:val="20"/>
          <w:szCs w:val="20"/>
          <w:color w:val="auto"/>
        </w:rPr>
        <w:t xml:space="preserve">” means the option of the Borrower to have Loans bear interest at the rate and under the terms set forth in </w:t>
      </w:r>
      <w:r>
        <w:rPr>
          <w:rFonts w:ascii="Times New Roman" w:cs="Times New Roman" w:eastAsia="Times New Roman" w:hAnsi="Times New Roman"/>
          <w:sz w:val="20"/>
          <w:szCs w:val="20"/>
          <w:u w:val="single" w:color="auto"/>
          <w:color w:val="auto"/>
        </w:rPr>
        <w:t>Section 2.6(a)(ii)</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05" w:name="page306"/>
    <w:bookmarkEnd w:id="305"/>
    <w:p>
      <w:pPr>
        <w:ind w:firstLine="64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Test Period</w:t>
      </w:r>
      <w:r>
        <w:rPr>
          <w:rFonts w:ascii="Times New Roman" w:cs="Times New Roman" w:eastAsia="Times New Roman" w:hAnsi="Times New Roman"/>
          <w:sz w:val="20"/>
          <w:szCs w:val="20"/>
          <w:color w:val="auto"/>
        </w:rPr>
        <w:t>” means, as of any date of determination, the most recently ended four fiscal quarters for which financials statements have been delivered to the Administrative Agent.</w:t>
      </w:r>
    </w:p>
    <w:p>
      <w:pPr>
        <w:spacing w:after="0" w:line="153"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Credit Exposure</w:t>
      </w:r>
      <w:r>
        <w:rPr>
          <w:rFonts w:ascii="Times New Roman" w:cs="Times New Roman" w:eastAsia="Times New Roman" w:hAnsi="Times New Roman"/>
          <w:sz w:val="20"/>
          <w:szCs w:val="20"/>
          <w:color w:val="auto"/>
        </w:rPr>
        <w:t>” means, as to any Lender at any time, the unused Commitments, Revolving Credit Exposure and outstanding Term Loans of such Lender at such time.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Net Leverage Ratio</w:t>
      </w:r>
      <w:r>
        <w:rPr>
          <w:rFonts w:ascii="Times New Roman" w:cs="Times New Roman" w:eastAsia="Times New Roman" w:hAnsi="Times New Roman"/>
          <w:sz w:val="20"/>
          <w:szCs w:val="20"/>
          <w:color w:val="auto"/>
        </w:rPr>
        <w:t>” means, as of any date of determination, determined on an aggregate basis, the ratio of</w:t>
      </w:r>
    </w:p>
    <w:p>
      <w:pPr>
        <w:spacing w:after="0" w:line="26" w:lineRule="exact"/>
        <w:rPr>
          <w:sz w:val="20"/>
          <w:szCs w:val="20"/>
          <w:color w:val="auto"/>
        </w:rPr>
      </w:pPr>
    </w:p>
    <w:p>
      <w:pPr>
        <w:jc w:val="both"/>
        <w:ind w:firstLine="8"/>
        <w:spacing w:after="0" w:line="256" w:lineRule="auto"/>
        <w:tabs>
          <w:tab w:leader="none" w:pos="260" w:val="left"/>
        </w:tabs>
        <w:numPr>
          <w:ilvl w:val="0"/>
          <w:numId w:val="2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Indebtedness of the Borrower and the Restricted Subsidiaries described in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(solely to the extent of unreimbursed amounts thereunder which are unpaid after 5 Business Days of becoming due and payable),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(f)</w:t>
      </w:r>
      <w:r>
        <w:rPr>
          <w:rFonts w:ascii="Times New Roman" w:cs="Times New Roman" w:eastAsia="Times New Roman" w:hAnsi="Times New Roman"/>
          <w:sz w:val="19"/>
          <w:szCs w:val="19"/>
          <w:color w:val="auto"/>
        </w:rPr>
        <w:t xml:space="preserve"> of the definition of Indebtedness as of such date,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(B) the amount of any Indebtedness of any Person (other than the Borrower or any Restricted Subsidiary) of the type described in the foregoing clause (A) that is guaranteed by the Borrower or any Restricted Subsidiary,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(C) the Maximum Netting Amount of unrestricted cash and cash equivalents held by the Loan Parties (excluding Funding Program Cash Assets) to (ii) EBITDA of the Borrower and the Restricted Subsidiaries.</w:t>
      </w:r>
    </w:p>
    <w:p>
      <w:pPr>
        <w:spacing w:after="0" w:line="16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w:t>
      </w:r>
      <w:r>
        <w:rPr>
          <w:rFonts w:ascii="Times New Roman" w:cs="Times New Roman" w:eastAsia="Times New Roman" w:hAnsi="Times New Roman"/>
          <w:sz w:val="20"/>
          <w:szCs w:val="20"/>
          <w:color w:val="auto"/>
        </w:rPr>
        <w:t>” means, with respect to each Class of Loans, (a) (i) the Term A-1 Loans and (ii) all Incremental Term Loans made on the same date pursuant to the terms of the same Incremental Request and Incremental Amendment and (b) (i) all Revolving A-1 Loans and (ii) all Incremental Revolving Loans made pursuant to the terms of the same Incremental Amendment.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Borrower</w:t>
      </w:r>
      <w:r>
        <w:rPr>
          <w:rFonts w:ascii="Times New Roman" w:cs="Times New Roman" w:eastAsia="Times New Roman" w:hAnsi="Times New Roman"/>
          <w:sz w:val="20"/>
          <w:szCs w:val="20"/>
          <w:color w:val="auto"/>
        </w:rPr>
        <w:t>” means the Borrower that is a U.S. Person.</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means any Person that is a “United States person” as defined in Section 7701(a)(30) of the Code.</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has the meaning set forth in the Security Agreement, subject to the rules of construction set forth in Section 1.2 of the Security Agreement.</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Financial Institution</w:t>
      </w:r>
      <w:r>
        <w:rPr>
          <w:rFonts w:ascii="Times New Roman" w:cs="Times New Roman" w:eastAsia="Times New Roman" w:hAnsi="Times New Roman"/>
          <w:sz w:val="20"/>
          <w:szCs w:val="20"/>
          <w:color w:val="auto"/>
        </w:rPr>
        <w:t>” means any BRRD Undertaking (as such term is defined under the PRA Rulebook (as amended from time to time) promulgated by the United Kingdom Prudential Regulations Authority) or any Person falling within IFPRU 11.6 of the FCA Handbook (as amended from time to time) promulgated by the United Kingdom Financial Conduct Authority, which includes certain credit institutions and investment firms and certain affiliates of such certain credit institutions or investment firms.</w:t>
      </w:r>
    </w:p>
    <w:p>
      <w:pPr>
        <w:spacing w:after="0" w:line="18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UK Resolution Authority</w:t>
      </w:r>
      <w:r>
        <w:rPr>
          <w:rFonts w:ascii="Times New Roman" w:cs="Times New Roman" w:eastAsia="Times New Roman" w:hAnsi="Times New Roman"/>
          <w:sz w:val="20"/>
          <w:szCs w:val="20"/>
          <w:color w:val="auto"/>
        </w:rPr>
        <w:t>” means the Bank of England or any other public administrative authority having responsibility for the resolution of any UK Financial Institution.</w:t>
      </w:r>
    </w:p>
    <w:p>
      <w:pPr>
        <w:spacing w:after="0" w:line="15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Unrestricted Subsidiary</w:t>
      </w:r>
      <w:r>
        <w:rPr>
          <w:rFonts w:ascii="Times New Roman" w:cs="Times New Roman" w:eastAsia="Times New Roman" w:hAnsi="Times New Roman"/>
          <w:sz w:val="20"/>
          <w:szCs w:val="20"/>
          <w:color w:val="auto"/>
        </w:rPr>
        <w:t xml:space="preserve">” means any Subsidiary of the Borrower which at the time of determination is an Unrestricted Subsidiary (as designated by Borrower pursuant to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xml:space="preserve">) and any direct or indirect Subsidiary of an Unrestricted Subsidiary, except to the extent any such Subsidiary is later designated by Borrower to be a Restricted Subsidiary pursuant to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provided that no Unrestricted Subsidiary shall hold any Material Intellectual Property or any other Material License; provided that notwithstanding the foregoing each of ACS of Anchorage, LLC, ACS of Alaska, LLC, ACS of Fairbanks, LLC, and ACS of the Northland, LLC shall be permitted to hold Material Licenses, so long as no such Material Licenses are transferred from a Restricted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06" w:name="page307"/>
    <w:bookmarkEnd w:id="306"/>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Unused Commitment Fees</w:t>
      </w:r>
      <w:r>
        <w:rPr>
          <w:rFonts w:ascii="Times New Roman" w:cs="Times New Roman" w:eastAsia="Times New Roman" w:hAnsi="Times New Roman"/>
          <w:sz w:val="20"/>
          <w:szCs w:val="20"/>
          <w:color w:val="auto"/>
        </w:rPr>
        <w:t>” means, collectively, (a) the Unused Revolving A-1 Commitment Fee and (b) any unused commitment fee applicable to any Incremental Revolving Facility pursuant to the terms of the applicable Incremental Amendment.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Unused Revolving A-1 Commitment Fee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2.9(a)(i)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Public Law 107-56.</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Participant</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Participant Notice</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Withholding Agent</w:t>
      </w:r>
      <w:r>
        <w:rPr>
          <w:rFonts w:ascii="Times New Roman" w:cs="Times New Roman" w:eastAsia="Times New Roman" w:hAnsi="Times New Roman"/>
          <w:sz w:val="20"/>
          <w:szCs w:val="20"/>
          <w:color w:val="auto"/>
        </w:rPr>
        <w:t>” means (a) any Loan Party and (b) the Administrative Agent.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Write-Down and Conversion Powers</w:t>
      </w:r>
      <w:r>
        <w:rPr>
          <w:rFonts w:ascii="Times New Roman" w:cs="Times New Roman" w:eastAsia="Times New Roman" w:hAnsi="Times New Roman"/>
          <w:sz w:val="19"/>
          <w:szCs w:val="19"/>
          <w:color w:val="auto"/>
        </w:rPr>
        <w:t>” means, (a) with respect to any EEA Resolution Authority, the write-down and conversion powers of such EEA Resolution Authority from time to time under the Bail- In Legislation for the applicable EEA Member Country, which write-down and conversion powers are described in the EU Bail-In Legislation Schedule, and</w:t>
      </w:r>
    </w:p>
    <w:p>
      <w:pPr>
        <w:spacing w:after="0" w:line="2" w:lineRule="exact"/>
        <w:rPr>
          <w:sz w:val="20"/>
          <w:szCs w:val="20"/>
          <w:color w:val="auto"/>
        </w:rPr>
      </w:pPr>
    </w:p>
    <w:p>
      <w:pPr>
        <w:jc w:val="both"/>
        <w:ind w:firstLine="8"/>
        <w:spacing w:after="0"/>
        <w:tabs>
          <w:tab w:leader="none" w:pos="288" w:val="left"/>
        </w:tabs>
        <w:numPr>
          <w:ilvl w:val="0"/>
          <w:numId w:val="2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the United Kingdom, any powers of the applicable Resolution Authority under the Bail-In Legislation to cancel, reduce, modify or change the form of a liability of any UK Financial Institution or any contract or instrument under which that liability arise, to convert all or part of that liability into shares, securities or obligations of that Person or any other Person, to provide that any such contract or instrument is to have effect as if a right had been exercised under it or to suspend any obligations in respect of that liability or any of the powers under that Bail-In Legislation that are related to or ancillary to any of those powers.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Yield Differential</w:t>
      </w:r>
      <w:r>
        <w:rPr>
          <w:rFonts w:ascii="Times New Roman" w:cs="Times New Roman" w:eastAsia="Times New Roman" w:hAnsi="Times New Roman"/>
          <w:sz w:val="20"/>
          <w:szCs w:val="20"/>
          <w:color w:val="auto"/>
        </w:rPr>
        <w:t xml:space="preserve">” has the meaning specified in </w:t>
      </w:r>
      <w:r>
        <w:rPr>
          <w:rFonts w:ascii="Times New Roman" w:cs="Times New Roman" w:eastAsia="Times New Roman" w:hAnsi="Times New Roman"/>
          <w:sz w:val="20"/>
          <w:szCs w:val="20"/>
          <w:u w:val="single" w:color="auto"/>
          <w:color w:val="auto"/>
        </w:rPr>
        <w:t>Section 2.5(d)(iii)</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 xml:space="preserve">1.2 </w:t>
      </w:r>
      <w:r>
        <w:rPr>
          <w:rFonts w:ascii="Times New Roman" w:cs="Times New Roman" w:eastAsia="Times New Roman" w:hAnsi="Times New Roman"/>
          <w:sz w:val="19"/>
          <w:szCs w:val="19"/>
          <w:b w:val="1"/>
          <w:bCs w:val="1"/>
          <w:u w:val="single" w:color="auto"/>
          <w:color w:val="auto"/>
        </w:rPr>
        <w:t>Construction</w:t>
      </w:r>
      <w:r>
        <w:rPr>
          <w:rFonts w:ascii="Times New Roman" w:cs="Times New Roman" w:eastAsia="Times New Roman" w:hAnsi="Times New Roman"/>
          <w:sz w:val="19"/>
          <w:szCs w:val="19"/>
          <w:color w:val="auto"/>
        </w:rPr>
        <w:t>. Unless the context of this Agreement otherwise clearly requires, the following rules of construction shall apply to this Agreement and each of the other Loan Documents: (a) references to the plural include the singular, the plural, the part and the whole; (b) the words “</w:t>
      </w:r>
      <w:r>
        <w:rPr>
          <w:rFonts w:ascii="Times New Roman" w:cs="Times New Roman" w:eastAsia="Times New Roman" w:hAnsi="Times New Roman"/>
          <w:sz w:val="19"/>
          <w:szCs w:val="19"/>
          <w:i w:val="1"/>
          <w:iCs w:val="1"/>
          <w:color w:val="auto"/>
        </w:rPr>
        <w:t>include</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includes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including</w:t>
      </w:r>
      <w:r>
        <w:rPr>
          <w:rFonts w:ascii="Times New Roman" w:cs="Times New Roman" w:eastAsia="Times New Roman" w:hAnsi="Times New Roman"/>
          <w:sz w:val="19"/>
          <w:szCs w:val="19"/>
          <w:color w:val="auto"/>
        </w:rPr>
        <w:t>” shall be deemed to be followed by the phrase “</w:t>
      </w:r>
      <w:r>
        <w:rPr>
          <w:rFonts w:ascii="Times New Roman" w:cs="Times New Roman" w:eastAsia="Times New Roman" w:hAnsi="Times New Roman"/>
          <w:sz w:val="19"/>
          <w:szCs w:val="19"/>
          <w:i w:val="1"/>
          <w:iCs w:val="1"/>
          <w:color w:val="auto"/>
        </w:rPr>
        <w:t>without limitation</w:t>
      </w:r>
      <w:r>
        <w:rPr>
          <w:rFonts w:ascii="Times New Roman" w:cs="Times New Roman" w:eastAsia="Times New Roman" w:hAnsi="Times New Roman"/>
          <w:sz w:val="19"/>
          <w:szCs w:val="19"/>
          <w:color w:val="auto"/>
        </w:rPr>
        <w:t>”; (c) the words “</w:t>
      </w:r>
      <w:r>
        <w:rPr>
          <w:rFonts w:ascii="Times New Roman" w:cs="Times New Roman" w:eastAsia="Times New Roman" w:hAnsi="Times New Roman"/>
          <w:sz w:val="19"/>
          <w:szCs w:val="19"/>
          <w:i w:val="1"/>
          <w:iCs w:val="1"/>
          <w:color w:val="auto"/>
        </w:rPr>
        <w:t>hereof</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herein</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hereunder</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hereto</w:t>
      </w:r>
      <w:r>
        <w:rPr>
          <w:rFonts w:ascii="Times New Roman" w:cs="Times New Roman" w:eastAsia="Times New Roman" w:hAnsi="Times New Roman"/>
          <w:sz w:val="19"/>
          <w:szCs w:val="19"/>
          <w:color w:val="auto"/>
        </w:rPr>
        <w:t>” and similar terms in this Agreement or any other Loan Document refer to this Agreement or such other Loan Document as a whole; (d) article, section, subsection, clause, schedule and exhibit references are to this Agreement or other Loan Document, as the case may be, unless otherwise specified; (e) reference to any Person includes such Person’s successors and assigns; (f) reference to any agreement, including this Agreement and any other Loan Document together with the schedules and exhibits hereto or thereto, document or instrument means such agreement, document or instrument as amended, extended, modified, supplemented, replaced, substituted for, superseded, renewed, refinanced, refunded, reaffirmed or restated at any time and from time to time; (g) relative to the determination of any period of time, “</w:t>
      </w:r>
      <w:r>
        <w:rPr>
          <w:rFonts w:ascii="Times New Roman" w:cs="Times New Roman" w:eastAsia="Times New Roman" w:hAnsi="Times New Roman"/>
          <w:sz w:val="19"/>
          <w:szCs w:val="19"/>
          <w:i w:val="1"/>
          <w:iCs w:val="1"/>
          <w:color w:val="auto"/>
        </w:rPr>
        <w:t>from</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i w:val="1"/>
          <w:iCs w:val="1"/>
          <w:color w:val="auto"/>
        </w:rPr>
        <w:t>from and including</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i w:val="1"/>
          <w:iCs w:val="1"/>
          <w:color w:val="auto"/>
        </w:rPr>
        <w:t>to</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i w:val="1"/>
          <w:iCs w:val="1"/>
          <w:color w:val="auto"/>
        </w:rPr>
        <w:t>to but excluding</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through</w:t>
      </w:r>
      <w:r>
        <w:rPr>
          <w:rFonts w:ascii="Times New Roman" w:cs="Times New Roman" w:eastAsia="Times New Roman" w:hAnsi="Times New Roman"/>
          <w:sz w:val="19"/>
          <w:szCs w:val="19"/>
          <w:color w:val="auto"/>
        </w:rPr>
        <w:t>” means “</w:t>
      </w:r>
      <w:r>
        <w:rPr>
          <w:rFonts w:ascii="Times New Roman" w:cs="Times New Roman" w:eastAsia="Times New Roman" w:hAnsi="Times New Roman"/>
          <w:sz w:val="19"/>
          <w:szCs w:val="19"/>
          <w:i w:val="1"/>
          <w:iCs w:val="1"/>
          <w:color w:val="auto"/>
        </w:rPr>
        <w:t>through and including</w:t>
      </w:r>
      <w:r>
        <w:rPr>
          <w:rFonts w:ascii="Times New Roman" w:cs="Times New Roman" w:eastAsia="Times New Roman" w:hAnsi="Times New Roman"/>
          <w:sz w:val="19"/>
          <w:szCs w:val="19"/>
          <w:color w:val="auto"/>
        </w:rPr>
        <w:t>”; (h) the words “</w:t>
      </w:r>
      <w:r>
        <w:rPr>
          <w:rFonts w:ascii="Times New Roman" w:cs="Times New Roman" w:eastAsia="Times New Roman" w:hAnsi="Times New Roman"/>
          <w:sz w:val="19"/>
          <w:szCs w:val="19"/>
          <w:i w:val="1"/>
          <w:iCs w:val="1"/>
          <w:color w:val="auto"/>
        </w:rPr>
        <w:t>asset</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i w:val="1"/>
          <w:iCs w:val="1"/>
          <w:color w:val="auto"/>
        </w:rPr>
        <w:t>property</w:t>
      </w:r>
      <w:r>
        <w:rPr>
          <w:rFonts w:ascii="Times New Roman" w:cs="Times New Roman" w:eastAsia="Times New Roman" w:hAnsi="Times New Roman"/>
          <w:sz w:val="19"/>
          <w:szCs w:val="19"/>
          <w:color w:val="auto"/>
        </w:rPr>
        <w:t>” shall be construed to have the same meaning and effect and to refer to any and all tangible and intangible assets and properties, including cash, securities, accounts and contract rights; (i) section headings herein and in each other Loan Document are included for convenience and shall not affect the interpretation of this Agreement or such Loan Document; (j) any pronoun shall include the corresponding masculine, feminine and neuter terms; (k) reference to any Law shall refer to such Law as amended, modified, supplemented, renewed, or extended from time to time and to any successor or replacement Law promulgated thereunder or substantially related thereto and to any rules and regulations related thereto; (l) reference to any Governmental Authority includes any similar or successor Governmental Authority; (m) the word “</w:t>
      </w:r>
      <w:r>
        <w:rPr>
          <w:rFonts w:ascii="Times New Roman" w:cs="Times New Roman" w:eastAsia="Times New Roman" w:hAnsi="Times New Roman"/>
          <w:sz w:val="19"/>
          <w:szCs w:val="19"/>
          <w:i w:val="1"/>
          <w:iCs w:val="1"/>
          <w:color w:val="auto"/>
        </w:rPr>
        <w:t>will</w:t>
      </w:r>
      <w:r>
        <w:rPr>
          <w:rFonts w:ascii="Times New Roman" w:cs="Times New Roman" w:eastAsia="Times New Roman" w:hAnsi="Times New Roman"/>
          <w:sz w:val="19"/>
          <w:szCs w:val="19"/>
          <w:color w:val="auto"/>
        </w:rPr>
        <w:t>” shall be construed to have the same meaning and effect as the word “</w:t>
      </w:r>
      <w:r>
        <w:rPr>
          <w:rFonts w:ascii="Times New Roman" w:cs="Times New Roman" w:eastAsia="Times New Roman" w:hAnsi="Times New Roman"/>
          <w:sz w:val="19"/>
          <w:szCs w:val="19"/>
          <w:i w:val="1"/>
          <w:iCs w:val="1"/>
          <w:color w:val="auto"/>
        </w:rPr>
        <w:t>shall</w:t>
      </w:r>
      <w:r>
        <w:rPr>
          <w:rFonts w:ascii="Times New Roman" w:cs="Times New Roman" w:eastAsia="Times New Roman" w:hAnsi="Times New Roman"/>
          <w:sz w:val="19"/>
          <w:szCs w:val="19"/>
          <w:color w:val="auto"/>
        </w:rPr>
        <w:t>”; (n) unless otherwise specified, all references herein to times of day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07" w:name="page308"/>
    <w:bookmarkEnd w:id="307"/>
    <w:p>
      <w:pPr>
        <w:jc w:val="both"/>
        <w:spacing w:after="0" w:line="255" w:lineRule="auto"/>
        <w:rPr>
          <w:sz w:val="20"/>
          <w:szCs w:val="20"/>
          <w:color w:val="auto"/>
        </w:rPr>
      </w:pPr>
      <w:r>
        <w:rPr>
          <w:rFonts w:ascii="Times New Roman" w:cs="Times New Roman" w:eastAsia="Times New Roman" w:hAnsi="Times New Roman"/>
          <w:sz w:val="20"/>
          <w:szCs w:val="20"/>
          <w:color w:val="auto"/>
        </w:rPr>
        <w:t>references to Denver, Colorado time; (o) the word “</w:t>
      </w:r>
      <w:r>
        <w:rPr>
          <w:rFonts w:ascii="Times New Roman" w:cs="Times New Roman" w:eastAsia="Times New Roman" w:hAnsi="Times New Roman"/>
          <w:sz w:val="20"/>
          <w:szCs w:val="20"/>
          <w:i w:val="1"/>
          <w:iCs w:val="1"/>
          <w:color w:val="auto"/>
        </w:rPr>
        <w:t>or</w:t>
      </w:r>
      <w:r>
        <w:rPr>
          <w:rFonts w:ascii="Times New Roman" w:cs="Times New Roman" w:eastAsia="Times New Roman" w:hAnsi="Times New Roman"/>
          <w:sz w:val="20"/>
          <w:szCs w:val="20"/>
          <w:color w:val="auto"/>
        </w:rPr>
        <w:t>” is not exclusive; and (p) the word “</w:t>
      </w:r>
      <w:r>
        <w:rPr>
          <w:rFonts w:ascii="Times New Roman" w:cs="Times New Roman" w:eastAsia="Times New Roman" w:hAnsi="Times New Roman"/>
          <w:sz w:val="20"/>
          <w:szCs w:val="20"/>
          <w:i w:val="1"/>
          <w:iCs w:val="1"/>
          <w:color w:val="auto"/>
        </w:rPr>
        <w:t>year</w:t>
      </w:r>
      <w:r>
        <w:rPr>
          <w:rFonts w:ascii="Times New Roman" w:cs="Times New Roman" w:eastAsia="Times New Roman" w:hAnsi="Times New Roman"/>
          <w:sz w:val="20"/>
          <w:szCs w:val="20"/>
          <w:color w:val="auto"/>
        </w:rPr>
        <w:t>” shall refer to, (i) in the case of a leap year, to a year of three hundred sixty-six (366) days and, (ii) otherwise, a year of three hundred sixty-five (365) days.</w:t>
      </w:r>
    </w:p>
    <w:p>
      <w:pPr>
        <w:spacing w:after="0" w:line="17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b w:val="1"/>
          <w:bCs w:val="1"/>
          <w:u w:val="single" w:color="auto"/>
          <w:color w:val="auto"/>
        </w:rPr>
        <w:t>Accounting Principles</w:t>
      </w:r>
      <w:r>
        <w:rPr>
          <w:rFonts w:ascii="Times New Roman" w:cs="Times New Roman" w:eastAsia="Times New Roman" w:hAnsi="Times New Roman"/>
          <w:sz w:val="20"/>
          <w:szCs w:val="20"/>
          <w:color w:val="auto"/>
        </w:rPr>
        <w:t xml:space="preserve">. Except as otherwise provided in this Agreement, all computations and determinations as to accounting or financial matters (including financial ratios and other financial covenants) and all financial statements to be delivered pursuant to this Agreement shall be made and prepared in accordance with GAAP (including principles of consolidation where appropriate), applied on a consistent basis and, except as provided herein, in a manner consistent with that used in preparing audited financial statements in accordance with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and all accounting or financial terms have the meanings ascribed to such terms by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all accounting terms used in any financial ratio or financial covenant (and any definitions used in any financial ratio or financial covenant) have the meaning given to such terms (and defined terms) under GAAP as in effect on the Closing Date applied on a basis consistent with those used in preparing the financial statements referred to in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In the event of any change after the Closing Date in GAAP, and if such change would affect the computation of any financial ratio or financial covenant set forth herein, then the parties hereto agree to endeavor, in good faith, to agree upon an amendment to this Agreement that would adjust such financial ratio or financial covenants in a manner that would preserve the original intent thereof, but would allow compliance therewith to be determined in accordance with the financial statements of the Loan Parties at that time, provided that until so amended such financial ratio or financial covenant shall continue to be computed in accordance with GAAP prior to such change therein. Notwithstanding the foregoing, for purposes of determining compliance with any ratio or covenant (including the computation of any financial ratio, financial covenant or component thereof) contained herein, Indebtedness of any Loan Party and its Subsidiaries shall be deemed to be carried at 100% of the outstanding principal amount thereof, and the effects of FASB ASC 825 and FASB ASC 470-20 on financial liabilities shall be disregarded. Notwithstanding anything to the contrary contained in Section 1.1 or in the definition of “Capital Lease”, all calculations, ratios, covenants or restrictions hereunder or under any other Loan Documents shall not give effect to the accounting for leases pursuant to GAAP resulting from the adoption of Financial Accounting Standards Board Accounting Standards Update No. 2016-02, Leases (Topic 842) (“FAS 842”). To the extent FAS 842 would require treating any lease (or similar arrangement conveying the right to use) as a Capital Lease but such lease (or similar arrangement) would not have been required to be so treated as a Capital Lease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b w:val="1"/>
          <w:bCs w:val="1"/>
          <w:u w:val="single" w:color="auto"/>
          <w:color w:val="auto"/>
        </w:rPr>
        <w:t>Rounding</w:t>
      </w:r>
      <w:r>
        <w:rPr>
          <w:rFonts w:ascii="Times New Roman" w:cs="Times New Roman" w:eastAsia="Times New Roman" w:hAnsi="Times New Roman"/>
          <w:sz w:val="20"/>
          <w:szCs w:val="20"/>
          <w:color w:val="auto"/>
        </w:rPr>
        <w:t>. Any financial ratios required to be maintained pursuant to this Agreement shall be calculated by dividing the appropriate component by the other component, carrying the result to one place more than the number of places by which such ratio or percentage is expressed herein and rounding the result up or down to the nearest number (with a rounding-up if there is no nearest number).</w:t>
      </w:r>
    </w:p>
    <w:p>
      <w:pPr>
        <w:spacing w:after="0" w:line="17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b w:val="1"/>
          <w:bCs w:val="1"/>
          <w:u w:val="single" w:color="auto"/>
          <w:color w:val="auto"/>
        </w:rPr>
        <w:t>Letter of Credit Amounts</w:t>
      </w:r>
      <w:r>
        <w:rPr>
          <w:rFonts w:ascii="Times New Roman" w:cs="Times New Roman" w:eastAsia="Times New Roman" w:hAnsi="Times New Roman"/>
          <w:sz w:val="20"/>
          <w:szCs w:val="20"/>
          <w:color w:val="auto"/>
        </w:rPr>
        <w:t>. Unless otherwise specified, all references herein to the amount of a Letter of Credit at any time shall be deemed to mean the maximum face amount of such Letter of Credit after giving effect to all increases thereof contemplated by such Letter of Credit or the Letter of Credit Request therefor (at the time specified therefor in such applicable Letter of Credit or Letter of Credit Request and as such amount may be reduced by (a) any permanent reduction of such Letter of Credit or (b) any amount which is drawn, reimbursed and no longer available under such Letter of Credit).</w:t>
      </w:r>
    </w:p>
    <w:p>
      <w:pPr>
        <w:spacing w:after="0" w:line="200" w:lineRule="exact"/>
        <w:rPr>
          <w:sz w:val="20"/>
          <w:szCs w:val="20"/>
          <w:color w:val="auto"/>
        </w:rPr>
      </w:pPr>
    </w:p>
    <w:p>
      <w:pPr>
        <w:spacing w:after="0" w:line="21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19"/>
          <w:szCs w:val="19"/>
          <w:b w:val="1"/>
          <w:bCs w:val="1"/>
          <w:u w:val="single" w:color="auto"/>
          <w:color w:val="auto"/>
        </w:rPr>
        <w:t>Covenant Compliance Generally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20" w:firstLine="1304"/>
        <w:spacing w:after="0" w:line="269" w:lineRule="auto"/>
        <w:tabs>
          <w:tab w:leader="none" w:pos="1944" w:val="left"/>
        </w:tabs>
        <w:numPr>
          <w:ilvl w:val="0"/>
          <w:numId w:val="2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Currency Conversion</w:t>
      </w:r>
      <w:r>
        <w:rPr>
          <w:rFonts w:ascii="Times New Roman" w:cs="Times New Roman" w:eastAsia="Times New Roman" w:hAnsi="Times New Roman"/>
          <w:sz w:val="20"/>
          <w:szCs w:val="20"/>
          <w:color w:val="auto"/>
        </w:rPr>
        <w:t xml:space="preserve">. For purposes of determining compliance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any amount in a currency other than Dollars will be converted to Dollars in a manner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08" w:name="page309"/>
    <w:bookmarkEnd w:id="308"/>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with GAAP and the most recent annual financial statements delivered pursuant to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Notwithstanding the foregoing, for purposes of determining compliance with </w:t>
      </w:r>
      <w:r>
        <w:rPr>
          <w:rFonts w:ascii="Times New Roman" w:cs="Times New Roman" w:eastAsia="Times New Roman" w:hAnsi="Times New Roman"/>
          <w:sz w:val="20"/>
          <w:szCs w:val="20"/>
          <w:u w:val="single" w:color="auto"/>
          <w:color w:val="auto"/>
        </w:rPr>
        <w:t>Articles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with respect to any covenant with respect to the amount of Indebtedness or Investment in a currency other than Dollars, no breach of any basket contained therein shall be deemed to have occurred solely as a result of changes in rates of exchange occurring after the time such Indebtedness or Investment is incurred;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the result of any changes in rates of exchange occurring after the time such Indebtedness or Investment is incurred shall otherwise apply in all other cases, including determining whether any additional Indebtedness or Investment may be incurred at any time in accordance with </w:t>
      </w:r>
      <w:r>
        <w:rPr>
          <w:rFonts w:ascii="Times New Roman" w:cs="Times New Roman" w:eastAsia="Times New Roman" w:hAnsi="Times New Roman"/>
          <w:sz w:val="20"/>
          <w:szCs w:val="20"/>
          <w:u w:val="single" w:color="auto"/>
          <w:color w:val="auto"/>
        </w:rPr>
        <w:t>Articles 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 and for purposes of calculating financial ratios in accordance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firstLine="1304"/>
        <w:spacing w:after="0" w:line="242" w:lineRule="auto"/>
        <w:tabs>
          <w:tab w:leader="none" w:pos="194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Forma</w:t>
      </w:r>
      <w:r>
        <w:rPr>
          <w:rFonts w:ascii="Times New Roman" w:cs="Times New Roman" w:eastAsia="Times New Roman" w:hAnsi="Times New Roman"/>
          <w:sz w:val="20"/>
          <w:szCs w:val="20"/>
          <w:color w:val="auto"/>
        </w:rPr>
        <w:t>. Notwithstanding anything to the contrary contained herein, for purposes of calculating the Total Net Leverage Ratio, EBITDA or any other financial ratio, test or basket or determining compliance with any covenant or other provision under this Agreement or any other Loan Document that requires such calculation of such financial ratio, test or basket or such determination of compliance with any covenant or other provision be made on a pro forma basis, in each case, on any specified date (the “</w:t>
      </w:r>
      <w:r>
        <w:rPr>
          <w:rFonts w:ascii="Times New Roman" w:cs="Times New Roman" w:eastAsia="Times New Roman" w:hAnsi="Times New Roman"/>
          <w:sz w:val="20"/>
          <w:szCs w:val="20"/>
          <w:b w:val="1"/>
          <w:bCs w:val="1"/>
          <w:color w:val="auto"/>
        </w:rPr>
        <w:t>Calculation Date</w:t>
      </w:r>
      <w:r>
        <w:rPr>
          <w:rFonts w:ascii="Times New Roman" w:cs="Times New Roman" w:eastAsia="Times New Roman" w:hAnsi="Times New Roman"/>
          <w:sz w:val="20"/>
          <w:szCs w:val="20"/>
          <w:color w:val="auto"/>
        </w:rPr>
        <w:t>”), that calculation or determination, as the case may be, shall be made after giving effect to the consummation of any permitted Investment, Disposition, Restricted Payment, Acquisition, Borrowing, incurrence of Indebtedness (and use of proceeds), effectiveness of any Incremental Facility or other like transaction (each, a “</w:t>
      </w:r>
      <w:r>
        <w:rPr>
          <w:rFonts w:ascii="Times New Roman" w:cs="Times New Roman" w:eastAsia="Times New Roman" w:hAnsi="Times New Roman"/>
          <w:sz w:val="20"/>
          <w:szCs w:val="20"/>
          <w:b w:val="1"/>
          <w:bCs w:val="1"/>
          <w:color w:val="auto"/>
        </w:rPr>
        <w:t>Specified Transaction</w:t>
      </w:r>
      <w:r>
        <w:rPr>
          <w:rFonts w:ascii="Times New Roman" w:cs="Times New Roman" w:eastAsia="Times New Roman" w:hAnsi="Times New Roman"/>
          <w:sz w:val="20"/>
          <w:szCs w:val="20"/>
          <w:color w:val="auto"/>
        </w:rPr>
        <w:t>”) that were consummated or that otherwise occurred, in each case, (x) during the applicable Test Period most recently ended prior to such Calculation Date or (y) after the last day of such Test Period and on or prior to the Calculation Date, in each case, as if such Specified Transaction had occurred on the first day of the Test Period most recently ended prior to the Calculation Date.</w:t>
      </w:r>
    </w:p>
    <w:p>
      <w:pPr>
        <w:spacing w:after="0" w:line="189"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2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Limited Condition Acquisitions</w:t>
      </w:r>
      <w:r>
        <w:rPr>
          <w:rFonts w:ascii="Times New Roman" w:cs="Times New Roman" w:eastAsia="Times New Roman" w:hAnsi="Times New Roman"/>
          <w:sz w:val="20"/>
          <w:szCs w:val="20"/>
          <w:color w:val="auto"/>
        </w:rPr>
        <w:t xml:space="preserve">. In the case of the classification of an Acquisition as a Permitted Acquisition or the consummation of any other Specified Transactions in connection with a Limited Condition Acquisition, at the Borrower’s option, the calculation of the relevant financial ratios, tests and baskets and the condition that there be no Default or Event of Default (other than a Specified Event of Default, which shall not exist on the date that such Limited Condition Acquisition is consummated) shall be determined as of the date the Acquisition Agreement of such Limited Condition Acquisition is entered into and calculated as if the Acquisition and other pro forma events in connection therewith were consummated on such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Borrower has made such an election, in connection with the calculation of any financial ratios, tests or baskets with respect to the classification of an Acquisition as a Permitted Acquisition or the consummation of any other Specified Transactions on or following such date and prior to the earlier of the date on which such Limited Condition Acquisition is consummated or the Acquisition Agreement of such Limited Condition Acquisition is terminated, any such financial ratio, test or basket shall be calculated on a pro forma basis assuming such Limited Condition Acquisition and other pro forma events in connection therewith (including any incurrence of Indebtedness) have been consummated.</w:t>
      </w:r>
    </w:p>
    <w:p>
      <w:pPr>
        <w:spacing w:after="0" w:line="19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b w:val="1"/>
          <w:bCs w:val="1"/>
          <w:u w:val="single" w:color="auto"/>
          <w:color w:val="auto"/>
        </w:rPr>
        <w:t>Holidays</w:t>
      </w:r>
      <w:r>
        <w:rPr>
          <w:rFonts w:ascii="Times New Roman" w:cs="Times New Roman" w:eastAsia="Times New Roman" w:hAnsi="Times New Roman"/>
          <w:sz w:val="20"/>
          <w:szCs w:val="20"/>
          <w:color w:val="auto"/>
        </w:rPr>
        <w:t xml:space="preserve">. Whenever payment of a Loan to be made or taken hereunder shall be due on a day that is not a Business Day such payment shall be due on the next Business Day (except as provided in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and such extension of time shall be included in computing interest and fees, except that the Loans shall be due on the Business Day preceding the Maturity Date if the Maturity Date is not a Business Day. Whenever any payment or action to be made or taken hereunder (other than payment of the Loans) shall be stated to be due on a day that is not a Business Day, such payment or action shall be made or taken on the next following Business Day, and such extension of time shall not be included in computing interest or fees, if any, in connection with such payment or action.</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19"/>
          <w:szCs w:val="19"/>
          <w:b w:val="1"/>
          <w:bCs w:val="1"/>
          <w:u w:val="single" w:color="auto"/>
          <w:color w:val="auto"/>
        </w:rPr>
        <w:t>Divisions</w:t>
      </w:r>
      <w:r>
        <w:rPr>
          <w:rFonts w:ascii="Times New Roman" w:cs="Times New Roman" w:eastAsia="Times New Roman" w:hAnsi="Times New Roman"/>
          <w:sz w:val="19"/>
          <w:szCs w:val="19"/>
          <w:color w:val="auto"/>
        </w:rPr>
        <w:t>. For all purposes under the Loan Documents, in connection with any Division or plan of Division:</w:t>
      </w:r>
    </w:p>
    <w:p>
      <w:pPr>
        <w:spacing w:after="0" w:line="26" w:lineRule="exact"/>
        <w:rPr>
          <w:sz w:val="20"/>
          <w:szCs w:val="20"/>
          <w:color w:val="auto"/>
        </w:rPr>
      </w:pPr>
    </w:p>
    <w:p>
      <w:pPr>
        <w:ind w:left="280" w:hanging="272"/>
        <w:spacing w:after="0"/>
        <w:tabs>
          <w:tab w:leader="none" w:pos="280" w:val="left"/>
        </w:tabs>
        <w:numPr>
          <w:ilvl w:val="0"/>
          <w:numId w:val="2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asset, right, obligation or liability of any Person becomes the asset, right,</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55" w:lineRule="exact"/>
        <w:rPr>
          <w:rFonts w:ascii="Times New Roman" w:cs="Times New Roman" w:eastAsia="Times New Roman" w:hAnsi="Times New Roman"/>
          <w:sz w:val="20"/>
          <w:szCs w:val="20"/>
          <w:color w:val="auto"/>
        </w:rPr>
      </w:pPr>
    </w:p>
    <w:p>
      <w:pPr>
        <w:ind w:left="48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09" w:name="page310"/>
    <w:bookmarkEnd w:id="309"/>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 Any reference in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or in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to a combination, merger, consolidation, Disposition, dissolution, liquidation, transfer or similar term shall be deemed to apply to a Division, or an allocation of assets to a series of limited liability companies (or the unwinding of such a Division or allocation) as if it were a combination, merger, consolidation, Disposition, dissolution, transfer or similar term, as applicable, to of or with a separate Person.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II.  CREDIT FACILITIES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b w:val="1"/>
          <w:bCs w:val="1"/>
          <w:u w:val="single" w:color="auto"/>
          <w:color w:val="auto"/>
        </w:rPr>
        <w:t>Term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9" w:lineRule="auto"/>
        <w:tabs>
          <w:tab w:leader="none" w:pos="1944" w:val="left"/>
        </w:tabs>
        <w:numPr>
          <w:ilvl w:val="0"/>
          <w:numId w:val="2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Term A-1 Loan Commitments</w:t>
      </w:r>
      <w:r>
        <w:rPr>
          <w:rFonts w:ascii="Times New Roman" w:cs="Times New Roman" w:eastAsia="Times New Roman" w:hAnsi="Times New Roman"/>
          <w:sz w:val="19"/>
          <w:szCs w:val="19"/>
          <w:color w:val="auto"/>
        </w:rPr>
        <w:t xml:space="preserve">. Subject to the terms and conditions hereof, and relying upon the representations and warranties of the Loan Parties set forth herein and in the other Loan Documents, each Term A-1 Loan Lender severally agrees to make the Term A-1 Loan to the Borrower on the Closing Date in such principal amount as the Borrower shall request up to, but not exceeding the lesser of (i) such Term A-1 Loan Lender’s Term A-1 Loan Commitment or (ii) such Term A-1 Loan Lender’s Pro Rata Share of the aggregate principal amount of Term A-1 Loans to be funded on the Closing Date. The request by the Borrower for the Term A-1 Loan shall be deemed to be a representation by the Borrower that it shall be in compliance with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xml:space="preserve"> both before and after giving effect to the requested Term A-1 Loan.</w:t>
      </w:r>
    </w:p>
    <w:p>
      <w:pPr>
        <w:spacing w:after="0" w:line="172" w:lineRule="exact"/>
        <w:rPr>
          <w:rFonts w:ascii="Times New Roman" w:cs="Times New Roman" w:eastAsia="Times New Roman" w:hAnsi="Times New Roman"/>
          <w:sz w:val="19"/>
          <w:szCs w:val="19"/>
          <w:color w:val="auto"/>
        </w:rPr>
      </w:pPr>
    </w:p>
    <w:p>
      <w:pPr>
        <w:jc w:val="both"/>
        <w:ind w:firstLine="1304"/>
        <w:spacing w:after="0" w:line="242" w:lineRule="auto"/>
        <w:tabs>
          <w:tab w:leader="none" w:pos="1944"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A-1 Loan Request</w:t>
      </w:r>
      <w:r>
        <w:rPr>
          <w:rFonts w:ascii="Times New Roman" w:cs="Times New Roman" w:eastAsia="Times New Roman" w:hAnsi="Times New Roman"/>
          <w:sz w:val="20"/>
          <w:szCs w:val="20"/>
          <w:color w:val="auto"/>
        </w:rPr>
        <w:t>. The Borrower shall request the Term A-1 Loan Lenders to make the Term A-1 Loans by delivering to the Administrative Agent, not later than 11:00 a.m., (i) three (3) U.S. Government Securities Business Days prior to the Closing Date with respect to Term SOFR Rate Loans (or such shorter period of time as the Administrative Agent may agree in its sole discretion); and (ii) one (1) Business Day prior to the Closing Date with respect to Base Rate Loans (or such shorter period of time as the Administrative Agent may agree in its sole discretion), a duly completed Loan Request. The Loan Request with respect to the Term A-1 Loan shall be subject to the occurrence of the Closing Date but otherwise shall be irrevocable and shall specify the aggregate amount of the proposed Term A-1 Loans comprising each Borrowing, and, if applicable, the Interest Period, which amounts shall be in (x) integral multiples of $500,000 and not less than $1,000,000 for each Borrowing under the Term SOFR Rate Option and (y) integral multiples of $100,000 and not less than $500,000 for each Borrowing under the Base Rate Option.</w:t>
      </w:r>
    </w:p>
    <w:p>
      <w:pPr>
        <w:spacing w:after="0" w:line="192"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Lenders’ Obligations with Respect to Term A-1 Loans</w:t>
      </w:r>
      <w:r>
        <w:rPr>
          <w:rFonts w:ascii="Times New Roman" w:cs="Times New Roman" w:eastAsia="Times New Roman" w:hAnsi="Times New Roman"/>
          <w:sz w:val="20"/>
          <w:szCs w:val="20"/>
          <w:color w:val="auto"/>
        </w:rPr>
        <w:t xml:space="preserve">. The failure of any Term A-1 Loan Lender to make a Term Loan shall not relieve any other Term A-1 Loan Lender of its obligations to make a Term A-1 Loan nor shall it impose any additional liability on any other Lender hereunder. The Term A-1 Loan Lenders shall have no obligation to make the Term A-1 Loans after the Closing Date. The Term A-1 Loan Commitments are not revolving commitments, and the Borrower shall not have the right to repay and reborrow under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Term A-1 Loans</w:t>
      </w:r>
      <w:r>
        <w:rPr>
          <w:rFonts w:ascii="Times New Roman" w:cs="Times New Roman" w:eastAsia="Times New Roman" w:hAnsi="Times New Roman"/>
          <w:sz w:val="20"/>
          <w:szCs w:val="20"/>
          <w:color w:val="auto"/>
        </w:rPr>
        <w:t xml:space="preserve">. In addition to any prepayments or repayments made pursuant to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w:t>
      </w:r>
      <w:r>
        <w:rPr>
          <w:rFonts w:ascii="Times New Roman" w:cs="Times New Roman" w:eastAsia="Times New Roman" w:hAnsi="Times New Roman"/>
          <w:sz w:val="20"/>
          <w:szCs w:val="20"/>
          <w:color w:val="auto"/>
        </w:rPr>
        <w:t>, the Borrower shall repay the aggregate outstanding principal balance of the Term A-1 Loan in quarterly principal payments on the last day of each fiscal quarter for the periods and in the amounts set forth in the following table (as the same may be reduced from time to time as a result of mandatory or voluntary prepayments from time to time in accordance with the terms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0" w:name="page311"/>
    <w:bookmarkEnd w:id="310"/>
    <w:tbl>
      <w:tblPr>
        <w:tblLayout w:type="fixed"/>
        <w:tblInd w:w="10" w:type="dxa"/>
        <w:tblCellMar>
          <w:top w:w="0" w:type="dxa"/>
          <w:left w:w="0" w:type="dxa"/>
          <w:bottom w:w="0" w:type="dxa"/>
          <w:right w:w="0" w:type="dxa"/>
        </w:tblCellMar>
      </w:tblPr>
      <w:tr>
        <w:trPr>
          <w:trHeight w:val="270"/>
        </w:trPr>
        <w:tc>
          <w:tcPr>
            <w:tcW w:w="4980" w:type="dxa"/>
            <w:vAlign w:val="bottom"/>
            <w:tcBorders>
              <w:top w:val="single" w:sz="8" w:color="auto"/>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8"/>
              </w:rPr>
              <w:t>Quarterly Payment Dates</w:t>
            </w:r>
          </w:p>
        </w:tc>
        <w:tc>
          <w:tcPr>
            <w:tcW w:w="4940" w:type="dxa"/>
            <w:vAlign w:val="bottom"/>
            <w:tcBorders>
              <w:top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Quarterly Repayments</w:t>
            </w:r>
          </w:p>
        </w:tc>
      </w:tr>
      <w:tr>
        <w:trPr>
          <w:trHeight w:val="102"/>
        </w:trPr>
        <w:tc>
          <w:tcPr>
            <w:tcW w:w="1480" w:type="dxa"/>
            <w:vAlign w:val="bottom"/>
            <w:tcBorders>
              <w:left w:val="single" w:sz="8" w:color="auto"/>
              <w:bottom w:val="single" w:sz="8" w:color="auto"/>
            </w:tcBorders>
          </w:tcPr>
          <w:p>
            <w:pPr>
              <w:spacing w:after="0"/>
              <w:rPr>
                <w:sz w:val="8"/>
                <w:szCs w:val="8"/>
                <w:color w:val="auto"/>
              </w:rPr>
            </w:pPr>
          </w:p>
        </w:tc>
        <w:tc>
          <w:tcPr>
            <w:tcW w:w="2000" w:type="dxa"/>
            <w:vAlign w:val="bottom"/>
            <w:tcBorders>
              <w:top w:val="single" w:sz="8" w:color="auto"/>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780" w:type="dxa"/>
            <w:vAlign w:val="bottom"/>
            <w:tcBorders>
              <w:top w:val="single" w:sz="8" w:color="auto"/>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r>
      <w:tr>
        <w:trPr>
          <w:trHeight w:val="297"/>
        </w:trPr>
        <w:tc>
          <w:tcPr>
            <w:tcW w:w="49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December 31, 2023 – June 30, 2025</w:t>
            </w:r>
          </w:p>
        </w:tc>
        <w:tc>
          <w:tcPr>
            <w:tcW w:w="49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$812,500 (2.5% per annum)</w:t>
            </w:r>
          </w:p>
        </w:tc>
      </w:tr>
      <w:tr>
        <w:trPr>
          <w:trHeight w:val="75"/>
        </w:trPr>
        <w:tc>
          <w:tcPr>
            <w:tcW w:w="1480" w:type="dxa"/>
            <w:vAlign w:val="bottom"/>
            <w:tcBorders>
              <w:left w:val="single" w:sz="8" w:color="auto"/>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1780" w:type="dxa"/>
            <w:vAlign w:val="bottom"/>
            <w:tcBorders>
              <w:bottom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r>
      <w:tr>
        <w:trPr>
          <w:trHeight w:val="337"/>
        </w:trPr>
        <w:tc>
          <w:tcPr>
            <w:tcW w:w="49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September 30, 2025 – June 30, 2026</w:t>
            </w:r>
          </w:p>
        </w:tc>
        <w:tc>
          <w:tcPr>
            <w:tcW w:w="49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8"/>
              </w:rPr>
              <w:t>$1,625,000 (5% per annum)</w:t>
            </w:r>
          </w:p>
        </w:tc>
      </w:tr>
      <w:tr>
        <w:trPr>
          <w:trHeight w:val="102"/>
        </w:trPr>
        <w:tc>
          <w:tcPr>
            <w:tcW w:w="1480" w:type="dxa"/>
            <w:vAlign w:val="bottom"/>
            <w:tcBorders>
              <w:left w:val="single" w:sz="8" w:color="auto"/>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r>
      <w:tr>
        <w:trPr>
          <w:trHeight w:val="337"/>
        </w:trPr>
        <w:tc>
          <w:tcPr>
            <w:tcW w:w="49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September 30, 2026 – June 30, 2029</w:t>
            </w:r>
          </w:p>
        </w:tc>
        <w:tc>
          <w:tcPr>
            <w:tcW w:w="4940" w:type="dxa"/>
            <w:vAlign w:val="bottom"/>
            <w:tcBorders>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w w:val="99"/>
              </w:rPr>
              <w:t>$2,437,500 (7.5% per annum)</w:t>
            </w:r>
          </w:p>
        </w:tc>
      </w:tr>
      <w:tr>
        <w:trPr>
          <w:trHeight w:val="102"/>
        </w:trPr>
        <w:tc>
          <w:tcPr>
            <w:tcW w:w="1480" w:type="dxa"/>
            <w:vAlign w:val="bottom"/>
            <w:tcBorders>
              <w:left w:val="single" w:sz="8" w:color="auto"/>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r>
    </w:tbl>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Notwithstanding anything herein to the contrary, the entire outstanding principal balance of the Term A-1 Loans shall be due and payable in full in cash on the Maturity Date with respect to the Term A-1 Loan Facility.</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b w:val="1"/>
          <w:bCs w:val="1"/>
          <w:u w:val="single" w:color="auto"/>
          <w:color w:val="auto"/>
        </w:rPr>
        <w:t>Revolving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A-1 Commitments</w:t>
      </w:r>
      <w:r>
        <w:rPr>
          <w:rFonts w:ascii="Times New Roman" w:cs="Times New Roman" w:eastAsia="Times New Roman" w:hAnsi="Times New Roman"/>
          <w:sz w:val="20"/>
          <w:szCs w:val="20"/>
          <w:color w:val="auto"/>
        </w:rPr>
        <w:t xml:space="preserve">. Subject to the terms and conditions hereof and relying upon the representations and warranties of the Loan Parties set forth herein and in the other Loan Documents, each Revolving A-1 Loan Lender severally agrees to make Revolving A-1 Loans to the Borrower at any time or from time to time on or after the Closing Date to, but not including, the Maturity Date with respect to the Revolving A-1 Credit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each such Revolving A-1 Loan, (i) the aggregate principal amount of such Revolving A-1 Loan Lender’s Revolving A-1 Loans shall not exceed its Available Revolving A-1 Commitment with respect to its Revolving A-1 Commitment and (ii) the Revolving A-1 Credit Facility Usage shall not exceed the Revolving A-1 Commitments. Each request by the Borrower for a Revolving A-1 Loan shall be deemed to be a representation by the Borrower that it shall be in compliance with the proviso at the end of the preceding sentence and with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after giving effect to the requested Revolving A-1 Loan. Within such limits of time and amount and subject to the other provisions of this Agreement, the Borrower may borrow, repay and reborrow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Revolving A-1 Loan Requests</w:t>
      </w:r>
      <w:r>
        <w:rPr>
          <w:rFonts w:ascii="Times New Roman" w:cs="Times New Roman" w:eastAsia="Times New Roman" w:hAnsi="Times New Roman"/>
          <w:sz w:val="20"/>
          <w:szCs w:val="20"/>
          <w:color w:val="auto"/>
        </w:rPr>
        <w:t>. Except as otherwise provided herein, the Borrower may from time to time prior to the Maturity Date request the Revolving A-1 Loan Lenders to make Revolving A-1 Loans by delivering to the Administrative Agent, not later than 11:00 a.m., (i) three (3) U.S. Government Securities Business Days prior to the Borrowing Date with respect to Term SOFR Rate Loans (or such shorter period of time as the Administrative Agent may agree in its sole discretion); and (ii) one (1) Business Day prior to the Borrowing Date with respect to Base Rate Loans (or such shorter period of time as the Administrative Agent may agree in its sole discretion), a duly completed Loan Request. Each such Loan Request shall be irrevocable and shall specify the aggregate amount of the proposed Revolving A-1 Loans comprising each Borrowing, and, if applicable, the Interest Period, which amounts shall be in (x) integral multiples of $100,000 and not less than $250,000 for each Borrowing under the Term SOFR Rate Option and (y) integral multiples of $100,000 and not less than $250,000 for each Borrowing under the Base Rate Option.</w:t>
      </w:r>
    </w:p>
    <w:p>
      <w:pPr>
        <w:spacing w:after="0" w:line="192"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2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Lenders’ Obligations with Respect to Revolving A-1 Loans</w:t>
      </w:r>
      <w:r>
        <w:rPr>
          <w:rFonts w:ascii="Times New Roman" w:cs="Times New Roman" w:eastAsia="Times New Roman" w:hAnsi="Times New Roman"/>
          <w:sz w:val="20"/>
          <w:szCs w:val="20"/>
          <w:color w:val="auto"/>
        </w:rPr>
        <w:t xml:space="preserve">. Each Revolving A-1 Loan Lender shall be obligated to participate in each request for Revolving A-1 Loans pursuant to this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in accordance with its Pro Rata Share. The obligations of each Revolving A-1 Loan Lender hereunder are several. The failure of any Revolving A-1 Loan Lender to perform its obligations hereunder shall not affect the Obligations of the Borrower to any other party nor shall any other party be liable for the failure of such Revolving A-1 Loan Lender to perform its obligations hereunder. Other than Revolving Loans in repayment of Swing Line Loans in accordance with </w:t>
      </w:r>
      <w:r>
        <w:rPr>
          <w:rFonts w:ascii="Times New Roman" w:cs="Times New Roman" w:eastAsia="Times New Roman" w:hAnsi="Times New Roman"/>
          <w:sz w:val="20"/>
          <w:szCs w:val="20"/>
          <w:u w:val="single" w:color="auto"/>
          <w:color w:val="auto"/>
        </w:rPr>
        <w:t>Section 2.3(e)</w:t>
      </w:r>
      <w:r>
        <w:rPr>
          <w:rFonts w:ascii="Times New Roman" w:cs="Times New Roman" w:eastAsia="Times New Roman" w:hAnsi="Times New Roman"/>
          <w:sz w:val="20"/>
          <w:szCs w:val="20"/>
          <w:color w:val="auto"/>
        </w:rPr>
        <w:t xml:space="preserve"> and/or Reimbursement Obligations in accordance with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the Revolving A-1 Loan Lenders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0" w:right="999" w:bottom="1440" w:gutter="0" w:footer="0" w:header="0"/>
        </w:sectPr>
      </w:pPr>
    </w:p>
    <w:bookmarkStart w:id="311" w:name="page312"/>
    <w:bookmarkEnd w:id="311"/>
    <w:p>
      <w:pPr>
        <w:spacing w:after="0" w:line="268" w:lineRule="auto"/>
        <w:rPr>
          <w:sz w:val="20"/>
          <w:szCs w:val="20"/>
          <w:color w:val="auto"/>
        </w:rPr>
      </w:pPr>
      <w:r>
        <w:rPr>
          <w:rFonts w:ascii="Times New Roman" w:cs="Times New Roman" w:eastAsia="Times New Roman" w:hAnsi="Times New Roman"/>
          <w:sz w:val="20"/>
          <w:szCs w:val="20"/>
          <w:color w:val="auto"/>
        </w:rPr>
        <w:t>have no obligation to make Revolving A-1 Loans hereunder on or after the Maturity Date with respect to the Revolving A-1 Credit Facility.</w:t>
      </w:r>
    </w:p>
    <w:p>
      <w:pPr>
        <w:spacing w:after="0" w:line="161" w:lineRule="exact"/>
        <w:rPr>
          <w:sz w:val="20"/>
          <w:szCs w:val="20"/>
          <w:color w:val="auto"/>
        </w:rPr>
      </w:pPr>
    </w:p>
    <w:p>
      <w:pPr>
        <w:jc w:val="both"/>
        <w:ind w:firstLine="1304"/>
        <w:spacing w:after="0" w:line="249" w:lineRule="auto"/>
        <w:tabs>
          <w:tab w:leader="none" w:pos="1944"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Revolving A-1 Loans</w:t>
      </w:r>
      <w:r>
        <w:rPr>
          <w:rFonts w:ascii="Times New Roman" w:cs="Times New Roman" w:eastAsia="Times New Roman" w:hAnsi="Times New Roman"/>
          <w:sz w:val="20"/>
          <w:szCs w:val="20"/>
          <w:color w:val="auto"/>
        </w:rPr>
        <w:t>. Notwithstanding anything herein or in any other Loan Document to the contrary, the Borrower shall repay the entire outstanding principal amount of Revolving A-1 Loans, together with all outstanding interest thereon and unpaid fees with respect thereto, on the Maturity Date with respect to the Revolving A-1 Credit Facility.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b w:val="1"/>
          <w:bCs w:val="1"/>
          <w:u w:val="single" w:color="auto"/>
          <w:color w:val="auto"/>
        </w:rPr>
        <w:t>Swing Line Loans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1" w:lineRule="auto"/>
        <w:tabs>
          <w:tab w:leader="none" w:pos="194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Commitments</w:t>
      </w:r>
      <w:r>
        <w:rPr>
          <w:rFonts w:ascii="Times New Roman" w:cs="Times New Roman" w:eastAsia="Times New Roman" w:hAnsi="Times New Roman"/>
          <w:sz w:val="20"/>
          <w:szCs w:val="20"/>
          <w:color w:val="auto"/>
        </w:rPr>
        <w:t xml:space="preserve">. Subject to the terms and conditions hereof and relying upon the agreements of the Revolving A-1 Loan Lenders set forth in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the Swing Line Lender shall make Swing Line Loans to the Borrower at any time or from time to time after the Closing Date to, but not including, the Maturity Date with respect to the Revolving A-1 Credit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such Swing Line Loan, (i) the aggregate amount of Swing Line Loans shall not exceed the Swing Line Commitment, and (ii) the Revolving A-1 Credit Facility Usage shall not exceed the Revolving A-1 Commitments. Each request by the Borrower for a Swing Line Loan shall be deemed to be a representation by the Borrower that it is in compliance with the proviso at the end of the preceding sentence and with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after giving effect to the requested Swing Line Loan. Within such limits of time and amount and subject to the other provisions of this Agreement, the Borrower may borrow, repay and reborrow Swing Line Loans in accordance with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The Borrower shall not use the proceeds of any Swing Line Loan to refinance any outstanding Swing Line Loan. If at any time the aggregate principal balance of the Swing Line Loans then outstanding exceeds the Swing Line Commitment, the Borrower shall be deemed to have requested the Revolving A-1 Loan Lenders to make Revolving A-1 Loans in the amount of the difference in the manner and pursuant to the terms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and such Revolving A-1 Loans shall be allocated on a pro rata basis to each Revolving A-1 Loan Lender based on its Pro Rata Share of its Revolving A-1 Commitment.</w:t>
      </w:r>
    </w:p>
    <w:p>
      <w:pPr>
        <w:spacing w:after="0" w:line="19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Management Arrangements</w:t>
      </w:r>
      <w:r>
        <w:rPr>
          <w:rFonts w:ascii="Times New Roman" w:cs="Times New Roman" w:eastAsia="Times New Roman" w:hAnsi="Times New Roman"/>
          <w:sz w:val="20"/>
          <w:szCs w:val="20"/>
          <w:color w:val="auto"/>
        </w:rPr>
        <w:t>. The Borrower and the Swing Line Lender may enter into a cash management agreement (including the CoBank Cash Management Agreement) providing for the automatic advance by the Swing Line Lender of Swing Line Loans under the conditions set forth in such agreement, which conditions shall be in addition to the conditions set forth herein and which shall be in form and substance reasonably acceptable to the Administrative Agent.</w:t>
      </w:r>
    </w:p>
    <w:p>
      <w:pPr>
        <w:spacing w:after="0" w:line="18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Swing Line Loan Requests</w:t>
      </w:r>
      <w:r>
        <w:rPr>
          <w:rFonts w:ascii="Times New Roman" w:cs="Times New Roman" w:eastAsia="Times New Roman" w:hAnsi="Times New Roman"/>
          <w:sz w:val="20"/>
          <w:szCs w:val="20"/>
          <w:color w:val="auto"/>
        </w:rPr>
        <w:t>. Except as otherwise provided herein, the Borrower may from time to time prior to the Maturity Date with respect to the Revolving A-1 Credit Facility request that the Swing Line Lender make Swing Line Loans by delivery to the Swing Line Lender (with a copy to the Administrative Agent) not later than 12:00 noon (or such later time as the applicable cash management agreement, if any, may permit or otherwise as the Swing Line Lender in its sole discretion may agree) on the proposed Borrowing Date of a duly completed and executed Loan Request, by telephonic request promptly followed by a duly completed and executed Loan Request, or by such other method of request as may be provided for in any applicable cash management agreement. Each such request shall be irrevocable and shall specify the proposed Borrowing Date and the principal amount of such Swing Line Loan. Minimum borrowing amounts shall not apply to Swing Line Loans, except as provided for in any applicable cash management agreement. Promptly after receipt of any such request for a Swing Line Loan, the Swing Line Lender will confirm with the Administrative Agent that the Administrative Agent received a copy of the same and, if not, provide the Administrative Agent with information regarding the requested Swing Line Loan.</w:t>
      </w:r>
    </w:p>
    <w:p>
      <w:pPr>
        <w:spacing w:after="0" w:line="187"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Making Swing Line Loans</w:t>
      </w:r>
      <w:r>
        <w:rPr>
          <w:rFonts w:ascii="Times New Roman" w:cs="Times New Roman" w:eastAsia="Times New Roman" w:hAnsi="Times New Roman"/>
          <w:sz w:val="20"/>
          <w:szCs w:val="20"/>
          <w:color w:val="auto"/>
        </w:rPr>
        <w:t>. So long as the Swing Line Lender elects to make a requested Swing Line Loan and so long as the Swing Line Lender has not received timely telephonic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2" w:name="page313"/>
    <w:bookmarkEnd w:id="312"/>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written notice from the Administrative Agent that one or more conditions precedent to the making of a Credit Extension under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have not been satisfied, the Swing Line Lender, after receipt by it of a Loan Request in accordance with </w:t>
      </w:r>
      <w:r>
        <w:rPr>
          <w:rFonts w:ascii="Times New Roman" w:cs="Times New Roman" w:eastAsia="Times New Roman" w:hAnsi="Times New Roman"/>
          <w:sz w:val="20"/>
          <w:szCs w:val="20"/>
          <w:u w:val="single" w:color="auto"/>
          <w:color w:val="auto"/>
        </w:rPr>
        <w:t>Section 2.3(c)</w:t>
      </w:r>
      <w:r>
        <w:rPr>
          <w:rFonts w:ascii="Times New Roman" w:cs="Times New Roman" w:eastAsia="Times New Roman" w:hAnsi="Times New Roman"/>
          <w:sz w:val="20"/>
          <w:szCs w:val="20"/>
          <w:color w:val="auto"/>
        </w:rPr>
        <w:t xml:space="preserve">, if it elects to make such Swing Line Loan in its sole discretion, shall fund such Swing Line Loan to the Borrower in Dollars and immediately available funds at the Principal Office prior to 2:00 p.m. or as otherwise agreed in any applicable cash management agreement on the Borrowing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any time that the CoBank Cash Management Agreement is in effect, the Swing Line Lender may waive, in its sole discretion, any one or more of the conditions precedent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with respect to the making of any Swing Line Loan.</w:t>
      </w:r>
    </w:p>
    <w:p>
      <w:pPr>
        <w:spacing w:after="0" w:line="185" w:lineRule="exact"/>
        <w:rPr>
          <w:sz w:val="20"/>
          <w:szCs w:val="20"/>
          <w:color w:val="auto"/>
        </w:rPr>
      </w:pPr>
    </w:p>
    <w:p>
      <w:pPr>
        <w:jc w:val="both"/>
        <w:ind w:firstLine="1304"/>
        <w:spacing w:after="0" w:line="241" w:lineRule="auto"/>
        <w:tabs>
          <w:tab w:leader="none" w:pos="19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Borrowings to Repay Swing Line Loans</w:t>
      </w:r>
      <w:r>
        <w:rPr>
          <w:rFonts w:ascii="Times New Roman" w:cs="Times New Roman" w:eastAsia="Times New Roman" w:hAnsi="Times New Roman"/>
          <w:sz w:val="20"/>
          <w:szCs w:val="20"/>
          <w:color w:val="auto"/>
        </w:rPr>
        <w:t xml:space="preserve">. The Swing Line Lender may, at its option, exercisable at any time for any reason whatsoever, request that the Administrative Agent demand repayment of the Swing Line Loans. Upon such request, the Administrative Agent shall demand repayment of the Swing Line Loans, and each Revolving A-1 Loan Lender shall make a Revolving A-1 Loan based on such Lender’s Pro Rata Share of the Revolving A-1 Commitments in an amount equal to such Lender’s Pro Rata Share of the aggregate principal amount of the outstanding Swing Line Loans,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if the Swing Line Lender has so requested, accrued interest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Revolving A-1 Loan Lender shall be obligated in any event to make Revolving A-1 Loans in excess of its Available Revolving A-1 Commitment. Revolving A-1 Loans made pursuant to the preceding sentence shall bear interest at the Base Rate Option and shall be deemed to have been properly requested in accordance with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without regard to any of the requirements of that provision. Each Revolving A-1 Loan Lender acknowledges and agrees that its obligations to fund Swing Line Loans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2.3(e)</w:t>
      </w:r>
      <w:r>
        <w:rPr>
          <w:rFonts w:ascii="Times New Roman" w:cs="Times New Roman" w:eastAsia="Times New Roman" w:hAnsi="Times New Roman"/>
          <w:sz w:val="20"/>
          <w:szCs w:val="20"/>
          <w:color w:val="auto"/>
        </w:rPr>
        <w:t xml:space="preserve"> and/or to acquire participations pursuant to </w:t>
      </w:r>
      <w:r>
        <w:rPr>
          <w:rFonts w:ascii="Times New Roman" w:cs="Times New Roman" w:eastAsia="Times New Roman" w:hAnsi="Times New Roman"/>
          <w:sz w:val="20"/>
          <w:szCs w:val="20"/>
          <w:u w:val="single" w:color="auto"/>
          <w:color w:val="auto"/>
        </w:rPr>
        <w:t>Section 2.3(f)</w:t>
      </w:r>
      <w:r>
        <w:rPr>
          <w:rFonts w:ascii="Times New Roman" w:cs="Times New Roman" w:eastAsia="Times New Roman" w:hAnsi="Times New Roman"/>
          <w:sz w:val="20"/>
          <w:szCs w:val="20"/>
          <w:color w:val="auto"/>
        </w:rPr>
        <w:t xml:space="preserve"> in respect of Swing Line Loans are absolute and unconditional and shall not be affected by any circumstance whatsoever, including the occurrence and continuance of a Default or an Event of Default or any failure by the Borrower to satisfy any of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The Administrative Agent shall provide notice to the Revolving A-1 Loan Lenders that such Revolving A-1 Loans are to be made under this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of the apportionment among the Revolving A-1 Loan Lenders, and the Revolving A-1 Loan Lenders shall be unconditionally obligated to fund such Revolving A-1 Loans (whether or not the conditions specified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are then satisfied) by the time requested by the Swing Line Lender and designated in such notice from the Administrative Agent, which shall not be earlier than 2:00 p.m. on the Business Day next after the date the Revolving A-1 Loan Lenders receive such notice from the Administrative Agent.</w:t>
      </w:r>
    </w:p>
    <w:p>
      <w:pPr>
        <w:spacing w:after="0" w:line="188"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Risk Participations in Swing Line Loans</w:t>
      </w:r>
      <w:r>
        <w:rPr>
          <w:rFonts w:ascii="Times New Roman" w:cs="Times New Roman" w:eastAsia="Times New Roman" w:hAnsi="Times New Roman"/>
          <w:sz w:val="20"/>
          <w:szCs w:val="20"/>
          <w:color w:val="auto"/>
        </w:rPr>
        <w:t>. Immediately upon the making of each Swing Line Loan, each Revolving A-1 Loan Lender shall be deemed to, and hereby irrevocably and unconditionally agrees to, purchase from the Swing Line Lender, without recourse or warranty, an undivided interest and participation in such Swing Line Loan based on such Lender’s Pro Rata Share of the Revolving A-1 Commitments in an amount equal to such Revolving A-1 Loan Lender’s Pro Rata Share of the principal amount of such Swing Line Loan, and such interest and participation may be recovered from such Revolving A-1 Loan Lender together with interest thereon at the Alternate Base Rate for each day during the period commencing on the date of demand and ending on the date such amount is received (subject to the limitation in clause (e) above that no Revolving Lender shall be obligated in any event to make Revolving A-1 Loans in excess of its Available Revolving A-1 Commitment).</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2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Swing Line Loans</w:t>
      </w:r>
      <w:r>
        <w:rPr>
          <w:rFonts w:ascii="Times New Roman" w:cs="Times New Roman" w:eastAsia="Times New Roman" w:hAnsi="Times New Roman"/>
          <w:sz w:val="20"/>
          <w:szCs w:val="20"/>
          <w:color w:val="auto"/>
        </w:rPr>
        <w:t>. On the Maturity Date with respect to the Revolving A-1 Credit Facility, if not sooner demanded, the Borrower shall repay in full the outstanding principal amount of the Swing Line Loans, together will all accrued and unpaid interest and any applicable fees.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3" w:name="page314"/>
    <w:bookmarkEnd w:id="31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b w:val="1"/>
          <w:bCs w:val="1"/>
          <w:u w:val="single" w:color="auto"/>
          <w:color w:val="auto"/>
        </w:rPr>
        <w:t>Incremental Facilities</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304"/>
        <w:spacing w:after="0" w:line="244" w:lineRule="auto"/>
        <w:tabs>
          <w:tab w:leader="none" w:pos="19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Commitments</w:t>
      </w:r>
      <w:r>
        <w:rPr>
          <w:rFonts w:ascii="Times New Roman" w:cs="Times New Roman" w:eastAsia="Times New Roman" w:hAnsi="Times New Roman"/>
          <w:sz w:val="20"/>
          <w:szCs w:val="20"/>
          <w:color w:val="auto"/>
        </w:rPr>
        <w:t>. Following the Closing Date, the Borrower may at any time or from time to time prior to the latest Maturity Date then in effect, by written notice from the Borrower to the Administrative Agent (an “</w:t>
      </w:r>
      <w:r>
        <w:rPr>
          <w:rFonts w:ascii="Times New Roman" w:cs="Times New Roman" w:eastAsia="Times New Roman" w:hAnsi="Times New Roman"/>
          <w:sz w:val="20"/>
          <w:szCs w:val="20"/>
          <w:b w:val="1"/>
          <w:bCs w:val="1"/>
          <w:color w:val="auto"/>
        </w:rPr>
        <w:t>Incremental Request</w:t>
      </w:r>
      <w:r>
        <w:rPr>
          <w:rFonts w:ascii="Times New Roman" w:cs="Times New Roman" w:eastAsia="Times New Roman" w:hAnsi="Times New Roman"/>
          <w:sz w:val="20"/>
          <w:szCs w:val="20"/>
          <w:color w:val="auto"/>
        </w:rPr>
        <w:t>”), request to (i) establish one or more additional Tranches of Term Loans under this Agreement (each, an “</w:t>
      </w:r>
      <w:r>
        <w:rPr>
          <w:rFonts w:ascii="Times New Roman" w:cs="Times New Roman" w:eastAsia="Times New Roman" w:hAnsi="Times New Roman"/>
          <w:sz w:val="20"/>
          <w:szCs w:val="20"/>
          <w:b w:val="1"/>
          <w:bCs w:val="1"/>
          <w:color w:val="auto"/>
        </w:rPr>
        <w:t>Incremental Term Loan Facility</w:t>
      </w:r>
      <w:r>
        <w:rPr>
          <w:rFonts w:ascii="Times New Roman" w:cs="Times New Roman" w:eastAsia="Times New Roman" w:hAnsi="Times New Roman"/>
          <w:sz w:val="20"/>
          <w:szCs w:val="20"/>
          <w:color w:val="auto"/>
        </w:rPr>
        <w:t>”), (ii) increase on one or more occasions any then-existing Term Loan Commitments (each, a “</w:t>
      </w:r>
      <w:r>
        <w:rPr>
          <w:rFonts w:ascii="Times New Roman" w:cs="Times New Roman" w:eastAsia="Times New Roman" w:hAnsi="Times New Roman"/>
          <w:sz w:val="20"/>
          <w:szCs w:val="20"/>
          <w:b w:val="1"/>
          <w:bCs w:val="1"/>
          <w:color w:val="auto"/>
        </w:rPr>
        <w:t>Term Loan Increase</w:t>
      </w:r>
      <w:r>
        <w:rPr>
          <w:rFonts w:ascii="Times New Roman" w:cs="Times New Roman" w:eastAsia="Times New Roman" w:hAnsi="Times New Roman"/>
          <w:sz w:val="20"/>
          <w:szCs w:val="20"/>
          <w:color w:val="auto"/>
        </w:rPr>
        <w:t>”), (iii) increase on one or more occasions any then-existing Revolving Commitments (each, a “</w:t>
      </w:r>
      <w:r>
        <w:rPr>
          <w:rFonts w:ascii="Times New Roman" w:cs="Times New Roman" w:eastAsia="Times New Roman" w:hAnsi="Times New Roman"/>
          <w:sz w:val="20"/>
          <w:szCs w:val="20"/>
          <w:b w:val="1"/>
          <w:bCs w:val="1"/>
          <w:color w:val="auto"/>
        </w:rPr>
        <w:t>Revolving Increase</w:t>
      </w:r>
      <w:r>
        <w:rPr>
          <w:rFonts w:ascii="Times New Roman" w:cs="Times New Roman" w:eastAsia="Times New Roman" w:hAnsi="Times New Roman"/>
          <w:sz w:val="20"/>
          <w:szCs w:val="20"/>
          <w:color w:val="auto"/>
        </w:rPr>
        <w:t>”), or (iv) establish one or more additional incremental revolving facilities (each, an “</w:t>
      </w:r>
      <w:r>
        <w:rPr>
          <w:rFonts w:ascii="Times New Roman" w:cs="Times New Roman" w:eastAsia="Times New Roman" w:hAnsi="Times New Roman"/>
          <w:sz w:val="20"/>
          <w:szCs w:val="20"/>
          <w:b w:val="1"/>
          <w:bCs w:val="1"/>
          <w:color w:val="auto"/>
        </w:rPr>
        <w:t>Incremental Revolving Facility</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Requests</w:t>
      </w:r>
      <w:r>
        <w:rPr>
          <w:rFonts w:ascii="Times New Roman" w:cs="Times New Roman" w:eastAsia="Times New Roman" w:hAnsi="Times New Roman"/>
          <w:sz w:val="20"/>
          <w:szCs w:val="20"/>
          <w:color w:val="auto"/>
        </w:rPr>
        <w:t xml:space="preserve">. Each Incremental Request from the Borrower pursuant to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shall specify (i) the amount of the Incremental Facility requested (which such Incremental Facility shall not, together with all other Incremental Facilities made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exceed the Maximum Incremental Amount, and shall be in a minimum principal amount of $25,000,000), (ii) the requested closing or funding date, as applicable, of the proposed Incremental Facility (which shall be not less than thirty (30) days from the date of delivery of the Incremental Request (or such shorter period of time as to which the Administrative Agent may agree in its sole discretion)), (iii) the Interest Rate Option(s) and the Applicable Margin(s) to be applicable to all Incremental Loans if requesting an Additional Incremental Facility, (iv) the amortization, if any, for all Incremental Loans if requesting an Additional Incremental Facility, and (v) the amount of any upfront or closing fees to be paid by the Borrower to the Incremental Lenders providing the Incremental Facility requested.</w:t>
      </w:r>
    </w:p>
    <w:p>
      <w:pPr>
        <w:spacing w:after="0" w:line="192" w:lineRule="exact"/>
        <w:rPr>
          <w:rFonts w:ascii="Times New Roman" w:cs="Times New Roman" w:eastAsia="Times New Roman" w:hAnsi="Times New Roman"/>
          <w:sz w:val="20"/>
          <w:szCs w:val="20"/>
          <w:color w:val="auto"/>
        </w:rPr>
      </w:pPr>
    </w:p>
    <w:p>
      <w:pPr>
        <w:jc w:val="both"/>
        <w:ind w:firstLine="1304"/>
        <w:spacing w:after="0"/>
        <w:tabs>
          <w:tab w:leader="none" w:pos="1944" w:val="left"/>
        </w:tabs>
        <w:numPr>
          <w:ilvl w:val="0"/>
          <w:numId w:val="2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Lenders</w:t>
      </w:r>
      <w:r>
        <w:rPr>
          <w:rFonts w:ascii="Times New Roman" w:cs="Times New Roman" w:eastAsia="Times New Roman" w:hAnsi="Times New Roman"/>
          <w:sz w:val="20"/>
          <w:szCs w:val="20"/>
          <w:color w:val="auto"/>
        </w:rPr>
        <w:t>. Upon receipt of an Incremental Request from the Borrower, the Administrative Agent shall offer the Lenders the opportunity to participate in the requested Incremental Facility in such amounts that would allow such Lender to maintain its percentage of the Total Credit Exposures of all Lenders. Each Lender that fails to respond to such a notice in writing in a form acceptable to the Administrative Agent within the period of time provided therein shall be deemed to have elected not to participate in such Incremental Facility. No Lender shall have any obligation to fund Loans pursuant to, or commit to provide, any Incremental Facility, and any decision by a Lender to fund Loans pursuant to, or commit to provide, any Incremental Facility shall be made in its sole discretion independently from any other Lender. If in response to the offer to participate in any Incremental Facility made by the Administrative Agent, the Administrative Agent receives commitments from Lenders in excess of the requested Incremental Facility, the Administrative Agent shall have the right, in its sole discretion, to reduce and reallocate (within the minimum and maximum amounts specified by each such Lender in its notice to the Administrative Agent) the shares of the Incremental Facility of the Lenders willing to fund (or commit to fund) such Incremental Facility so that the total committed Incremental Facility equals the requested Incremental Facility. If the Administrative Agent has not received commitments from Lenders in an amount equal to or greater than the requested Incremental Facility within ten (10) Business Days of receipt of an Incremental Request from the Borrower, at the Borrower’s election, the portion of the Borrower’s Incremental Request which remains uncommitted may be offered to new lenders which are Eligible Assignees and which are reasonably acceptable to the Borrower and the Administrative Agent (each such lender, an “</w:t>
      </w:r>
      <w:r>
        <w:rPr>
          <w:rFonts w:ascii="Times New Roman" w:cs="Times New Roman" w:eastAsia="Times New Roman" w:hAnsi="Times New Roman"/>
          <w:sz w:val="20"/>
          <w:szCs w:val="20"/>
          <w:b w:val="1"/>
          <w:bCs w:val="1"/>
          <w:color w:val="auto"/>
        </w:rPr>
        <w:t>Additional Incremental Lender</w:t>
      </w:r>
      <w:r>
        <w:rPr>
          <w:rFonts w:ascii="Times New Roman" w:cs="Times New Roman" w:eastAsia="Times New Roman" w:hAnsi="Times New Roman"/>
          <w:sz w:val="20"/>
          <w:szCs w:val="20"/>
          <w:color w:val="auto"/>
        </w:rPr>
        <w:t>”). If the Administrative Agent receives commitments from Additional Incremental Lenders in excess of the remaining uncommitted portion of the requested Incremental Facility, the Borrower and the Administrative Agent shall reduce and reallocate (within the minimum and maximum amounts specified by each such Lender in its notice to the Administrative Agent) the shares of the Incremental Facility of the Additional Incremental Lenders willing to fund (or commit to fund) such Incremental Facility so that the total committed Incremental Facility equals the requested Incremental Facility. If the Administrative Agent does not receive commitments from Lenders or Additional Incremental Lenders in an amount sufficient to fund the requested Incremental Facility, the Administrative Agent shall so notify the Borrower and the request for such Incremental Facility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14" w:name="page315"/>
    <w:bookmarkEnd w:id="314"/>
    <w:p>
      <w:pPr>
        <w:spacing w:after="0" w:line="268" w:lineRule="auto"/>
        <w:rPr>
          <w:sz w:val="20"/>
          <w:szCs w:val="20"/>
          <w:color w:val="auto"/>
        </w:rPr>
      </w:pPr>
      <w:r>
        <w:rPr>
          <w:rFonts w:ascii="Times New Roman" w:cs="Times New Roman" w:eastAsia="Times New Roman" w:hAnsi="Times New Roman"/>
          <w:sz w:val="20"/>
          <w:szCs w:val="20"/>
          <w:color w:val="auto"/>
        </w:rPr>
        <w:t>deemed automatically rescinded; provided that the Borrower may submit a replacement Incremental Request setting forth different terms for the requested Incremental Facility.</w:t>
      </w:r>
    </w:p>
    <w:p>
      <w:pPr>
        <w:spacing w:after="0" w:line="161" w:lineRule="exact"/>
        <w:rPr>
          <w:sz w:val="20"/>
          <w:szCs w:val="20"/>
          <w:color w:val="auto"/>
        </w:rPr>
      </w:pPr>
    </w:p>
    <w:p>
      <w:pPr>
        <w:jc w:val="both"/>
        <w:ind w:firstLine="1304"/>
        <w:spacing w:after="0" w:line="241" w:lineRule="auto"/>
        <w:tabs>
          <w:tab w:leader="none" w:pos="1944" w:val="left"/>
        </w:tabs>
        <w:numPr>
          <w:ilvl w:val="0"/>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Incremental Amendment</w:t>
      </w:r>
      <w:r>
        <w:rPr>
          <w:rFonts w:ascii="Times New Roman" w:cs="Times New Roman" w:eastAsia="Times New Roman" w:hAnsi="Times New Roman"/>
          <w:sz w:val="20"/>
          <w:szCs w:val="20"/>
          <w:color w:val="auto"/>
        </w:rPr>
        <w:t>. All Incremental Commitments shall become Commitments (or in the case of a Term Loan Increase or a Revolving Increase to be provided by an existing Lender with an existing Term Loan Commitment or an existing Revolving Commitment, respectively, as applicable, an increase in such Lender’s applicable existing Commitment) under this Agreement pursuant to an amendment (an “</w:t>
      </w:r>
      <w:r>
        <w:rPr>
          <w:rFonts w:ascii="Times New Roman" w:cs="Times New Roman" w:eastAsia="Times New Roman" w:hAnsi="Times New Roman"/>
          <w:sz w:val="20"/>
          <w:szCs w:val="20"/>
          <w:b w:val="1"/>
          <w:bCs w:val="1"/>
          <w:color w:val="auto"/>
        </w:rPr>
        <w:t>Incremental Amendment</w:t>
      </w:r>
      <w:r>
        <w:rPr>
          <w:rFonts w:ascii="Times New Roman" w:cs="Times New Roman" w:eastAsia="Times New Roman" w:hAnsi="Times New Roman"/>
          <w:sz w:val="20"/>
          <w:szCs w:val="20"/>
          <w:color w:val="auto"/>
        </w:rPr>
        <w:t xml:space="preserve">”) to this Agreement and, as appropriate, the other Loan Documents, executed by each Borrower, each Incremental Lender providing such Incremental Commitments and the Administrative Agent. The Incremental Amendment may, without the consent of any other Lender,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Each such Incremental Amendment shall specify the terms of the Incremental Facility (including the conditions to effectiveness of such Incremental Amendment and any other documentation entered into in connection therewith and to the making of any loans or other extensions of credit thereunder (including as to (x) when such conditions must be satisfied (as between execution of such Incremental Amendment and incurrence of loans or other extensions of credit thereunder) and (y) the scope of any representations and warranties to be made)), which shall be as agreed among the Borrower and the applicable Incremental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shall exist at the time of or result immediately before or immediately after giving effect to any such Incremental Facility;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to the extent the proceeds of an Incremental Term Loan Facility are used to finance a Limited Condition Acquisition, compliance with the foregoing shall, at the Borrower’s election, be tested as of the date of execution and effectiveness of the Acquisition Agreement for such Limited Condition Acquisition in lieu of the date of consummation of such Limited Condition Acquisition;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the foregoing proviso, no Specified Event of Default shall exist at the time or result after giving effect to such Limited Condition Acquisition on the closing date of such Limited Condition Acquisition.</w:t>
      </w:r>
    </w:p>
    <w:p>
      <w:pPr>
        <w:spacing w:after="0" w:line="185" w:lineRule="exact"/>
        <w:rPr>
          <w:rFonts w:ascii="Times New Roman" w:cs="Times New Roman" w:eastAsia="Times New Roman" w:hAnsi="Times New Roman"/>
          <w:sz w:val="20"/>
          <w:szCs w:val="20"/>
          <w:color w:val="auto"/>
        </w:rPr>
      </w:pPr>
    </w:p>
    <w:p>
      <w:pPr>
        <w:ind w:right="20" w:firstLine="1952"/>
        <w:spacing w:after="0" w:line="269" w:lineRule="auto"/>
        <w:tabs>
          <w:tab w:leader="none" w:pos="259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scheduled maturity date of any Loan under an Incremental Term Loan Commitment shall be no earlier than the Maturity Date of any existing Term Loan outstanding as of such date;</w:t>
      </w:r>
    </w:p>
    <w:p>
      <w:pPr>
        <w:spacing w:after="0" w:line="159"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applicable effective yield (including interest rate margins, any interest rate floors, original issue discount and upfront fees (based on the shorter of a four- year average life to maturity and actual average life to maturity), but excluding arrangement, structuring, underwriting, consent, commitment and similar fees that are not payable by any Borrower generally to all lenders) for any Incremental Commitment exceeds by more than 0.75% the applicable effective yield for the Existing Facilities for the applicable Class (the amount of such excess above 0.75% being referred to herein as the “</w:t>
      </w:r>
      <w:r>
        <w:rPr>
          <w:rFonts w:ascii="Times New Roman" w:cs="Times New Roman" w:eastAsia="Times New Roman" w:hAnsi="Times New Roman"/>
          <w:sz w:val="20"/>
          <w:szCs w:val="20"/>
          <w:b w:val="1"/>
          <w:bCs w:val="1"/>
          <w:color w:val="auto"/>
        </w:rPr>
        <w:t>Yield Differential</w:t>
      </w:r>
      <w:r>
        <w:rPr>
          <w:rFonts w:ascii="Times New Roman" w:cs="Times New Roman" w:eastAsia="Times New Roman" w:hAnsi="Times New Roman"/>
          <w:sz w:val="20"/>
          <w:szCs w:val="20"/>
          <w:color w:val="auto"/>
        </w:rPr>
        <w:t xml:space="preserve">”), the applicable effective yield with respect to the applicable Existing Facilities, as the case may be, shall automatically be increased by the Yield Differential, effective as of the incurrence of such Incremental Commitment (it being agreed that any increase to the effective yield of an Existing Facility required as a result of this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and attributable to a difference between any rate floor applicable to an Incremental Commitment and any rate floor applicable to the applicable Existing Facility shall be effected solely through an increase in the corresponding rate floor applicable to the Existing Facility);</w:t>
      </w:r>
    </w:p>
    <w:p>
      <w:pPr>
        <w:spacing w:after="0" w:line="18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2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weighted average life of any Incremental Term Loan Facility shall be equal to or greater than the weighted average life of each existing Term Loan Facility outstanding as of such date, determined as of the initial funding date of such Incremental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5" w:name="page316"/>
    <w:bookmarkEnd w:id="315"/>
    <w:p>
      <w:pPr>
        <w:ind w:firstLine="1952"/>
        <w:spacing w:after="0" w:line="268" w:lineRule="auto"/>
        <w:tabs>
          <w:tab w:leader="none" w:pos="2592"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Revolving Increase or Term Loan Increase shall be on the same terms (including covenants, maturity date and interest rate) as the equivalent Existing Facility;</w:t>
      </w:r>
    </w:p>
    <w:p>
      <w:pPr>
        <w:spacing w:after="0" w:line="160"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pricing, upfront, arrangement, structuring, underwriting, ticking, consent, amendment and other fees, any Incremental Revolving Facility shall be on the same terms (including covenants and maturity date) as the equivalent Existing Facility;</w:t>
      </w:r>
    </w:p>
    <w:p>
      <w:pPr>
        <w:spacing w:after="0" w:line="174"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1"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after giving effect to any Incremental Facility, the Loan Parties shall be in pro forma compliance with the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(x) in no event shall the proceeds of any Incremental Facility be netted in calculating such financial covenant (except to the extent actually utilized to repay Indebtedness), and (y) solely to the extent the proceeds of an Incremental Term Loan Commitment are used or to be used to finance a Limited Condition Acquisition, at the Borrower’s election, such financial covenant shall be tested as of the date of execution and effectiveness of the Acquisition Agreement for such Limited Condition Acquisition in lieu of the date of consummation of such Limited Condition Acquisition;</w:t>
      </w:r>
    </w:p>
    <w:p>
      <w:pPr>
        <w:spacing w:after="0" w:line="185"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Incremental Term Loan Facility shall share mandatory and voluntary prepayments ratably with the equivalent Existing Facilities;</w:t>
      </w:r>
    </w:p>
    <w:p>
      <w:pPr>
        <w:spacing w:after="0" w:line="159"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92"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Loan Parties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this Agreement shall then be true and correct, except such representations and warranties that are not qualified in this Agreement by reference to materiality or a Material Adverse Change shall then be true and correct in all material respects as of such date (except for any such representation and warranty that by its terms is made only as of an earlier date, which representation and warranty shall remain true and correct in all material respects as of such earlier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solely to the extent the proceeds of an Incremental Term Loan Facility are used to finance a Limited Condition Acquisition, at the Borrower’s election, compliance with the foregoing shall be tested as of the date of execution and effectiveness of the Acquisition Agreement for such Limited Condition Acquisition in lieu of the date of consummation of such Limited Condition Acquisition;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notwithstanding the foregoing proviso, the Specified Representations shall be true and correct as of the closing date of such Limited Condition Acquisition, except such representations and warranties that are not qualified in this Agreement by reference to materiality or a Material Adverse Change (or similar term as defined in the applicable Acquisition Agreement) shall then be true and correct in all material respects as of such date (except for any such representation and warranty that by its terms is made only as of an earlier date, which representation and warranty shall remain true and correct in all material respects as of such earlier date); and</w:t>
      </w:r>
    </w:p>
    <w:p>
      <w:pPr>
        <w:spacing w:after="0" w:line="19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required in the foregoing clauses (i) through (ix), any representation, covenant or event of default applicable to an Incremental Facility that is more restrictive than the equivalent representation, covenant or Event of Default set forth in this Agreement or any other Loan Document (other than any such terms applicable to an Incremental Facility that apply only to periods after the latest Maturity Date) shall be deemed to be applicable to the Existing Facilities.</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Revolving Credit Exposure</w:t>
      </w:r>
      <w:r>
        <w:rPr>
          <w:rFonts w:ascii="Times New Roman" w:cs="Times New Roman" w:eastAsia="Times New Roman" w:hAnsi="Times New Roman"/>
          <w:sz w:val="20"/>
          <w:szCs w:val="20"/>
          <w:color w:val="auto"/>
        </w:rPr>
        <w:t>. With respect to any Tranche of Revolving Loans affected by the implementation of any Revolving Increase, the Borrower shall in coordination with the Administrative Agent repay outstanding Revolving Loans in such Tranche of certain Revolving Lenders and obtain additional Revolving Loans in such Tranche from other Revolving Lenders (both existing and new), in each case, to the extent necessary so that all Revolving Lenders participate in outstanding Revolving Loans in such Tranche ratably, on the basis of their respective Pro Rata Share of the applicable Revolving Commitments, after giving effect to the increase in the aggregate Revolving Commitments effected by implementation of such Revolving Increase. Each Revolving Lender (both existing and new) participating in a Revolving Increase with respect to the Revolving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6" w:name="page317"/>
    <w:bookmarkEnd w:id="316"/>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Commitments (i) will be deemed to have purchased a participation in each then outstanding Letter of Credit equal to its Pro Rata Share of such Letter of Credit in accordance with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and the participation of each other Revolving Lender in such Letter of Credit shall be adjusted accordingly, (ii) will acquire (and will pay to the Administrative Agent, for the account of each other applicable Revolving Lender, in immediately available funds, an amount equal to) its Pro Rata Share of all outstanding Participation Advances and (iii) will be deemed to have purchased a participation in each then outstanding Swing Line Loan equal to its Pro Rata Share of such Swing Line Loan in accordance with </w:t>
      </w: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and the participation of each other Revolving Lender in such Swing Line Loan shall be adjusted accordingly. The Administrative Agent and the Lenders hereby agree that the minimum borrowing, pro rata borrowing and pro rata payment requirements contained elsewhere in this Agreement shall not apply to the transactions effected pursuant to this </w:t>
      </w:r>
      <w:r>
        <w:rPr>
          <w:rFonts w:ascii="Times New Roman" w:cs="Times New Roman" w:eastAsia="Times New Roman" w:hAnsi="Times New Roman"/>
          <w:sz w:val="20"/>
          <w:szCs w:val="20"/>
          <w:u w:val="single" w:color="auto"/>
          <w:color w:val="auto"/>
        </w:rPr>
        <w:t>Section 2.5(e)</w:t>
      </w:r>
      <w:r>
        <w:rPr>
          <w:rFonts w:ascii="Times New Roman" w:cs="Times New Roman" w:eastAsia="Times New Roman" w:hAnsi="Times New Roman"/>
          <w:sz w:val="20"/>
          <w:szCs w:val="20"/>
          <w:color w:val="auto"/>
        </w:rPr>
        <w:t>.</w:t>
      </w:r>
    </w:p>
    <w:p>
      <w:pPr>
        <w:spacing w:after="0" w:line="185" w:lineRule="exact"/>
        <w:rPr>
          <w:sz w:val="20"/>
          <w:szCs w:val="20"/>
          <w:color w:val="auto"/>
        </w:rPr>
      </w:pPr>
    </w:p>
    <w:p>
      <w:pPr>
        <w:jc w:val="both"/>
        <w:ind w:firstLine="1304"/>
        <w:spacing w:after="0" w:line="249" w:lineRule="auto"/>
        <w:tabs>
          <w:tab w:leader="none" w:pos="1944" w:val="left"/>
        </w:tabs>
        <w:numPr>
          <w:ilvl w:val="0"/>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xml:space="preserve">. The Administrative Agent shall record relevant information regarding each Incremental Facility (including information with respect to Additional Incremental Lenders) in the Register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11.7(c)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failure to make any such recordation, or any error in such recordation, shall not affect the Borrower’s obligations in respect of any Incremental Commitment or Incremental Facility.</w:t>
      </w:r>
    </w:p>
    <w:p>
      <w:pPr>
        <w:spacing w:after="0" w:line="1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2.6 </w:t>
      </w:r>
      <w:r>
        <w:rPr>
          <w:rFonts w:ascii="Times New Roman" w:cs="Times New Roman" w:eastAsia="Times New Roman" w:hAnsi="Times New Roman"/>
          <w:sz w:val="20"/>
          <w:szCs w:val="20"/>
          <w:b w:val="1"/>
          <w:bCs w:val="1"/>
          <w:u w:val="single" w:color="auto"/>
          <w:color w:val="auto"/>
        </w:rPr>
        <w:t>Interest Rate Provisions</w:t>
      </w:r>
      <w:r>
        <w:rPr>
          <w:rFonts w:ascii="Times New Roman" w:cs="Times New Roman" w:eastAsia="Times New Roman" w:hAnsi="Times New Roman"/>
          <w:sz w:val="20"/>
          <w:szCs w:val="20"/>
          <w:color w:val="auto"/>
        </w:rPr>
        <w:t xml:space="preserve">. The Borrower shall pay interest in respect of the outstanding unpaid principal amount of the Loans, it being understood that, subject to the provisions of this Agreement, the Borrower may select different Interest Rate Options and different Interest Periods to apply to different Borrowings at any time outstanding and may convert to or renew one or more Interest Rate Options with respect to all or any portion of any Borrowing (subject to minimum amounts set forth in </w:t>
      </w:r>
      <w:r>
        <w:rPr>
          <w:rFonts w:ascii="Times New Roman" w:cs="Times New Roman" w:eastAsia="Times New Roman" w:hAnsi="Times New Roman"/>
          <w:sz w:val="20"/>
          <w:szCs w:val="20"/>
          <w:u w:val="single" w:color="auto"/>
          <w:color w:val="auto"/>
        </w:rPr>
        <w:t>Sections 2.1(b)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2.5(b)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not be at any one time outstanding more than five (5) Borrowings of Term SOFR Rate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a Default or an Event of Default has occurred and is continuing, (x) the Borrower may not request, convert to, or renew any Term SOFR Rate Loans, and (y) immediately upon the occurrence and during the continuation of an Event of Default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or immediately after written demand by the Administrative Agent (or by the Required Lenders to the Administrative Agent) after the occurrence and during the continuation of any other Event of Default, any Term SOFR Rate Loans will convert to Base Rate Loans. If at any time the designated rate applicable to any Loan made by any Lender exceeds the Maximum Rate, the rate of interest on such Lender’s Loan shall be limited to such Lender’s Maximum Rate.</w:t>
      </w:r>
    </w:p>
    <w:p>
      <w:pPr>
        <w:spacing w:after="0" w:line="191" w:lineRule="exact"/>
        <w:rPr>
          <w:sz w:val="20"/>
          <w:szCs w:val="20"/>
          <w:color w:val="auto"/>
        </w:rPr>
      </w:pPr>
    </w:p>
    <w:p>
      <w:pPr>
        <w:jc w:val="both"/>
        <w:ind w:firstLine="1304"/>
        <w:spacing w:after="0" w:line="249" w:lineRule="auto"/>
        <w:tabs>
          <w:tab w:leader="none" w:pos="1944"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Rate Options</w:t>
      </w:r>
      <w:r>
        <w:rPr>
          <w:rFonts w:ascii="Times New Roman" w:cs="Times New Roman" w:eastAsia="Times New Roman" w:hAnsi="Times New Roman"/>
          <w:sz w:val="20"/>
          <w:szCs w:val="20"/>
          <w:color w:val="auto"/>
        </w:rPr>
        <w:t xml:space="preserve">. Swing Line Loans and all other Obligations not constituting Term Loans or Revolving Loans shall bear interest calculated based upon the Base Rate Option. Subject to the limitations set forth in </w:t>
      </w:r>
      <w:r>
        <w:rPr>
          <w:rFonts w:ascii="Times New Roman" w:cs="Times New Roman" w:eastAsia="Times New Roman" w:hAnsi="Times New Roman"/>
          <w:sz w:val="20"/>
          <w:szCs w:val="20"/>
          <w:u w:val="single" w:color="auto"/>
          <w:color w:val="auto"/>
        </w:rPr>
        <w:t>Sections 3.4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 the Borrower shall have the right to select from the following Interest Rate Options applicable to the Term Loans and Revolving Loans:</w:t>
      </w:r>
    </w:p>
    <w:p>
      <w:pPr>
        <w:spacing w:after="0" w:line="175" w:lineRule="exact"/>
        <w:rPr>
          <w:rFonts w:ascii="Times New Roman" w:cs="Times New Roman" w:eastAsia="Times New Roman" w:hAnsi="Times New Roman"/>
          <w:sz w:val="20"/>
          <w:szCs w:val="20"/>
          <w:color w:val="auto"/>
        </w:rPr>
      </w:pPr>
    </w:p>
    <w:p>
      <w:pPr>
        <w:ind w:firstLine="1952"/>
        <w:spacing w:after="0" w:line="273" w:lineRule="auto"/>
        <w:tabs>
          <w:tab w:leader="none" w:pos="2592"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Base Rate Option</w:t>
      </w:r>
      <w:r>
        <w:rPr>
          <w:rFonts w:ascii="Times New Roman" w:cs="Times New Roman" w:eastAsia="Times New Roman" w:hAnsi="Times New Roman"/>
          <w:sz w:val="20"/>
          <w:szCs w:val="20"/>
          <w:color w:val="auto"/>
        </w:rPr>
        <w:t>: An option to pay interest at a fluctuating rate per annum equal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Alternate Base Rate in effect as of any date of determination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as of such date; or</w:t>
      </w:r>
    </w:p>
    <w:p>
      <w:pPr>
        <w:spacing w:after="0" w:line="151"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1"/>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Term SOFR Rate Option</w:t>
      </w:r>
      <w:r>
        <w:rPr>
          <w:rFonts w:ascii="Times New Roman" w:cs="Times New Roman" w:eastAsia="Times New Roman" w:hAnsi="Times New Roman"/>
          <w:sz w:val="20"/>
          <w:szCs w:val="20"/>
          <w:color w:val="auto"/>
        </w:rPr>
        <w:t>: An option to pay interest at a fluctuating rate per annum equal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the Adjusted Term SOFR Rate with respect to the applicable Interest Period and as in effect as of any date of determination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 as of such date.</w:t>
      </w:r>
    </w:p>
    <w:p>
      <w:pPr>
        <w:spacing w:after="0" w:line="172"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Day Count Basis</w:t>
      </w:r>
      <w:r>
        <w:rPr>
          <w:rFonts w:ascii="Times New Roman" w:cs="Times New Roman" w:eastAsia="Times New Roman" w:hAnsi="Times New Roman"/>
          <w:sz w:val="20"/>
          <w:szCs w:val="20"/>
          <w:color w:val="auto"/>
        </w:rPr>
        <w:t xml:space="preserve">. Interest and fees shall be calculated on the basis of a 360-day year for the actual number of days elapsed (which results in more interest or fees, as the case may be, being paid than if calculated on the basis of a 365-day year);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with respect to Base Rate Loans incurring interest based on the Prime Rate shall be calculated on the basis of a 365/366-day year. The date of funding or conversion of a Term SOFR Rate Loan to a Base Rate Loan and the first day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7" w:name="page318"/>
    <w:bookmarkEnd w:id="31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Interest Period shall be included in the calculation of interest. The date of payment of any Loan and the last day of an Interest Period shall be excluded from the calculation of interest;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if a Loan is repaid on the same day that it is made, one (1) day’s interest shall be charged.</w:t>
      </w:r>
    </w:p>
    <w:p>
      <w:pPr>
        <w:spacing w:after="0" w:line="176" w:lineRule="exact"/>
        <w:rPr>
          <w:sz w:val="20"/>
          <w:szCs w:val="20"/>
          <w:color w:val="auto"/>
        </w:rPr>
      </w:pPr>
    </w:p>
    <w:p>
      <w:pPr>
        <w:jc w:val="both"/>
        <w:ind w:firstLine="1304"/>
        <w:spacing w:after="0" w:line="243" w:lineRule="auto"/>
        <w:tabs>
          <w:tab w:leader="none" w:pos="1944"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SOFR</w:t>
      </w:r>
      <w:r>
        <w:rPr>
          <w:rFonts w:ascii="Times New Roman" w:cs="Times New Roman" w:eastAsia="Times New Roman" w:hAnsi="Times New Roman"/>
          <w:sz w:val="20"/>
          <w:szCs w:val="20"/>
          <w:color w:val="auto"/>
        </w:rPr>
        <w:t>. In connection with the use or administration of the Term SOFR Rate and the Adjusted Term SOFR Rate and clause (c) of the definition of Alternate Base Rate,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Administrative Agent will promptly notify the Borrowers and the Lenders of the effectiveness of any Benchmark Replacement Conforming Changes in connection with the use or administration of the Term SOFR Rate, and the Adjusted Term SOFR Rate or clause (c) of the definition of the Alternate Base Rate.</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9"/>
          <w:szCs w:val="19"/>
          <w:color w:val="auto"/>
        </w:rPr>
        <w:t xml:space="preserve">2.7 </w:t>
      </w:r>
      <w:r>
        <w:rPr>
          <w:rFonts w:ascii="Times New Roman" w:cs="Times New Roman" w:eastAsia="Times New Roman" w:hAnsi="Times New Roman"/>
          <w:sz w:val="19"/>
          <w:szCs w:val="19"/>
          <w:b w:val="1"/>
          <w:bCs w:val="1"/>
          <w:u w:val="single" w:color="auto"/>
          <w:color w:val="auto"/>
        </w:rPr>
        <w:t>Interest Periods</w:t>
      </w:r>
      <w:r>
        <w:rPr>
          <w:rFonts w:ascii="Times New Roman" w:cs="Times New Roman" w:eastAsia="Times New Roman" w:hAnsi="Times New Roman"/>
          <w:sz w:val="19"/>
          <w:szCs w:val="19"/>
          <w:color w:val="auto"/>
        </w:rPr>
        <w:t xml:space="preserve">. In order to convert a Base Rate Loan (other than Swing Line Loans) or Term SOFR Rate Loan or continue a Term SOFR Rate Loan, the Borrower shall deliver to the Administrative Agent a duly completed, written request therefor substantially in the form of </w:t>
      </w:r>
      <w:r>
        <w:rPr>
          <w:rFonts w:ascii="Times New Roman" w:cs="Times New Roman" w:eastAsia="Times New Roman" w:hAnsi="Times New Roman"/>
          <w:sz w:val="19"/>
          <w:szCs w:val="19"/>
          <w:u w:val="single" w:color="auto"/>
          <w:color w:val="auto"/>
        </w:rPr>
        <w:t>Exhibit I</w:t>
      </w:r>
      <w:r>
        <w:rPr>
          <w:rFonts w:ascii="Times New Roman" w:cs="Times New Roman" w:eastAsia="Times New Roman" w:hAnsi="Times New Roman"/>
          <w:sz w:val="19"/>
          <w:szCs w:val="19"/>
          <w:color w:val="auto"/>
        </w:rPr>
        <w:t xml:space="preserve"> (each, a “</w:t>
      </w:r>
      <w:r>
        <w:rPr>
          <w:rFonts w:ascii="Times New Roman" w:cs="Times New Roman" w:eastAsia="Times New Roman" w:hAnsi="Times New Roman"/>
          <w:sz w:val="19"/>
          <w:szCs w:val="19"/>
          <w:b w:val="1"/>
          <w:bCs w:val="1"/>
          <w:color w:val="auto"/>
        </w:rPr>
        <w:t>Conversion or Continuation Notice</w:t>
      </w:r>
      <w:r>
        <w:rPr>
          <w:rFonts w:ascii="Times New Roman" w:cs="Times New Roman" w:eastAsia="Times New Roman" w:hAnsi="Times New Roman"/>
          <w:sz w:val="19"/>
          <w:szCs w:val="19"/>
          <w:color w:val="auto"/>
        </w:rPr>
        <w:t>”) not later than 11:00 a.m. (i) with respect to a conversion to or continuation of a Term SOFR Rate Loan, at least three (3) U.S. Government Securities Business Days prior to the proposed effective date of such conversion or continuation and (ii) with respect to a conversion to a Base Rate Loan, at least one (1) Business Day prior to the proposed effective date of such conversion. The Conversion or Continuation Notice shall specify (i) which Borrowings (including the principal amount thereof) are subject to such request, and, in the case of any Term SOFR Rate Loan to be converted or continued, the last day of the current Interest Period therefor, (ii) the proposed effective date of such conversion or continuation (which shall be a Business Day),</w:t>
      </w:r>
    </w:p>
    <w:p>
      <w:pPr>
        <w:spacing w:after="0" w:line="2" w:lineRule="exact"/>
        <w:rPr>
          <w:sz w:val="20"/>
          <w:szCs w:val="20"/>
          <w:color w:val="auto"/>
        </w:rPr>
      </w:pPr>
    </w:p>
    <w:p>
      <w:pPr>
        <w:jc w:val="both"/>
        <w:ind w:firstLine="8"/>
        <w:spacing w:after="0" w:line="241" w:lineRule="auto"/>
        <w:tabs>
          <w:tab w:leader="none" w:pos="356" w:val="left"/>
        </w:tabs>
        <w:numPr>
          <w:ilvl w:val="0"/>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Borrower is requesting a continuation of Term SOFR Rate Loans or a conversion of Borrowings from one interest rate option to another interest rate option, and (iv) if a continuation of or conversion to Term SOFR Rate Loans is requested, the requested Interest Period with respect thereto. In addition, the following provisions shall apply to any continuation of or conversion of any Borrowings:</w:t>
      </w:r>
    </w:p>
    <w:p>
      <w:pPr>
        <w:spacing w:after="0" w:line="188"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Amount of Loans</w:t>
      </w:r>
      <w:r>
        <w:rPr>
          <w:rFonts w:ascii="Times New Roman" w:cs="Times New Roman" w:eastAsia="Times New Roman" w:hAnsi="Times New Roman"/>
          <w:sz w:val="20"/>
          <w:szCs w:val="20"/>
          <w:color w:val="auto"/>
        </w:rPr>
        <w:t xml:space="preserve">. After giving effect to such conversion or continuation, each Borrowing of Term A-1 Loans, Revolving A-1 Loans and Incremental Loans shall be in an amount no less than the applicable minimum amount for Term A-1 Loans as set forth in </w:t>
      </w:r>
      <w:r>
        <w:rPr>
          <w:rFonts w:ascii="Times New Roman" w:cs="Times New Roman" w:eastAsia="Times New Roman" w:hAnsi="Times New Roman"/>
          <w:sz w:val="20"/>
          <w:szCs w:val="20"/>
          <w:u w:val="single" w:color="auto"/>
          <w:color w:val="auto"/>
        </w:rPr>
        <w:t>Section 2.1(a)</w:t>
      </w:r>
      <w:r>
        <w:rPr>
          <w:rFonts w:ascii="Times New Roman" w:cs="Times New Roman" w:eastAsia="Times New Roman" w:hAnsi="Times New Roman"/>
          <w:sz w:val="20"/>
          <w:szCs w:val="20"/>
          <w:color w:val="auto"/>
        </w:rPr>
        <w:t xml:space="preserve">, for Revolving A-1 Loans as set forth in </w:t>
      </w:r>
      <w:r>
        <w:rPr>
          <w:rFonts w:ascii="Times New Roman" w:cs="Times New Roman" w:eastAsia="Times New Roman" w:hAnsi="Times New Roman"/>
          <w:sz w:val="20"/>
          <w:szCs w:val="20"/>
          <w:u w:val="single" w:color="auto"/>
          <w:color w:val="auto"/>
        </w:rPr>
        <w:t>Section 2.2(b)</w:t>
      </w:r>
      <w:r>
        <w:rPr>
          <w:rFonts w:ascii="Times New Roman" w:cs="Times New Roman" w:eastAsia="Times New Roman" w:hAnsi="Times New Roman"/>
          <w:sz w:val="20"/>
          <w:szCs w:val="20"/>
          <w:color w:val="auto"/>
        </w:rPr>
        <w:t xml:space="preserve">, or for Incremental Loans as set forth in </w:t>
      </w:r>
      <w:r>
        <w:rPr>
          <w:rFonts w:ascii="Times New Roman" w:cs="Times New Roman" w:eastAsia="Times New Roman" w:hAnsi="Times New Roman"/>
          <w:sz w:val="20"/>
          <w:szCs w:val="20"/>
          <w:u w:val="single" w:color="auto"/>
          <w:color w:val="auto"/>
        </w:rPr>
        <w:t>Section 2.5(b)</w:t>
      </w:r>
      <w:r>
        <w:rPr>
          <w:rFonts w:ascii="Times New Roman" w:cs="Times New Roman" w:eastAsia="Times New Roman" w:hAnsi="Times New Roman"/>
          <w:sz w:val="20"/>
          <w:szCs w:val="20"/>
          <w:color w:val="auto"/>
        </w:rPr>
        <w:t xml:space="preserve"> and in the applicable Incremental Amendment.</w:t>
      </w:r>
    </w:p>
    <w:p>
      <w:pPr>
        <w:spacing w:after="0" w:line="17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Commencement of Interest Period</w:t>
      </w:r>
      <w:r>
        <w:rPr>
          <w:rFonts w:ascii="Times New Roman" w:cs="Times New Roman" w:eastAsia="Times New Roman" w:hAnsi="Times New Roman"/>
          <w:sz w:val="20"/>
          <w:szCs w:val="20"/>
          <w:color w:val="auto"/>
        </w:rPr>
        <w:t>. In the case of any borrowing of, conversion to or continuation of any Term SOFR Rate Loan, the Interest Period shall commence on the date of advance or continuation of, or conversion to, any Term SOFR Rate Loan and, in the case of immediately successive Interest Periods, each successive Interest Period shall commence on the date on which the immediately preceding Interest Period expires. Upon a conversion from a Term SOFR Rate Loan to a Base Rate Loan, interest at the Base Rate Option shall commence on the last day of the existing Interest Period.</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2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Selection of Interest Rate Options</w:t>
      </w:r>
      <w:r>
        <w:rPr>
          <w:rFonts w:ascii="Times New Roman" w:cs="Times New Roman" w:eastAsia="Times New Roman" w:hAnsi="Times New Roman"/>
          <w:sz w:val="20"/>
          <w:szCs w:val="20"/>
          <w:color w:val="auto"/>
        </w:rPr>
        <w:t xml:space="preserve">. If the Borrower elects to continue a Term SOFR Rate Loan but fails to select a new Interest Period to apply thereto, then a one month Interest Period automatically shall apply. If the Borrower fails to duly request the continuation of any Borrowing consisting of Term SOFR Rate Loans on or before the date specified and otherwise in accordance with the provisions of this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then such Term SOFR Rate Loan automatically shall be converted to a Base Rate Loan, interest at the Base Rate Option shall commence on the last day of the existing Interest Period.</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b w:val="1"/>
          <w:bCs w:val="1"/>
          <w:u w:val="single" w:color="auto"/>
          <w:color w:val="auto"/>
        </w:rPr>
        <w:t>Making of Loans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8" w:name="page319"/>
    <w:bookmarkEnd w:id="318"/>
    <w:p>
      <w:pPr>
        <w:jc w:val="both"/>
        <w:ind w:firstLine="1304"/>
        <w:spacing w:after="0" w:line="243" w:lineRule="auto"/>
        <w:tabs>
          <w:tab w:leader="none" w:pos="1944"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Notifications and Payments</w:t>
      </w:r>
      <w:r>
        <w:rPr>
          <w:rFonts w:ascii="Times New Roman" w:cs="Times New Roman" w:eastAsia="Times New Roman" w:hAnsi="Times New Roman"/>
          <w:sz w:val="20"/>
          <w:szCs w:val="20"/>
          <w:color w:val="auto"/>
        </w:rPr>
        <w:t xml:space="preserve">. The Administrative Agent shall, promptly after receipt by it of a Loan Request, notify the applicable Lenders of such Class of Loan of its receipt of such Loan Request specifying the information provided by the Borrower and the apportionment among the Lenders of the requested Loan as determined by the Administrative Agent in accordance with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as applicable. Each applicable Lender shall remit the principal amount of their Pro Rata Share of the applicable Loan to the Administrative Agent such that the Administrative Agent is able to, and the Administrative Agent shall, to the extent the Lenders have made funds available to it for such purpose and subject to the terms and conditions of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as applicable, fund such Loan to the Borrower in Dollars and immediately available funds to the account of each applicable Borrower specified in the Loan Request prior to 2:00 p.m. on the proposed Borrowing Date.</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 Rata Treatment of Lenders</w:t>
      </w:r>
      <w:r>
        <w:rPr>
          <w:rFonts w:ascii="Times New Roman" w:cs="Times New Roman" w:eastAsia="Times New Roman" w:hAnsi="Times New Roman"/>
          <w:sz w:val="20"/>
          <w:szCs w:val="20"/>
          <w:color w:val="auto"/>
        </w:rPr>
        <w:t xml:space="preserve">. The borrowing of any Tranche or any Class of Loan, as applicable, shall be allocated to each Lender of such Tranche or such Class of Loan, as applicable, according to its Pro Rata Share thereof, and each selection of, conversion to or renewal of any Interest Rate Option and each payment or prepayment by the Borrower with respect to principal and interest due from the Borrower hereunder to the Lenders with respect to the applicable Tranche or Class of Commitments and Loan, as applicable, shall (except as otherwise may be provided with respect to a Defaulting Lender and except as provided in </w:t>
      </w:r>
      <w:r>
        <w:rPr>
          <w:rFonts w:ascii="Times New Roman" w:cs="Times New Roman" w:eastAsia="Times New Roman" w:hAnsi="Times New Roman"/>
          <w:sz w:val="20"/>
          <w:szCs w:val="20"/>
          <w:u w:val="single" w:color="auto"/>
          <w:color w:val="auto"/>
        </w:rPr>
        <w:t>Section 2.5(e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 be payable ratably among the Lenders of such Tranche or Class of Loan, as applicable, entitled to such payment in accordance with the amount of principal and interest then due or payable to such Lenders as set forth in this Agreement.</w:t>
      </w:r>
    </w:p>
    <w:p>
      <w:pPr>
        <w:spacing w:after="0" w:line="189"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Presumptions by the Administrative Agent</w:t>
      </w:r>
      <w:r>
        <w:rPr>
          <w:rFonts w:ascii="Times New Roman" w:cs="Times New Roman" w:eastAsia="Times New Roman" w:hAnsi="Times New Roman"/>
          <w:sz w:val="20"/>
          <w:szCs w:val="20"/>
          <w:color w:val="auto"/>
        </w:rPr>
        <w:t xml:space="preserve">. Unless the Administrative Agent shall have received notice from a Lender prior to the proposed Borrowing Date that such Lender will not make available to the Administrative Agent such Lender’s Pro Rata Share of any Loan, the Administrative Agent may assume that such Lender has made such Pro Rata Share available on such date in accordance with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as the case may be, and may, in reliance upon such assumption, make available to the Borrower a corresponding amount. In such event, if a Lender has not in fact made its share of such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Federal Funds Effective Rate and a rate determined by the Administrative Agent in accordance with banking industry rules on interbank compensation and (ii) in the case of a payment to be made by the Borrower, the interest rate then applicable to Base Rate Loans. If such Lender pays its share of the applicable Loan to the Administrative Agent, then the amount so paid shall constitute such Lender’s Loan. Any payment by the Borrower shall be without prejudice to any claim the Borrower may have against a Lender that shall have failed to make such payment to the Administrative Agent. If the Borrower and such Lender pay such interest for the same period, the Administrative Agent promptly shall remit to the Borrower the amount of interest paid by the Borrower for such overlapping period. Nothing in this </w:t>
      </w:r>
      <w:r>
        <w:rPr>
          <w:rFonts w:ascii="Times New Roman" w:cs="Times New Roman" w:eastAsia="Times New Roman" w:hAnsi="Times New Roman"/>
          <w:sz w:val="20"/>
          <w:szCs w:val="20"/>
          <w:u w:val="single" w:color="auto"/>
          <w:color w:val="auto"/>
        </w:rPr>
        <w:t>Section 2.8(c)</w:t>
      </w:r>
      <w:r>
        <w:rPr>
          <w:rFonts w:ascii="Times New Roman" w:cs="Times New Roman" w:eastAsia="Times New Roman" w:hAnsi="Times New Roman"/>
          <w:sz w:val="20"/>
          <w:szCs w:val="20"/>
          <w:color w:val="auto"/>
        </w:rPr>
        <w:t xml:space="preserve"> or elsewhere in this Agreement or the other Loan Documents, including the provisions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shall be deemed to require the Administrative Agent (or any other Lender) to advance funds on behalf of any Lender or to relieve any Lender from its obligation to fulfill its commitments hereunder or to prejudice any rights that the Administrative Agent or the Borrower may have against any Lender as a result of any default by such Lender hereunder.</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b w:val="1"/>
          <w:bCs w:val="1"/>
          <w:u w:val="single" w:color="auto"/>
          <w:color w:val="auto"/>
        </w:rPr>
        <w:t>Fees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960" w:hanging="656"/>
        <w:spacing w:after="0"/>
        <w:tabs>
          <w:tab w:leader="none" w:pos="196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Unused Commitment Fees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right="20" w:firstLine="1952"/>
        <w:spacing w:after="0" w:line="269" w:lineRule="auto"/>
        <w:tabs>
          <w:tab w:leader="none" w:pos="2592" w:val="left"/>
        </w:tabs>
        <w:numPr>
          <w:ilvl w:val="1"/>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Accruing from the Closing Date through the Maturity Date with respect to the Revolving A-1 Credit Facility, the Borrower agrees to pay to the Administrative Agent for the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19" w:name="page320"/>
    <w:bookmarkEnd w:id="319"/>
    <w:p>
      <w:pPr>
        <w:jc w:val="both"/>
        <w:spacing w:after="0" w:line="254" w:lineRule="auto"/>
        <w:rPr>
          <w:sz w:val="20"/>
          <w:szCs w:val="20"/>
          <w:color w:val="auto"/>
        </w:rPr>
      </w:pPr>
      <w:r>
        <w:rPr>
          <w:rFonts w:ascii="Times New Roman" w:cs="Times New Roman" w:eastAsia="Times New Roman" w:hAnsi="Times New Roman"/>
          <w:sz w:val="19"/>
          <w:szCs w:val="19"/>
          <w:color w:val="auto"/>
        </w:rPr>
        <w:t>of each Revolving A-1 Loan Lender according to its Pro Rata Share of the Revolving A-1 Credit Facility, a nonrefundable unused commitment fee (each an “</w:t>
      </w:r>
      <w:r>
        <w:rPr>
          <w:rFonts w:ascii="Times New Roman" w:cs="Times New Roman" w:eastAsia="Times New Roman" w:hAnsi="Times New Roman"/>
          <w:sz w:val="19"/>
          <w:szCs w:val="19"/>
          <w:b w:val="1"/>
          <w:bCs w:val="1"/>
          <w:color w:val="auto"/>
        </w:rPr>
        <w:t>Unused Revolving A-1 Commitment Fee</w:t>
      </w:r>
      <w:r>
        <w:rPr>
          <w:rFonts w:ascii="Times New Roman" w:cs="Times New Roman" w:eastAsia="Times New Roman" w:hAnsi="Times New Roman"/>
          <w:sz w:val="19"/>
          <w:szCs w:val="19"/>
          <w:color w:val="auto"/>
        </w:rPr>
        <w:t xml:space="preserve">”) equal to (x) the Applicable Unused Revolving A-1 Commitment Fee Rate (computed on the basis of a year of 360 days, as the case may be, and actual days elapsed) </w:t>
      </w:r>
      <w:r>
        <w:rPr>
          <w:rFonts w:ascii="Times New Roman" w:cs="Times New Roman" w:eastAsia="Times New Roman" w:hAnsi="Times New Roman"/>
          <w:sz w:val="19"/>
          <w:szCs w:val="19"/>
          <w:u w:val="single" w:color="auto"/>
          <w:color w:val="auto"/>
        </w:rPr>
        <w:t>multiplied</w:t>
      </w:r>
      <w:r>
        <w:rPr>
          <w:rFonts w:ascii="Times New Roman" w:cs="Times New Roman" w:eastAsia="Times New Roman" w:hAnsi="Times New Roman"/>
          <w:sz w:val="19"/>
          <w:szCs w:val="19"/>
          <w:color w:val="auto"/>
        </w:rPr>
        <w:t xml:space="preserve"> by (y) the average daily result of (A) the Revolving A-1 Commitments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(B) the sum of the Revolving A-1 Loans and the portion of the Letter of Credit Obligations allocated to the Revolving A-1 Loan Lenders on a pro rata basis;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with respect to the Unused Revolving A-1 Commitment Fee for the account of the Swing Line Lender, such fee shall be equal to (x) the Applicable Unused Revolving A-1 Commitment Fee Rate (computed on the basis of a year of 360 days, as the case may be, and actual days elapsed) multiplied by (y) the average daily difference between (A) the Revolving A-1 Commitments and (B) the Revolving A-1 Credit Facility Usage (for the avoidance of doubt, as to Swing Line Lender only, Swing Line Loans will reduce the Unused Revolving A-1 Commitment Fee);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any Unused Revolving A-1 Commitment Fee accrued with respect to the Revolving A-1 Commitment of a Defaulting Lender during the period prior to the time such Lender became a Defaulting Lender and unpaid at such time shall not be payable by the Borrower so long as such Lender shall be a Defaulting Lender except to the extent that such Unused Revolving A-1 Commitment Fee shall otherwise have been due and payable by the Borrower prior to such time;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further</w:t>
      </w:r>
      <w:r>
        <w:rPr>
          <w:rFonts w:ascii="Times New Roman" w:cs="Times New Roman" w:eastAsia="Times New Roman" w:hAnsi="Times New Roman"/>
          <w:sz w:val="19"/>
          <w:szCs w:val="19"/>
          <w:color w:val="auto"/>
        </w:rPr>
        <w:t xml:space="preserve"> that no Unused Revolving A-1 Commitment Fee shall accrue with respect to the Revolving A-1 Commitment of a Defaulting Lender so long as such Lender shall be a Defaulting Lender. Subject to the provisos in the directly preceding sentence, all Unused Revolving A-1 Commitment Fees shall be payable in arrears on each Interest Payment Date.</w:t>
      </w:r>
    </w:p>
    <w:p>
      <w:pPr>
        <w:spacing w:after="0" w:line="186" w:lineRule="exact"/>
        <w:rPr>
          <w:sz w:val="20"/>
          <w:szCs w:val="20"/>
          <w:color w:val="auto"/>
        </w:rPr>
      </w:pPr>
    </w:p>
    <w:p>
      <w:pPr>
        <w:ind w:left="2600" w:hanging="648"/>
        <w:spacing w:after="0"/>
        <w:tabs>
          <w:tab w:leader="none" w:pos="2600"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right="20" w:firstLine="1952"/>
        <w:spacing w:after="0" w:line="269" w:lineRule="auto"/>
        <w:tabs>
          <w:tab w:leader="none" w:pos="2592"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Unused Commitment Fee with respect to any Incremental Revolving Facility shall accrue and be calculated in accordance with the terms set forth in the applicable Incremental Amendment.</w:t>
      </w:r>
    </w:p>
    <w:p>
      <w:pPr>
        <w:spacing w:after="0" w:line="159" w:lineRule="exact"/>
        <w:rPr>
          <w:sz w:val="20"/>
          <w:szCs w:val="20"/>
          <w:color w:val="auto"/>
        </w:rPr>
      </w:pPr>
    </w:p>
    <w:p>
      <w:pPr>
        <w:ind w:left="1960" w:hanging="656"/>
        <w:spacing w:after="0"/>
        <w:tabs>
          <w:tab w:leader="none" w:pos="1960" w:val="left"/>
        </w:tabs>
        <w:numPr>
          <w:ilvl w:val="0"/>
          <w:numId w:val="2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Fees</w:t>
      </w:r>
      <w:r>
        <w:rPr>
          <w:rFonts w:ascii="Times New Roman" w:cs="Times New Roman" w:eastAsia="Times New Roman" w:hAnsi="Times New Roman"/>
          <w:sz w:val="19"/>
          <w:szCs w:val="19"/>
          <w:color w:val="auto"/>
        </w:rPr>
        <w:t>. The Borrower agrees to pay to the Administrative Agent such other fees as agreed in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 Letter.</w:t>
      </w:r>
    </w:p>
    <w:p>
      <w:pPr>
        <w:spacing w:after="0" w:line="19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2.10 </w:t>
      </w:r>
      <w:r>
        <w:rPr>
          <w:rFonts w:ascii="Times New Roman" w:cs="Times New Roman" w:eastAsia="Times New Roman" w:hAnsi="Times New Roman"/>
          <w:sz w:val="20"/>
          <w:szCs w:val="20"/>
          <w:b w:val="1"/>
          <w:bCs w:val="1"/>
          <w:u w:val="single" w:color="auto"/>
          <w:color w:val="auto"/>
        </w:rPr>
        <w:t>Notes</w:t>
      </w:r>
      <w:r>
        <w:rPr>
          <w:rFonts w:ascii="Times New Roman" w:cs="Times New Roman" w:eastAsia="Times New Roman" w:hAnsi="Times New Roman"/>
          <w:sz w:val="20"/>
          <w:szCs w:val="20"/>
          <w:color w:val="auto"/>
        </w:rPr>
        <w:t>. The obligation of the Borrower to repay the aggregate unpaid principal amount of the Revolving Loans, Swing Line Loans and Term Loans made to them by each Lender, together with interest thereon, shall, at the request of the applicable Lender, be evidenced by a Revolving Note, Swing Line Note or Term Loan Note, as the case may be, dated the Closing Date, the effective date, or the date of such request, as applicable, payable to such Lender in a face amount equal to the Revolving Commitment, Swing Line Commitment or Term Loan Commitment, as applicable, of such Lender. The Borrower hereby unconditionally promises to pay, to each of the Lenders, the Administrative Agent, the Issuing Lender and the Swing Line Lender, as applicable, the Loans and other Obligations as provided in this Agreement and the other Loan Documents.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b w:val="1"/>
          <w:bCs w:val="1"/>
          <w:u w:val="single" w:color="auto"/>
          <w:color w:val="auto"/>
        </w:rPr>
        <w:t>Letter of Credit Subfacility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Issuance of Letters of Credit</w:t>
      </w:r>
      <w:r>
        <w:rPr>
          <w:rFonts w:ascii="Times New Roman" w:cs="Times New Roman" w:eastAsia="Times New Roman" w:hAnsi="Times New Roman"/>
          <w:sz w:val="20"/>
          <w:szCs w:val="20"/>
          <w:color w:val="auto"/>
        </w:rPr>
        <w:t xml:space="preserve">. Subject to the terms and conditions of this Agreement and the other Loan Documents, including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and in reliance upon the representations and warranties set forth in this Agreement and the other Loan Documents and in reliance on the agreements of the Revolving A-1 Loan Lenders set forth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 the Issuing Lender agrees to issue standby letters of credit (the “</w:t>
      </w:r>
      <w:r>
        <w:rPr>
          <w:rFonts w:ascii="Times New Roman" w:cs="Times New Roman" w:eastAsia="Times New Roman" w:hAnsi="Times New Roman"/>
          <w:sz w:val="20"/>
          <w:szCs w:val="20"/>
          <w:b w:val="1"/>
          <w:bCs w:val="1"/>
          <w:color w:val="auto"/>
        </w:rPr>
        <w:t>Letters of Credit</w:t>
      </w:r>
      <w:r>
        <w:rPr>
          <w:rFonts w:ascii="Times New Roman" w:cs="Times New Roman" w:eastAsia="Times New Roman" w:hAnsi="Times New Roman"/>
          <w:sz w:val="20"/>
          <w:szCs w:val="20"/>
          <w:color w:val="auto"/>
        </w:rPr>
        <w:t>”) for the account of the Borrower or any Subsidiary thereof on any Business Day from the Closing Date through but not including the Letter of Credit Expiration Date. The Borrower may at any time prior to the Letter of Credit Expiration Date request the issuance of a Letter of Credit, or an amendment or extension of a Letter of Credit, by delivering to the Issuing Lender (with a copy to the Administrative Agent) a completed application and agreement for letters of credit, or request for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0" w:name="page321"/>
    <w:bookmarkEnd w:id="320"/>
    <w:p>
      <w:pPr>
        <w:jc w:val="both"/>
        <w:spacing w:after="0" w:line="241" w:lineRule="auto"/>
        <w:rPr>
          <w:sz w:val="20"/>
          <w:szCs w:val="20"/>
          <w:color w:val="auto"/>
        </w:rPr>
      </w:pPr>
      <w:r>
        <w:rPr>
          <w:rFonts w:ascii="Times New Roman" w:cs="Times New Roman" w:eastAsia="Times New Roman" w:hAnsi="Times New Roman"/>
          <w:sz w:val="20"/>
          <w:szCs w:val="20"/>
          <w:color w:val="auto"/>
        </w:rPr>
        <w:t>amendment or extension, as applicable, in such form as the Issuing Lender may specify from time to time (each a “</w:t>
      </w:r>
      <w:r>
        <w:rPr>
          <w:rFonts w:ascii="Times New Roman" w:cs="Times New Roman" w:eastAsia="Times New Roman" w:hAnsi="Times New Roman"/>
          <w:sz w:val="20"/>
          <w:szCs w:val="20"/>
          <w:b w:val="1"/>
          <w:bCs w:val="1"/>
          <w:color w:val="auto"/>
        </w:rPr>
        <w:t>Letter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Credit Request</w:t>
      </w:r>
      <w:r>
        <w:rPr>
          <w:rFonts w:ascii="Times New Roman" w:cs="Times New Roman" w:eastAsia="Times New Roman" w:hAnsi="Times New Roman"/>
          <w:sz w:val="20"/>
          <w:szCs w:val="20"/>
          <w:color w:val="auto"/>
        </w:rPr>
        <w:t>”) by no later than 11:00 a.m. at least five (5) Business Days, or such shorter period as may be agreed to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Issuing Lender, in advance of the proposed date of issuance, amendment or extension. Promptly after receipt of any Letter of Credit Request, the Issuing Lender shall confirm with the Administrative Agent (in writing) that the Administrative Agent has received a copy of such Letter of Credit Request and if not, the Issuing Lender will provide the Administrative Agent with a copy thereof. Unless the Issuing Lender has received notice from any Lender, the Administrative Agent or any Loan Party, at least one day prior to the requested date of issuance, amendment or extension of the applicable Letter of Credit, that one or more applicable conditions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is not satisfied, then the Issuing Lender will issue a Letter of Credit or agree to such amendment or extension;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each Letter of Credit shall (A) have a maximum maturity of twelve (12) months from the date of issuance (but may contain renewal terms satisfactory to the Issuing Lender), and (B) in no event expire later than the Letter of Credit Expiration Date (unless Cash Collateralized or otherwise backstopped in a manner acceptable to the Issuing Lender prior to such Letter of Credit Expiration Date);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at no time shall (i) the Letter of Credit Obligations exceed the Letter of Credit Sublimit or (ii) the Revolving A- 1 Credit Facility Usage exceed the Revolving A-1 Commitments. Each request by the Borrower for the issuance, amendment or extension of a Letter of Credit shall be deemed to be a representation by the Borrower that it shall be in compliance with the preceding sentence and with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after giving effect to the requested issuance, amendment or extension of such Letter of Credit. Promptly after its delivery of any Letter of Credit or any amendment to a Letter of Credit to the beneficiary thereof, the Issuing Lender will also deliver to the Borrower and the Administrative Agent a true and complete copy of such Letter of Credit or amendment. The Borrower unconditionally guarantees all obligations of any other Loan Party with respect to Letters of Credit issued by the Issuing Lender for the account of such Loan Party.</w:t>
      </w:r>
    </w:p>
    <w:p>
      <w:pPr>
        <w:spacing w:after="0" w:line="190" w:lineRule="exact"/>
        <w:rPr>
          <w:sz w:val="20"/>
          <w:szCs w:val="20"/>
          <w:color w:val="auto"/>
        </w:rPr>
      </w:pPr>
    </w:p>
    <w:p>
      <w:pPr>
        <w:jc w:val="both"/>
        <w:ind w:firstLine="1304"/>
        <w:spacing w:after="0" w:line="243" w:lineRule="auto"/>
        <w:tabs>
          <w:tab w:leader="none" w:pos="1944"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Letter of Credit Fees</w:t>
      </w:r>
      <w:r>
        <w:rPr>
          <w:rFonts w:ascii="Times New Roman" w:cs="Times New Roman" w:eastAsia="Times New Roman" w:hAnsi="Times New Roman"/>
          <w:sz w:val="20"/>
          <w:szCs w:val="20"/>
          <w:color w:val="auto"/>
        </w:rPr>
        <w:t>. The Borrower shall pay to the Administrative Agent for the ratable account of the Revolving A-1 Loan Lenders a fee (the “</w:t>
      </w:r>
      <w:r>
        <w:rPr>
          <w:rFonts w:ascii="Times New Roman" w:cs="Times New Roman" w:eastAsia="Times New Roman" w:hAnsi="Times New Roman"/>
          <w:sz w:val="20"/>
          <w:szCs w:val="20"/>
          <w:b w:val="1"/>
          <w:bCs w:val="1"/>
          <w:color w:val="auto"/>
        </w:rPr>
        <w:t>Letter of Credit Fee</w:t>
      </w:r>
      <w:r>
        <w:rPr>
          <w:rFonts w:ascii="Times New Roman" w:cs="Times New Roman" w:eastAsia="Times New Roman" w:hAnsi="Times New Roman"/>
          <w:sz w:val="20"/>
          <w:szCs w:val="20"/>
          <w:color w:val="auto"/>
        </w:rPr>
        <w:t>”) equal to the Applicable Letter of Credit Fee Rate (computed on the basis of a year of 360 days and actual days elapsed), which fee shall be computed on the daily average Letter of Credit Obligations and shall be payable quarterly in arrears on each Interest Payment Date and on the Maturity Date. The Borrower shall also pay to the Issuing Lender for the Issuing Lender’s sole account a fronting fee in an amount equal to 0.125% per annum of the face amount of each Letter of Credit, as well as the Issuing Lender’s then in effect customary fees and administrative 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Disbursements, Reimbursement</w:t>
      </w:r>
      <w:r>
        <w:rPr>
          <w:rFonts w:ascii="Times New Roman" w:cs="Times New Roman" w:eastAsia="Times New Roman" w:hAnsi="Times New Roman"/>
          <w:sz w:val="20"/>
          <w:szCs w:val="20"/>
          <w:color w:val="auto"/>
        </w:rPr>
        <w:t>. Immediately upon the issuance of each Letter of Credit, each Revolving A-1 Loan Lender shall be deemed to, and hereby irrevocably and unconditionally agrees to, purchase from the Issuing Lender a participation in such Letter of Credit and each drawing thereunder, without recourse or warranty, in an amount equal to such Revolving A-1 Loan Lender’s Pro Rata Share of the maximum amount available to be drawn under such Letter of Credit and the amount of such drawing, respectively.</w:t>
      </w:r>
    </w:p>
    <w:p>
      <w:pPr>
        <w:spacing w:after="0" w:line="184"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request for a drawing under a Letter of Credit by the beneficiary or transferee thereof, the Issuing Lender will promptly notify the Borrower and the Administrative Agent thereof. Provided that it shall have received such notice, the Borrower shall reimburse (such obligation to reimburse the Issuing Lender shall sometimes be referred to as a “</w:t>
      </w:r>
      <w:r>
        <w:rPr>
          <w:rFonts w:ascii="Times New Roman" w:cs="Times New Roman" w:eastAsia="Times New Roman" w:hAnsi="Times New Roman"/>
          <w:sz w:val="20"/>
          <w:szCs w:val="20"/>
          <w:b w:val="1"/>
          <w:bCs w:val="1"/>
          <w:color w:val="auto"/>
        </w:rPr>
        <w:t>Reimbursement Obligation</w:t>
      </w:r>
      <w:r>
        <w:rPr>
          <w:rFonts w:ascii="Times New Roman" w:cs="Times New Roman" w:eastAsia="Times New Roman" w:hAnsi="Times New Roman"/>
          <w:sz w:val="20"/>
          <w:szCs w:val="20"/>
          <w:color w:val="auto"/>
        </w:rPr>
        <w:t>”) the Issuing Lender prior to 12:00 noon on each date that an amount is paid by the Issuing Lender under any Letter of Credit (each such date, a “</w:t>
      </w:r>
      <w:r>
        <w:rPr>
          <w:rFonts w:ascii="Times New Roman" w:cs="Times New Roman" w:eastAsia="Times New Roman" w:hAnsi="Times New Roman"/>
          <w:sz w:val="20"/>
          <w:szCs w:val="20"/>
          <w:b w:val="1"/>
          <w:bCs w:val="1"/>
          <w:color w:val="auto"/>
        </w:rPr>
        <w:t>Drawing Date</w:t>
      </w:r>
      <w:r>
        <w:rPr>
          <w:rFonts w:ascii="Times New Roman" w:cs="Times New Roman" w:eastAsia="Times New Roman" w:hAnsi="Times New Roman"/>
          <w:sz w:val="20"/>
          <w:szCs w:val="20"/>
          <w:color w:val="auto"/>
        </w:rPr>
        <w:t>”), or if such notice was received after 11:00 a.m. on a Drawing Date, then by 10:00 a.m. on the Business Day immediately following such Drawing Date, by paying to the Administrative Agent for the account of the Issuing Lender an amount equal to the amount so paid by the Issuing Lender. In the event the Borrower fails to reimburse the Issuing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21" w:name="page322"/>
    <w:bookmarkEnd w:id="321"/>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Lender (through the Administrative Agent) for the full amount of any drawing under any Letter of Credit by date and time required in accordance with the foregoing sentence, then the Administrative Agent will promptly notify each Revolving A-1 Loan Lender thereof, and the Borrower shall be deemed to have requested that Revolving A-1 Loans be made by the Revolving A-1 Loan Lenders under the Base Rate Option to be disbursed on the Business Day immediately following the Drawing Date, subject to the amount of the unutilized portion of the Revolving A-1 Commitments and subject to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other than any notice requirements. Any notice given by the Administrative Agent or the Issuing Lender pursuant to this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 xml:space="preserve"> shall be in writing.</w:t>
      </w:r>
    </w:p>
    <w:p>
      <w:pPr>
        <w:spacing w:after="0" w:line="185" w:lineRule="exact"/>
        <w:rPr>
          <w:sz w:val="20"/>
          <w:szCs w:val="20"/>
          <w:color w:val="auto"/>
        </w:rPr>
      </w:pPr>
    </w:p>
    <w:p>
      <w:pPr>
        <w:jc w:val="both"/>
        <w:ind w:firstLine="1952"/>
        <w:spacing w:after="0" w:line="241" w:lineRule="auto"/>
        <w:tabs>
          <w:tab w:leader="none" w:pos="2592"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Revolving A-1 Loan Lender shall upon the Business Day immediately following a Drawing Date with respect to which notice was delivered by the Administrative Agent in accordance with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 xml:space="preserve"> make funds available to the Administrative Agent for the account of the Issuing Lender based on such Revolving A-1 Loan Lender’s Pro Rata Share of the Revolving A-1 Commitments in an amount equal to its Pro Rata Share of the amount of the drawing. So long as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have been satisfied or waived in accordance with this Agreement, each Revolving A-1 Loan Lender that makes such funds available shall be deemed to have made a Revolving A-1 Loan at the Base Rate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any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have not been satisfied or waived in accordance with this Agreement, each Revolving A-1 Loan Lender shall remain obligated to fund its Pro Rata Share of such unreimbursed amount and such amount (each a “</w:t>
      </w:r>
      <w:r>
        <w:rPr>
          <w:rFonts w:ascii="Times New Roman" w:cs="Times New Roman" w:eastAsia="Times New Roman" w:hAnsi="Times New Roman"/>
          <w:sz w:val="20"/>
          <w:szCs w:val="20"/>
          <w:b w:val="1"/>
          <w:bCs w:val="1"/>
          <w:color w:val="auto"/>
        </w:rPr>
        <w:t>Participation Advance</w:t>
      </w:r>
      <w:r>
        <w:rPr>
          <w:rFonts w:ascii="Times New Roman" w:cs="Times New Roman" w:eastAsia="Times New Roman" w:hAnsi="Times New Roman"/>
          <w:sz w:val="20"/>
          <w:szCs w:val="20"/>
          <w:color w:val="auto"/>
        </w:rPr>
        <w:t xml:space="preserve">”) shall be deemed to be a payment in respect of its participation in the applicable Letter of Credit Borrowing resulting from such drawing in accordance with </w:t>
      </w:r>
      <w:r>
        <w:rPr>
          <w:rFonts w:ascii="Times New Roman" w:cs="Times New Roman" w:eastAsia="Times New Roman" w:hAnsi="Times New Roman"/>
          <w:sz w:val="20"/>
          <w:szCs w:val="20"/>
          <w:u w:val="single" w:color="auto"/>
          <w:color w:val="auto"/>
        </w:rPr>
        <w:t>Section 2.11(c)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If any Revolving A-1 Loan Lender so notified fails to make available to the Administrative Agent for the account of the Issuing Lender the amount of such Revolving A-1 Loan Lender’s Pro Rata Share of such amount based on its Pro Rata Share of the Revolving A-1 Commitments by no later than Noon on such date, then interest shall accrue on such Revolving A-1 Loan Lender’s obligation to make such payment, from such Business Day to the date on which such Lender makes such payment (i) at a rate per annum equal to the Federal Funds Effective Rate during the first three (3) days following the date such amount was due and (ii) at a rate per annum equal to the rate applicable to Base Rate Loans thereafter. The Administrative Agent and the Issuing Lender will promptly give notice (as described in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 xml:space="preserve"> 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clause (ii).</w:t>
      </w:r>
    </w:p>
    <w:p>
      <w:pPr>
        <w:spacing w:after="0" w:line="187"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1"/>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unreimbursed drawing that is not fully reimbursed by the Borrower and is not refinanced by Revolving A-1 Loans in accordance with </w:t>
      </w:r>
      <w:r>
        <w:rPr>
          <w:rFonts w:ascii="Times New Roman" w:cs="Times New Roman" w:eastAsia="Times New Roman" w:hAnsi="Times New Roman"/>
          <w:sz w:val="20"/>
          <w:szCs w:val="20"/>
          <w:u w:val="single" w:color="auto"/>
          <w:color w:val="auto"/>
        </w:rPr>
        <w:t>Section 2.11(c)(i)</w:t>
      </w:r>
      <w:r>
        <w:rPr>
          <w:rFonts w:ascii="Times New Roman" w:cs="Times New Roman" w:eastAsia="Times New Roman" w:hAnsi="Times New Roman"/>
          <w:sz w:val="20"/>
          <w:szCs w:val="20"/>
          <w:color w:val="auto"/>
        </w:rPr>
        <w:t xml:space="preserve"> because of the Borrower’s failure to satisfy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the Borrower shall be deemed to have incurred from the Issuing Lender a borrowing (each, a “</w:t>
      </w:r>
      <w:r>
        <w:rPr>
          <w:rFonts w:ascii="Times New Roman" w:cs="Times New Roman" w:eastAsia="Times New Roman" w:hAnsi="Times New Roman"/>
          <w:sz w:val="20"/>
          <w:szCs w:val="20"/>
          <w:b w:val="1"/>
          <w:bCs w:val="1"/>
          <w:color w:val="auto"/>
        </w:rPr>
        <w:t>Letter of Credit Borrowing</w:t>
      </w:r>
      <w:r>
        <w:rPr>
          <w:rFonts w:ascii="Times New Roman" w:cs="Times New Roman" w:eastAsia="Times New Roman" w:hAnsi="Times New Roman"/>
          <w:sz w:val="20"/>
          <w:szCs w:val="20"/>
          <w:color w:val="auto"/>
        </w:rPr>
        <w:t>”) in an amount equal to the unreimbursed portion of such drawing. Such Letter of Credit Borrowing shall be due and payable on demand (together with interest) and shall bear interest at the rate per annum applicable to the Revolving A-1 Loans under the Base Rate Option.</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Repayment of Participation Advances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(and only upon) receipt by the Administrative Agent for the account of the Issuing Lender of immediately available funds from the Borrower (A) in reimbursement of any payment made by the Issuing Lender under the Letter of Credit with respect to which any Lender has made a Participation Advance to the Administrative Agent, or (B) in payment of interest on such a payment made by the Issuing Lender under such a Letter of Credit, the Administrative Agent on behalf of the Issuing Lender will pay to each Revolving A-1 Loan Lender, in the same funds as those received by the Administrative Agent, the amount of such Revolving A-1 Loan Lender’s Pro Rata Share of such funds based on its Pro Rata Share of the Revolving A-1 Commitments, except the Administrative Agent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2" w:name="page323"/>
    <w:bookmarkEnd w:id="322"/>
    <w:p>
      <w:pPr>
        <w:spacing w:after="0" w:line="268" w:lineRule="auto"/>
        <w:rPr>
          <w:sz w:val="20"/>
          <w:szCs w:val="20"/>
          <w:color w:val="auto"/>
        </w:rPr>
      </w:pPr>
      <w:r>
        <w:rPr>
          <w:rFonts w:ascii="Times New Roman" w:cs="Times New Roman" w:eastAsia="Times New Roman" w:hAnsi="Times New Roman"/>
          <w:sz w:val="20"/>
          <w:szCs w:val="20"/>
          <w:color w:val="auto"/>
        </w:rPr>
        <w:t>retain for the account of the Issuing Lender the amount of the Pro Rata Share of such funds of any Revolving A-1 Loan Lender that did not make a Participation Advance in respect of such payment by the Issuing Lender.</w:t>
      </w:r>
    </w:p>
    <w:p>
      <w:pPr>
        <w:spacing w:after="0" w:line="161" w:lineRule="exact"/>
        <w:rPr>
          <w:sz w:val="20"/>
          <w:szCs w:val="20"/>
          <w:color w:val="auto"/>
        </w:rPr>
      </w:pPr>
    </w:p>
    <w:p>
      <w:pPr>
        <w:jc w:val="both"/>
        <w:ind w:firstLine="1952"/>
        <w:spacing w:after="0" w:line="243" w:lineRule="auto"/>
        <w:tabs>
          <w:tab w:leader="none" w:pos="2592"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in reimbursement of a payment made under the Letter of Credit or interest or fee thereon, each Revolving A-1 Loan Lender shall, on demand of the Administrative Agent, forthwith return to the Administrative Agent for the account of the Issuing Lender the amount of its Pro Rata Share based on its Pro Rata Share of the Revolving A-1 Commitments of any amounts so returned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such demand is made to the date such amounts are returned by such Revolving A-1 Loan Lender to the Administrative Agent, at a rate per annum equal to the Federal Funds Effective Rate in effect from time to time.</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Documentation</w:t>
      </w:r>
      <w:r>
        <w:rPr>
          <w:rFonts w:ascii="Times New Roman" w:cs="Times New Roman" w:eastAsia="Times New Roman" w:hAnsi="Times New Roman"/>
          <w:sz w:val="20"/>
          <w:szCs w:val="20"/>
          <w:color w:val="auto"/>
        </w:rPr>
        <w:t>.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its gross negligence or willful misconduct as determined by a final decision by a court of competent jurisdiction, the Issuing Lender shall not be liable for any error, negligence and/or mistakes, whether of omission or commission, in following any Loan Party’s instructions or those contained in the Letters of Credit or any modifications, amendments or supplements thereto.</w:t>
      </w:r>
    </w:p>
    <w:p>
      <w:pPr>
        <w:spacing w:after="0" w:line="18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Determinations to Honor Drawing Requests</w:t>
      </w:r>
      <w:r>
        <w:rPr>
          <w:rFonts w:ascii="Times New Roman" w:cs="Times New Roman" w:eastAsia="Times New Roman" w:hAnsi="Times New Roman"/>
          <w:sz w:val="20"/>
          <w:szCs w:val="20"/>
          <w:color w:val="auto"/>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spacing w:after="0" w:line="17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Nature of Participation and Reimbursement Obligations</w:t>
      </w:r>
      <w:r>
        <w:rPr>
          <w:rFonts w:ascii="Times New Roman" w:cs="Times New Roman" w:eastAsia="Times New Roman" w:hAnsi="Times New Roman"/>
          <w:sz w:val="20"/>
          <w:szCs w:val="20"/>
          <w:color w:val="auto"/>
        </w:rPr>
        <w:t xml:space="preserve">. Each Revolving A-1 Loan Lender’s obligation in accordance with this Agreement to make the Revolving A-1 Loans or Participation Advances, as contemplated by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as a result of a drawing under a Letter of Credit, and the Obligations of the Borrower to reimburse the Issuing Lender upon a draw under a Letter of Credit, shall be absolute, unconditional and irrevocable, and shall be performed strictly in accordance with the terms of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under all circumstances, including the following circumstances:</w:t>
      </w:r>
    </w:p>
    <w:p>
      <w:pPr>
        <w:spacing w:after="0" w:line="184"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set-off, counterclaim, recoupment, defense or other right that such Revolving A-1 Loan Lender may have against the Issuing Lender or any of its Affiliates, the Borrower or any other Person for any reason whatsoever, or that any Loan Party may have against the Issuing Lender or any of its Affiliates, any Lender or any other Person for any reason whatsoever;</w:t>
      </w:r>
    </w:p>
    <w:p>
      <w:pPr>
        <w:spacing w:after="0" w:line="180" w:lineRule="exact"/>
        <w:rPr>
          <w:sz w:val="20"/>
          <w:szCs w:val="20"/>
          <w:color w:val="auto"/>
        </w:rPr>
      </w:pPr>
    </w:p>
    <w:p>
      <w:pPr>
        <w:jc w:val="both"/>
        <w:ind w:firstLine="1952"/>
        <w:spacing w:after="0" w:line="246" w:lineRule="auto"/>
        <w:tabs>
          <w:tab w:leader="none" w:pos="2592"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failure of any Loan Party or any other Person to comply, in connection with a Letter of Credit Borrowing, with the conditions set forth in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4.2</w:t>
      </w:r>
      <w:r>
        <w:rPr>
          <w:rFonts w:ascii="Times New Roman" w:cs="Times New Roman" w:eastAsia="Times New Roman" w:hAnsi="Times New Roman"/>
          <w:sz w:val="20"/>
          <w:szCs w:val="20"/>
          <w:color w:val="auto"/>
        </w:rPr>
        <w:t xml:space="preserve"> or as otherwise set forth in this Agreement for the making of a Revolving A-1 Loan, it being acknowledged that such conditions are not required for the making of a Letter of Credit Borrowing and the obligation of the Revolving A-1 Loan Lenders to make Participation Advances under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2.11</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validity or enforceability of any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3" w:name="page324"/>
    <w:bookmarkEnd w:id="323"/>
    <w:p>
      <w:pPr>
        <w:jc w:val="both"/>
        <w:ind w:firstLine="1952"/>
        <w:spacing w:after="0" w:line="244" w:lineRule="auto"/>
        <w:tabs>
          <w:tab w:leader="none" w:pos="2592"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claim of breach of warranty that might be made by any Loan Party or any Lender against any beneficiary of a Letter of Credit, or the existence of any claim, set-off, recoupment, counterclaim, crossclaim, defense or other right that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spacing w:after="0" w:line="18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spacing w:after="0" w:line="184" w:lineRule="exact"/>
        <w:rPr>
          <w:rFonts w:ascii="Times New Roman" w:cs="Times New Roman" w:eastAsia="Times New Roman" w:hAnsi="Times New Roman"/>
          <w:sz w:val="20"/>
          <w:szCs w:val="20"/>
          <w:color w:val="auto"/>
        </w:rPr>
      </w:pPr>
    </w:p>
    <w:p>
      <w:pPr>
        <w:jc w:val="both"/>
        <w:ind w:firstLine="1952"/>
        <w:spacing w:after="0" w:line="295" w:lineRule="auto"/>
        <w:tabs>
          <w:tab w:leader="none" w:pos="2592" w:val="left"/>
        </w:tabs>
        <w:numPr>
          <w:ilvl w:val="1"/>
          <w:numId w:val="2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payment by the Issuing Lender or any of its Affiliates under any Letter of Credit against presentation of a demand, draft or certificate or other document that does not comply with the terms of such Letter of Credit;</w:t>
      </w:r>
    </w:p>
    <w:p>
      <w:pPr>
        <w:spacing w:after="0" w:line="137" w:lineRule="exact"/>
        <w:rPr>
          <w:rFonts w:ascii="Times New Roman" w:cs="Times New Roman" w:eastAsia="Times New Roman" w:hAnsi="Times New Roman"/>
          <w:sz w:val="19"/>
          <w:szCs w:val="19"/>
          <w:color w:val="auto"/>
        </w:rPr>
      </w:pPr>
    </w:p>
    <w:p>
      <w:pPr>
        <w:jc w:val="both"/>
        <w:ind w:firstLine="1952"/>
        <w:spacing w:after="0" w:line="254" w:lineRule="auto"/>
        <w:tabs>
          <w:tab w:leader="none" w:pos="2591"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spacing w:after="0" w:line="17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Issuing Lender or any of its Affiliates to issue any Letter of Credit in the form requested by any Loan Party, unless the Issuing Lender has received written notice from such Loan Party of such failure within three Business Days after the Issuing Lender shall have furnished such Loan Party and the Administrative Agent a copy of such Letter of Credit and such error is material and no drawing has been made thereon prior to receipt of such notice;</w:t>
      </w:r>
    </w:p>
    <w:p>
      <w:pPr>
        <w:spacing w:after="0" w:line="18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business, operations, properties, assets or condition (financial or otherwise) of any Loan Party or Subsidiaries of a Loan Party;</w:t>
      </w:r>
    </w:p>
    <w:p>
      <w:pPr>
        <w:spacing w:after="0" w:line="15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this Agreement or any other Loan Document by any party thereto;</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or continuance of an Insolvency Proceeding with respect to any Loan Party;</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an Event of Default or a Default shall have occurred and be continuing;</w:t>
      </w:r>
    </w:p>
    <w:p>
      <w:pPr>
        <w:spacing w:after="0" w:line="215"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the Maturity Date shall have passed or this Agreement or the Commitments hereunder shall have been terminated; and</w:t>
      </w:r>
    </w:p>
    <w:p>
      <w:pPr>
        <w:spacing w:after="0" w:line="15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or happening whatsoever, whether or not similar to any of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foregoing.</w:t>
      </w:r>
    </w:p>
    <w:p>
      <w:pPr>
        <w:spacing w:after="0" w:line="193"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Indemnity</w:t>
      </w:r>
      <w:r>
        <w:rPr>
          <w:rFonts w:ascii="Times New Roman" w:cs="Times New Roman" w:eastAsia="Times New Roman" w:hAnsi="Times New Roman"/>
          <w:sz w:val="20"/>
          <w:szCs w:val="20"/>
          <w:color w:val="auto"/>
        </w:rPr>
        <w:t>. The Borrower hereby agrees to protect, indemnify, pay and save harmless the Issuing Lender from and against any and all claims, demands, liabilities, damages,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4" w:name="page325"/>
    <w:bookmarkEnd w:id="324"/>
    <w:p>
      <w:pPr>
        <w:jc w:val="both"/>
        <w:spacing w:after="0" w:line="249" w:lineRule="auto"/>
        <w:rPr>
          <w:sz w:val="20"/>
          <w:szCs w:val="20"/>
          <w:color w:val="auto"/>
        </w:rPr>
      </w:pPr>
      <w:r>
        <w:rPr>
          <w:rFonts w:ascii="Times New Roman" w:cs="Times New Roman" w:eastAsia="Times New Roman" w:hAnsi="Times New Roman"/>
          <w:sz w:val="20"/>
          <w:szCs w:val="20"/>
          <w:color w:val="auto"/>
        </w:rPr>
        <w:t>interest, judgments, losses, costs, charges and expenses (including reasonable fees, expenses and disbursements of counsel and allocated costs of internal counsel) that the Issuing Lender may incur or be subject to as a consequence, direct or indirect, of the issuance of any Letter of Credit, other than as a result of the gross negligence or willful misconduct of the Issuing Lender as determined by a final, non-appealable judgment of a court of competent jurisdiction.</w:t>
      </w:r>
    </w:p>
    <w:p>
      <w:pPr>
        <w:spacing w:after="0" w:line="179" w:lineRule="exact"/>
        <w:rPr>
          <w:sz w:val="20"/>
          <w:szCs w:val="20"/>
          <w:color w:val="auto"/>
        </w:rPr>
      </w:pPr>
    </w:p>
    <w:p>
      <w:pPr>
        <w:jc w:val="both"/>
        <w:ind w:firstLine="1304"/>
        <w:spacing w:after="0" w:line="253" w:lineRule="auto"/>
        <w:tabs>
          <w:tab w:leader="none" w:pos="1944" w:val="left"/>
        </w:tabs>
        <w:numPr>
          <w:ilvl w:val="1"/>
          <w:numId w:val="2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Liability for Acts and Omissions</w:t>
      </w:r>
      <w:r>
        <w:rPr>
          <w:rFonts w:ascii="Times New Roman" w:cs="Times New Roman" w:eastAsia="Times New Roman" w:hAnsi="Times New Roman"/>
          <w:sz w:val="19"/>
          <w:szCs w:val="19"/>
          <w:color w:val="auto"/>
        </w:rPr>
        <w:t>. As between any Loan Party and the Issuing Lender,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that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w:t>
      </w:r>
    </w:p>
    <w:p>
      <w:pPr>
        <w:spacing w:after="0" w:line="8" w:lineRule="exact"/>
        <w:rPr>
          <w:rFonts w:ascii="Times New Roman" w:cs="Times New Roman" w:eastAsia="Times New Roman" w:hAnsi="Times New Roman"/>
          <w:sz w:val="19"/>
          <w:szCs w:val="19"/>
          <w:color w:val="auto"/>
        </w:rPr>
      </w:pPr>
    </w:p>
    <w:p>
      <w:pPr>
        <w:jc w:val="both"/>
        <w:ind w:firstLine="8"/>
        <w:spacing w:after="0"/>
        <w:tabs>
          <w:tab w:leader="none" w:pos="490"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consequences arising from causes beyond the control of the Issuing Lender or its Affiliates, as applicable, including any act or omission of any Governmental Authority,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or breach in bad faith by the Issuing Lender of its obligations under this Agreement (as determined by a court of competent jurisdiction in a final, non-appealable judgment) in connection with actions or omissions described in such clauses (i) through (viii) of such sentence. In no event shall the Issuing Lender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spacing w:after="0" w:line="190"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20"/>
          <w:szCs w:val="20"/>
          <w:color w:val="auto"/>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5" w:name="page326"/>
    <w:bookmarkEnd w:id="325"/>
    <w:p>
      <w:pPr>
        <w:jc w:val="both"/>
        <w:spacing w:after="0" w:line="249" w:lineRule="auto"/>
        <w:rPr>
          <w:sz w:val="20"/>
          <w:szCs w:val="20"/>
          <w:color w:val="auto"/>
        </w:rPr>
      </w:pPr>
      <w:r>
        <w:rPr>
          <w:rFonts w:ascii="Times New Roman" w:cs="Times New Roman" w:eastAsia="Times New Roman" w:hAnsi="Times New Roman"/>
          <w:sz w:val="20"/>
          <w:szCs w:val="20"/>
          <w:color w:val="auto"/>
        </w:rPr>
        <w:t>in any way related to any order issued at the applicant’s request to an air carrier, a letter of guarantee or of indemnity issued to a carrier or any similar document (each an “</w:t>
      </w:r>
      <w:r>
        <w:rPr>
          <w:rFonts w:ascii="Times New Roman" w:cs="Times New Roman" w:eastAsia="Times New Roman" w:hAnsi="Times New Roman"/>
          <w:sz w:val="20"/>
          <w:szCs w:val="20"/>
          <w:b w:val="1"/>
          <w:bCs w:val="1"/>
          <w:color w:val="auto"/>
        </w:rPr>
        <w:t>Order</w:t>
      </w:r>
      <w:r>
        <w:rPr>
          <w:rFonts w:ascii="Times New Roman" w:cs="Times New Roman" w:eastAsia="Times New Roman" w:hAnsi="Times New Roman"/>
          <w:sz w:val="20"/>
          <w:szCs w:val="20"/>
          <w:color w:val="auto"/>
        </w:rPr>
        <w:t>”) and honor any drawing in connection with any Letter of Credit that is the subject of such Order, notwithstanding that any drafts or other documents presented in connection with such Letter of Credit fail to conform in any way with such Letter of Credit.</w:t>
      </w:r>
    </w:p>
    <w:p>
      <w:pPr>
        <w:spacing w:after="0" w:line="179" w:lineRule="exact"/>
        <w:rPr>
          <w:sz w:val="20"/>
          <w:szCs w:val="20"/>
          <w:color w:val="auto"/>
        </w:rPr>
      </w:pPr>
    </w:p>
    <w:p>
      <w:pPr>
        <w:jc w:val="both"/>
        <w:ind w:firstLine="1296"/>
        <w:spacing w:after="0" w:line="249" w:lineRule="auto"/>
        <w:rPr>
          <w:sz w:val="20"/>
          <w:szCs w:val="20"/>
          <w:color w:val="auto"/>
        </w:rPr>
      </w:pPr>
      <w:r>
        <w:rPr>
          <w:rFonts w:ascii="Times New Roman" w:cs="Times New Roman" w:eastAsia="Times New Roman" w:hAnsi="Times New Roman"/>
          <w:sz w:val="20"/>
          <w:szCs w:val="20"/>
          <w:color w:val="auto"/>
        </w:rPr>
        <w:t>In furtherance and extension and not in limitation of the specific provisions set forth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Borrower or any Lender.</w:t>
      </w:r>
    </w:p>
    <w:p>
      <w:pPr>
        <w:spacing w:after="0" w:line="180" w:lineRule="exact"/>
        <w:rPr>
          <w:sz w:val="20"/>
          <w:szCs w:val="20"/>
          <w:color w:val="auto"/>
        </w:rPr>
      </w:pPr>
    </w:p>
    <w:p>
      <w:pPr>
        <w:jc w:val="both"/>
        <w:ind w:firstLine="1304"/>
        <w:spacing w:after="0" w:line="246" w:lineRule="auto"/>
        <w:tabs>
          <w:tab w:leader="none" w:pos="194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Lender Reporting Requirements</w:t>
      </w:r>
      <w:r>
        <w:rPr>
          <w:rFonts w:ascii="Times New Roman" w:cs="Times New Roman" w:eastAsia="Times New Roman" w:hAnsi="Times New Roman"/>
          <w:sz w:val="20"/>
          <w:szCs w:val="20"/>
          <w:color w:val="auto"/>
        </w:rPr>
        <w:t>. The Issuing Lender shall, on the first Business Day of each month, provide to the Administrative Agent and the Borrower a schedule of the Letters of Credit issued by it, in form and substance satisfactory to the Administrative Agent, showing the date of issuance of each Letter of Credit, the account party, the original face amount (if any), and the Maturity Date of any Letter of Credit outstanding at any time during the preceding month, and any other information relating to such Letter of Credit that the Administrative Agent may request.</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ISP</w:t>
      </w:r>
      <w:r>
        <w:rPr>
          <w:rFonts w:ascii="Times New Roman" w:cs="Times New Roman" w:eastAsia="Times New Roman" w:hAnsi="Times New Roman"/>
          <w:sz w:val="20"/>
          <w:szCs w:val="20"/>
          <w:color w:val="auto"/>
        </w:rPr>
        <w:t>. Unless otherwise agreed by the Issuing Lender, the Borrower and the beneficiary of a Letter of Credit, the rules of the International Standby Practices as most recently published from time to time by the International Chamber of Commerce (the “</w:t>
      </w:r>
      <w:r>
        <w:rPr>
          <w:rFonts w:ascii="Times New Roman" w:cs="Times New Roman" w:eastAsia="Times New Roman" w:hAnsi="Times New Roman"/>
          <w:sz w:val="20"/>
          <w:szCs w:val="20"/>
          <w:b w:val="1"/>
          <w:bCs w:val="1"/>
          <w:color w:val="auto"/>
        </w:rPr>
        <w:t>ISP</w:t>
      </w:r>
      <w:r>
        <w:rPr>
          <w:rFonts w:ascii="Times New Roman" w:cs="Times New Roman" w:eastAsia="Times New Roman" w:hAnsi="Times New Roman"/>
          <w:sz w:val="20"/>
          <w:szCs w:val="20"/>
          <w:color w:val="auto"/>
        </w:rPr>
        <w:t>”) shall apply to each Letter of Credit.</w:t>
      </w:r>
    </w:p>
    <w:p>
      <w:pPr>
        <w:spacing w:after="0" w:line="17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Illegality</w:t>
      </w:r>
      <w:r>
        <w:rPr>
          <w:rFonts w:ascii="Times New Roman" w:cs="Times New Roman" w:eastAsia="Times New Roman" w:hAnsi="Times New Roman"/>
          <w:sz w:val="20"/>
          <w:szCs w:val="20"/>
          <w:color w:val="auto"/>
        </w:rPr>
        <w:t>. If, at any time, it becomes unlawful for an Issuing Lender to comply with any of its obligations under any Letter of Credit (including, but not limited to, as a result of any Sanctions), the obligations of such Issuing Lender with respect to such Letter of Credit shall be suspended (and all corresponding rights shall cease to accrue) until such time as it may again become lawful for such Issuing Lender to comply with its obligations under such Letter of Credit, and such Issuing Lender shall not be liable for any losses that the Borrower, any Loan Party or any of their respective Subsidiaries may incur as a result.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b w:val="1"/>
          <w:bCs w:val="1"/>
          <w:u w:val="single" w:color="auto"/>
          <w:color w:val="auto"/>
        </w:rPr>
        <w:t>Payments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Generally</w:t>
      </w:r>
      <w:r>
        <w:rPr>
          <w:rFonts w:ascii="Times New Roman" w:cs="Times New Roman" w:eastAsia="Times New Roman" w:hAnsi="Times New Roman"/>
          <w:sz w:val="20"/>
          <w:szCs w:val="20"/>
          <w:color w:val="auto"/>
        </w:rPr>
        <w:t xml:space="preserve">. All payments and prepayments to be made in respect of principal, interest, Unused Commitment Fees, Letter of Credit Fees, other fees referred to in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or other fees or amounts due from the Borrower hereunder shall be payable prior to 11:00 a.m. on the date when due without presentment, demand, protest or notice of any kind, all of which are hereby expressly waived by the Borrower, and without set-off, counterclaim or other deduction of any nature, and an action therefor shall immediately accrue. Such payments shall be made to the Administrative Agent at the Principal Office for the account of the Lenders or the Issuing Lender to which they are owed, in each case in Dollars and in immediately available funds. The Administrative Agent shall promptly distribute such amounts to the Issuing Lender, Swing Line Lender and/or applicable Lenders in immediately available funds. The Administrative Agent’s and each Lender’s statement of account, ledger or other relevant record shall, in the absence of manifest error, be conclusive as the statement of the amount of principal of and interest on the Loans and other amounts owing under this Agreement and shall be deemed an “</w:t>
      </w:r>
      <w:r>
        <w:rPr>
          <w:rFonts w:ascii="Times New Roman" w:cs="Times New Roman" w:eastAsia="Times New Roman" w:hAnsi="Times New Roman"/>
          <w:sz w:val="20"/>
          <w:szCs w:val="20"/>
          <w:i w:val="1"/>
          <w:iCs w:val="1"/>
          <w:color w:val="auto"/>
        </w:rPr>
        <w:t>account stated</w:t>
      </w:r>
      <w:r>
        <w:rPr>
          <w:rFonts w:ascii="Times New Roman" w:cs="Times New Roman" w:eastAsia="Times New Roman" w:hAnsi="Times New Roman"/>
          <w:sz w:val="20"/>
          <w:szCs w:val="20"/>
          <w:color w:val="auto"/>
        </w:rPr>
        <w:t>.”</w:t>
      </w:r>
    </w:p>
    <w:p>
      <w:pPr>
        <w:spacing w:after="0" w:line="18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by the Borrower; Presumptions by the Administrative Agent</w:t>
      </w:r>
      <w:r>
        <w:rPr>
          <w:rFonts w:ascii="Times New Roman" w:cs="Times New Roman" w:eastAsia="Times New Roman" w:hAnsi="Times New Roman"/>
          <w:sz w:val="20"/>
          <w:szCs w:val="20"/>
          <w:color w:val="auto"/>
        </w:rPr>
        <w:t>. Unless the Administrative Agent shall have received notice from the Borrower prior to the date on which any payment is due to the Administrative Agent for the account of the Lenders or the Issuing Lender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6" w:name="page327"/>
    <w:bookmarkEnd w:id="326"/>
    <w:p>
      <w:pPr>
        <w:jc w:val="both"/>
        <w:spacing w:after="0" w:line="243" w:lineRule="auto"/>
        <w:rPr>
          <w:sz w:val="20"/>
          <w:szCs w:val="20"/>
          <w:color w:val="auto"/>
        </w:rPr>
      </w:pPr>
      <w:r>
        <w:rPr>
          <w:rFonts w:ascii="Times New Roman" w:cs="Times New Roman" w:eastAsia="Times New Roman" w:hAnsi="Times New Roman"/>
          <w:sz w:val="20"/>
          <w:szCs w:val="20"/>
          <w:color w:val="auto"/>
        </w:rPr>
        <w:t>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the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2.13 </w:t>
      </w:r>
      <w:r>
        <w:rPr>
          <w:rFonts w:ascii="Times New Roman" w:cs="Times New Roman" w:eastAsia="Times New Roman" w:hAnsi="Times New Roman"/>
          <w:sz w:val="20"/>
          <w:szCs w:val="20"/>
          <w:b w:val="1"/>
          <w:bCs w:val="1"/>
          <w:u w:val="single" w:color="auto"/>
          <w:color w:val="auto"/>
        </w:rPr>
        <w:t>Interest Payment Dates</w:t>
      </w:r>
      <w:r>
        <w:rPr>
          <w:rFonts w:ascii="Times New Roman" w:cs="Times New Roman" w:eastAsia="Times New Roman" w:hAnsi="Times New Roman"/>
          <w:sz w:val="20"/>
          <w:szCs w:val="20"/>
          <w:color w:val="auto"/>
        </w:rPr>
        <w:t xml:space="preserve">. Interest on Base Rate Loans shall be due and payable in arrears on each applicable Interest Payment Date. Interest on Term SOFR Rate Loans shall be due and payable on the last day of each Interest Period for those Loans and, if such Interest Period is longer than three (3) months, also on the date that is the three-month anniversary of the first day of such Interest Period. Interest on mandatory prepayments of principal under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due on the date such mandatory prepayment is due. Interest on the principal amount of each Loan not constituting a Base Rate Loan or Term SOFR Rate Loan or on other monetary Obligation shall be due and payable on demand after such principal amount or other monetary Obligation becomes due and payable (whether on the stated Maturity Date, upon an accelerated Maturity Date or otherwise).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19"/>
          <w:szCs w:val="19"/>
          <w:b w:val="1"/>
          <w:bCs w:val="1"/>
          <w:u w:val="single" w:color="auto"/>
          <w:color w:val="auto"/>
        </w:rPr>
        <w:t>Voluntary Prepayments and Reduction of Commitments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5" w:lineRule="auto"/>
        <w:tabs>
          <w:tab w:leader="none" w:pos="1944"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 to Prepay</w:t>
      </w:r>
      <w:r>
        <w:rPr>
          <w:rFonts w:ascii="Times New Roman" w:cs="Times New Roman" w:eastAsia="Times New Roman" w:hAnsi="Times New Roman"/>
          <w:sz w:val="20"/>
          <w:szCs w:val="20"/>
          <w:color w:val="auto"/>
        </w:rPr>
        <w:t xml:space="preserve">. The Borrower shall have the right at its option from time to time to prepay the Loans in whole or part without premium or penalty (except as provided in </w:t>
      </w:r>
      <w:r>
        <w:rPr>
          <w:rFonts w:ascii="Times New Roman" w:cs="Times New Roman" w:eastAsia="Times New Roman" w:hAnsi="Times New Roman"/>
          <w:sz w:val="20"/>
          <w:szCs w:val="20"/>
          <w:u w:val="single" w:color="auto"/>
          <w:color w:val="auto"/>
        </w:rPr>
        <w:t>Sections 11.3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Whenever the Borrower desires to prepay any part of the Loans, the Borrower shall provide a prepayment notice to the Administrative Agent by 11:00 a.m. at least (A) three (3) U.S. Government Securities Business Days prior to the date of prepayment of Term SOFR Rate Loans, (B) one (1) Business Day prior to the date of prepayment of Base Rate Loans, or (C) no later than 1:00 p.m. on the date of prepayment of Swing Line Loans, in each case, setting forth the following information:</w:t>
      </w:r>
    </w:p>
    <w:p>
      <w:pPr>
        <w:spacing w:after="0" w:line="1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which shall be a Business Day, on which the proposed prepayment is to be made;</w:t>
      </w:r>
    </w:p>
    <w:p>
      <w:pPr>
        <w:spacing w:after="0" w:line="215"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indicating the application of the prepayment among Classes and Tranches of Loans and Borrowings, as applicable; and</w:t>
      </w:r>
    </w:p>
    <w:p>
      <w:pPr>
        <w:spacing w:after="0" w:line="159"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principal amount of such prepayment, which shall not be less than the lesser of the following with respect to any Class of Loan: (A) the then outstanding principal amount of such Class of Loan, or (B) $1,000,000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amount of any prepayment to which this </w:t>
      </w:r>
      <w:r>
        <w:rPr>
          <w:rFonts w:ascii="Times New Roman" w:cs="Times New Roman" w:eastAsia="Times New Roman" w:hAnsi="Times New Roman"/>
          <w:sz w:val="20"/>
          <w:szCs w:val="20"/>
          <w:u w:val="single" w:color="auto"/>
          <w:color w:val="auto"/>
        </w:rPr>
        <w:t>Section 2.14(a)(iii)(B)</w:t>
      </w:r>
      <w:r>
        <w:rPr>
          <w:rFonts w:ascii="Times New Roman" w:cs="Times New Roman" w:eastAsia="Times New Roman" w:hAnsi="Times New Roman"/>
          <w:sz w:val="20"/>
          <w:szCs w:val="20"/>
          <w:color w:val="auto"/>
        </w:rPr>
        <w:t xml:space="preserve"> applies shall be in integral multiples of $500,000).</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Except as otherwise provided herein with respect to refinancings, all prepayment notices shall be irrevocable. The principal amount of the Loans for which a prepayment notice is given, together with interest on such principal amount, shall be due and payable on the date specified in such prepayment notice as the date on which the proposed prepayment is to be made. Voluntary prepayments shall be applied to any outstanding Term Loans and Revolving Loans as the Borrower may direct;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prepayments with respect to Term Loans permitted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applied pro rata among all Tranches of Term Loans and all prepayments with respect to Revolving Loans permitted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be applied pro rata among all Tranches of Revolving Loans and, in each case, to the remaining scheduled installments of principal in direct order of maturity (meaning that the earliest maturity will be repaid first) as applicable. If the Borrower prepays a Loan but the Borrower fails to specify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7" w:name="page328"/>
    <w:bookmarkEnd w:id="327"/>
    <w:p>
      <w:pPr>
        <w:jc w:val="both"/>
        <w:spacing w:after="0" w:line="256" w:lineRule="auto"/>
        <w:rPr>
          <w:sz w:val="20"/>
          <w:szCs w:val="20"/>
          <w:color w:val="auto"/>
        </w:rPr>
      </w:pPr>
      <w:r>
        <w:rPr>
          <w:rFonts w:ascii="Times New Roman" w:cs="Times New Roman" w:eastAsia="Times New Roman" w:hAnsi="Times New Roman"/>
          <w:sz w:val="19"/>
          <w:szCs w:val="19"/>
          <w:color w:val="auto"/>
        </w:rPr>
        <w:t xml:space="preserve">the applicable Class and/or Borrowing that the Borrower intends to prepay or if an Event of Default has occurred and is continuing, then such prepayment shall be applied </w:t>
      </w:r>
      <w:r>
        <w:rPr>
          <w:rFonts w:ascii="Times New Roman" w:cs="Times New Roman" w:eastAsia="Times New Roman" w:hAnsi="Times New Roman"/>
          <w:sz w:val="19"/>
          <w:szCs w:val="19"/>
          <w:i w:val="1"/>
          <w:iCs w:val="1"/>
          <w:color w:val="auto"/>
        </w:rPr>
        <w:t>first</w:t>
      </w:r>
      <w:r>
        <w:rPr>
          <w:rFonts w:ascii="Times New Roman" w:cs="Times New Roman" w:eastAsia="Times New Roman" w:hAnsi="Times New Roman"/>
          <w:sz w:val="19"/>
          <w:szCs w:val="19"/>
          <w:color w:val="auto"/>
        </w:rPr>
        <w:t xml:space="preserve">, ratably to all outstanding Revolving Loans that are Base Rate Loans, </w:t>
      </w:r>
      <w:r>
        <w:rPr>
          <w:rFonts w:ascii="Times New Roman" w:cs="Times New Roman" w:eastAsia="Times New Roman" w:hAnsi="Times New Roman"/>
          <w:sz w:val="19"/>
          <w:szCs w:val="19"/>
          <w:i w:val="1"/>
          <w:iCs w:val="1"/>
          <w:color w:val="auto"/>
        </w:rPr>
        <w:t>second</w:t>
      </w:r>
      <w:r>
        <w:rPr>
          <w:rFonts w:ascii="Times New Roman" w:cs="Times New Roman" w:eastAsia="Times New Roman" w:hAnsi="Times New Roman"/>
          <w:sz w:val="19"/>
          <w:szCs w:val="19"/>
          <w:color w:val="auto"/>
        </w:rPr>
        <w:t>, ratably to all outstanding Revolving Loans that are Term SOFR Rate Loans,</w:t>
      </w:r>
      <w:r>
        <w:rPr>
          <w:rFonts w:ascii="Times New Roman" w:cs="Times New Roman" w:eastAsia="Times New Roman" w:hAnsi="Times New Roman"/>
          <w:sz w:val="19"/>
          <w:szCs w:val="19"/>
          <w:i w:val="1"/>
          <w:iCs w:val="1"/>
          <w:color w:val="auto"/>
        </w:rPr>
        <w:t xml:space="preserve"> third</w:t>
      </w:r>
      <w:r>
        <w:rPr>
          <w:rFonts w:ascii="Times New Roman" w:cs="Times New Roman" w:eastAsia="Times New Roman" w:hAnsi="Times New Roman"/>
          <w:sz w:val="19"/>
          <w:szCs w:val="19"/>
          <w:color w:val="auto"/>
        </w:rPr>
        <w:t>, ratably to all outstanding Term</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Loans that are Base Rate Loans in direct order of maturity, </w:t>
      </w:r>
      <w:r>
        <w:rPr>
          <w:rFonts w:ascii="Times New Roman" w:cs="Times New Roman" w:eastAsia="Times New Roman" w:hAnsi="Times New Roman"/>
          <w:sz w:val="19"/>
          <w:szCs w:val="19"/>
          <w:i w:val="1"/>
          <w:iCs w:val="1"/>
          <w:color w:val="auto"/>
        </w:rPr>
        <w:t>fourth</w:t>
      </w:r>
      <w:r>
        <w:rPr>
          <w:rFonts w:ascii="Times New Roman" w:cs="Times New Roman" w:eastAsia="Times New Roman" w:hAnsi="Times New Roman"/>
          <w:sz w:val="19"/>
          <w:szCs w:val="19"/>
          <w:color w:val="auto"/>
        </w:rPr>
        <w:t xml:space="preserve">, ratably to all outstanding Term Loans that are Term SOFR Rate Loans in direct order of maturity. Any prepayment hereunder shall include all interest and fees due and payable with respect to the Loan being prepaid and shall be subject to the Borrower’s Obligation to indemnify the Lenders under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3.5</w:t>
      </w:r>
      <w:r>
        <w:rPr>
          <w:rFonts w:ascii="Times New Roman" w:cs="Times New Roman" w:eastAsia="Times New Roman" w:hAnsi="Times New Roman"/>
          <w:sz w:val="19"/>
          <w:szCs w:val="19"/>
          <w:color w:val="auto"/>
        </w:rPr>
        <w:t>. Notwithstanding the foregoing, any prepayment notice delivered may be contingent upon the consummation of a refinancing or the consummation of any transaction, and (x) the repayment date therefor may be amended from time to time by notice from the Borrower to the Administrative Agent and/or (y) such prepayment notice may be revoked by the Borrower in the event such refinancing or the consummation of any transaction is not consummated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failure of such contingency shall not relieve the Borrower from their obligations in respect thereof under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w:t>
      </w:r>
    </w:p>
    <w:p>
      <w:pPr>
        <w:spacing w:after="0" w:line="176" w:lineRule="exact"/>
        <w:rPr>
          <w:sz w:val="20"/>
          <w:szCs w:val="20"/>
          <w:color w:val="auto"/>
        </w:rPr>
      </w:pPr>
    </w:p>
    <w:p>
      <w:pPr>
        <w:ind w:left="1960" w:hanging="656"/>
        <w:spacing w:after="0"/>
        <w:tabs>
          <w:tab w:leader="none" w:pos="1960" w:val="left"/>
        </w:tabs>
        <w:numPr>
          <w:ilvl w:val="0"/>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Reduction of Revolving Commitments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to the commitment reductions pursuant to </w:t>
      </w:r>
      <w:r>
        <w:rPr>
          <w:rFonts w:ascii="Times New Roman" w:cs="Times New Roman" w:eastAsia="Times New Roman" w:hAnsi="Times New Roman"/>
          <w:sz w:val="20"/>
          <w:szCs w:val="20"/>
          <w:u w:val="single" w:color="auto"/>
          <w:color w:val="auto"/>
        </w:rPr>
        <w:t>Section 2.14(b)(iii)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2.15(g)</w:t>
      </w:r>
      <w:r>
        <w:rPr>
          <w:rFonts w:ascii="Times New Roman" w:cs="Times New Roman" w:eastAsia="Times New Roman" w:hAnsi="Times New Roman"/>
          <w:sz w:val="20"/>
          <w:szCs w:val="20"/>
          <w:color w:val="auto"/>
        </w:rPr>
        <w:t xml:space="preserve">, the Revolving Commitments shall be permanently reduced and terminated in full on the applicable Maturity Date with respect to the applicable Revolving Credit Facility. Any outstanding principal balance of the applicable Revolving Loans not sooner due and payable will become due and payable on such Maturity Date and shall be accompanied by accrued interest on the amount repaid, any applicable fees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and any other fees required hereunder.</w:t>
      </w:r>
    </w:p>
    <w:p>
      <w:pPr>
        <w:spacing w:after="0" w:line="1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952"/>
        <w:spacing w:after="0" w:line="241" w:lineRule="auto"/>
        <w:tabs>
          <w:tab w:leader="none" w:pos="2592" w:val="left"/>
        </w:tabs>
        <w:numPr>
          <w:ilvl w:val="1"/>
          <w:numId w:val="3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the right at any time after the Closing Date upon five (5) days’ prior written notice by the Borrower to the Administrative Agent to permanently reduce (ratably among the Revolving Lenders, as applicable, in proportion to their Pro Rata Shares of the applicable Tranche) the Revolving Commitments with respect to any Tranche of Revolving Loans, in a minimum amount of $1,000,000 and whole multiples of $500,000, or to terminate completely the applicable Revolving Commitments, without penalty or premium except as hereinafter set forth;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any Revolving Commitments, any such reduction or termination shall be accompanied by prepayment of the applicable Tranche of Revolving Loans, together with outstanding Unused Commitment Fees applicable to such Tranche of Revolving Loans and the full amount of interest accrued on the principal sum to be prepaid (and all amounts referred to in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hereof) to the extent necessary to cause the aggregate Revolving Credit Facility Usage of the applicable Revolving Credit Facility after giving effect to such prepayments to be equal to or less than the applicable Revolving Commitments of such Tranche of Revolving Loans as so reduced or terminated. Any notice to reduce the Revolving Commitments under this </w:t>
      </w:r>
      <w:r>
        <w:rPr>
          <w:rFonts w:ascii="Times New Roman" w:cs="Times New Roman" w:eastAsia="Times New Roman" w:hAnsi="Times New Roman"/>
          <w:sz w:val="20"/>
          <w:szCs w:val="20"/>
          <w:u w:val="single" w:color="auto"/>
          <w:color w:val="auto"/>
        </w:rPr>
        <w:t>Section 2.14(b)(iii)</w:t>
      </w:r>
      <w:r>
        <w:rPr>
          <w:rFonts w:ascii="Times New Roman" w:cs="Times New Roman" w:eastAsia="Times New Roman" w:hAnsi="Times New Roman"/>
          <w:sz w:val="20"/>
          <w:szCs w:val="20"/>
          <w:color w:val="auto"/>
        </w:rPr>
        <w:t xml:space="preserve"> shall be irrevocable; provided that any reduction or termination notice delivered may be contingent upon the consummation of a refinancing or the consummation of any transaction, and such reduction or termination notice may be revoked (or amended) by the Borrower in the event such refinancing or the consummation of any transaction is not consummated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of such contingency shall not relieve the Borrower from their obligations in respect thereof under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b w:val="1"/>
          <w:bCs w:val="1"/>
          <w:u w:val="single" w:color="auto"/>
          <w:color w:val="auto"/>
        </w:rPr>
        <w:t>Mandatory Prepayments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9" w:lineRule="auto"/>
        <w:tabs>
          <w:tab w:leader="none" w:pos="1944" w:val="left"/>
        </w:tabs>
        <w:numPr>
          <w:ilvl w:val="0"/>
          <w:numId w:val="3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Overadvances</w:t>
      </w:r>
      <w:r>
        <w:rPr>
          <w:rFonts w:ascii="Times New Roman" w:cs="Times New Roman" w:eastAsia="Times New Roman" w:hAnsi="Times New Roman"/>
          <w:sz w:val="20"/>
          <w:szCs w:val="20"/>
          <w:color w:val="auto"/>
        </w:rPr>
        <w:t>. If at any time the Revolving Credit Facility Usage for any Tranche of Revolving Loans exceeds the Revolving Commitments for such Tranche (each, an “</w:t>
      </w:r>
      <w:r>
        <w:rPr>
          <w:rFonts w:ascii="Times New Roman" w:cs="Times New Roman" w:eastAsia="Times New Roman" w:hAnsi="Times New Roman"/>
          <w:sz w:val="20"/>
          <w:szCs w:val="20"/>
          <w:b w:val="1"/>
          <w:bCs w:val="1"/>
          <w:color w:val="auto"/>
        </w:rPr>
        <w:t>Overadvance</w:t>
      </w:r>
      <w:r>
        <w:rPr>
          <w:rFonts w:ascii="Times New Roman" w:cs="Times New Roman" w:eastAsia="Times New Roman" w:hAnsi="Times New Roman"/>
          <w:sz w:val="20"/>
          <w:szCs w:val="20"/>
          <w:color w:val="auto"/>
        </w:rPr>
        <w:t>”), the Borrower shall prepay the Revolving Loans of such Tranche, and, if applicable to such Tranche, Swing Line Loans (or Cash Collateralize Letter of Credit Obligations, if prepayment in full of such Tranche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8" w:name="page329"/>
    <w:bookmarkEnd w:id="328"/>
    <w:p>
      <w:pPr>
        <w:spacing w:after="0" w:line="268" w:lineRule="auto"/>
        <w:rPr>
          <w:sz w:val="20"/>
          <w:szCs w:val="20"/>
          <w:color w:val="auto"/>
        </w:rPr>
      </w:pPr>
      <w:r>
        <w:rPr>
          <w:rFonts w:ascii="Times New Roman" w:cs="Times New Roman" w:eastAsia="Times New Roman" w:hAnsi="Times New Roman"/>
          <w:sz w:val="20"/>
          <w:szCs w:val="20"/>
          <w:color w:val="auto"/>
        </w:rPr>
        <w:t>Revolving Loans and the Swing Line Loans is not sufficient), in such amounts as shall be necessary so that Revolving Credit Facility Usage for such Tranche does not exceed the applicable Revolving Commitments.</w:t>
      </w:r>
    </w:p>
    <w:p>
      <w:pPr>
        <w:spacing w:after="0" w:line="161" w:lineRule="exact"/>
        <w:rPr>
          <w:sz w:val="20"/>
          <w:szCs w:val="20"/>
          <w:color w:val="auto"/>
        </w:rPr>
      </w:pPr>
    </w:p>
    <w:p>
      <w:pPr>
        <w:jc w:val="both"/>
        <w:ind w:firstLine="1304"/>
        <w:spacing w:after="0" w:line="242" w:lineRule="auto"/>
        <w:tabs>
          <w:tab w:leader="none" w:pos="1944"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Disposition of Assets</w:t>
      </w:r>
      <w:r>
        <w:rPr>
          <w:rFonts w:ascii="Times New Roman" w:cs="Times New Roman" w:eastAsia="Times New Roman" w:hAnsi="Times New Roman"/>
          <w:sz w:val="20"/>
          <w:szCs w:val="20"/>
          <w:color w:val="auto"/>
        </w:rPr>
        <w:t xml:space="preserve">. Promptly (and in any event within five (5) Business Days) upon the receipt by any Loan Party or Restricted Subsidiary of the Net Cash Proceeds from any Disposition by any Loan Party or any Restricted Subsidiary not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Sections 7.8(n) and (o)</w:t>
      </w:r>
      <w:r>
        <w:rPr>
          <w:rFonts w:ascii="Times New Roman" w:cs="Times New Roman" w:eastAsia="Times New Roman" w:hAnsi="Times New Roman"/>
          <w:sz w:val="20"/>
          <w:szCs w:val="20"/>
          <w:color w:val="auto"/>
        </w:rPr>
        <w:t xml:space="preserve">), the Borrower shall prepay, or cause such other Loan Party or Restricted Subsidiary to prepay, Obligations in an aggregate amount equal to 100% of the Net Cash Proceeds of such Disposition;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so long as no Default or Event of Default shall have occurred and be continuing or would result therefrom, the Borrower shall not be required to prepay the Obligations with such Net Cash Proceeds to the extent such Net Cash Proceeds, together with all other Net Cash Proceeds from Dispositions in the preceding twelve months, do not exceed in the aggregate amount the greater of (i) $5,000,000 and (ii) 10% of EBITDA of the Borrower and the Restricted Subsidiaries for the Test Period. All such proceeds shall be paid and applied in accordance with </w:t>
      </w:r>
      <w:r>
        <w:rPr>
          <w:rFonts w:ascii="Times New Roman" w:cs="Times New Roman" w:eastAsia="Times New Roman" w:hAnsi="Times New Roman"/>
          <w:sz w:val="20"/>
          <w:szCs w:val="20"/>
          <w:u w:val="single" w:color="auto"/>
          <w:color w:val="auto"/>
        </w:rPr>
        <w:t>Sections 2.15(g)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Notwithstanding anything herein to the contrary, no such mandatory prepayment shall constitute or be deemed to constitute a cure of any Default or Event of Default arising as a result of the Disposition giving rise to such prepayment obligation.</w:t>
      </w:r>
    </w:p>
    <w:p>
      <w:pPr>
        <w:spacing w:after="0" w:line="187"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Casualty Events</w:t>
      </w:r>
      <w:r>
        <w:rPr>
          <w:rFonts w:ascii="Times New Roman" w:cs="Times New Roman" w:eastAsia="Times New Roman" w:hAnsi="Times New Roman"/>
          <w:sz w:val="20"/>
          <w:szCs w:val="20"/>
          <w:color w:val="auto"/>
        </w:rPr>
        <w:t xml:space="preserve">. Promptly (and in any event within five (5) Business Days) upon the receipt by any Loan Party or Restricted Subsidiary thereof of the Net Cash Proceeds of any Casualty Event or series of related Casualty Events affecting any property of any Loan Party or any Restricted Subsidiary, the Borrower shall prepay, or cause such other Loan Party or Restricted Subsidiary thereof to prepay, Obligations in an aggregate amount equal to 100% of the Net Cash Proceeds of such Casualty Event(s); provided that, so long as no Default or Event of Default shall have occurred and be continuing or would result therefrom, the Borrower shall not be required to prepay the Obligations with such Net Cash Proceeds to the extent such Net Cash Proceeds, together with all other Net Cash Proceeds from Casualty Events in the preceding twelve months, do not exceed in the aggregate amount the greater of (i) $5,000,000 and (ii) 10% of EBITDA of the Borrower and the Restricted Subsidiaries for the Test Period. All such proceeds shall be paid and applied in accordance with </w:t>
      </w:r>
      <w:r>
        <w:rPr>
          <w:rFonts w:ascii="Times New Roman" w:cs="Times New Roman" w:eastAsia="Times New Roman" w:hAnsi="Times New Roman"/>
          <w:sz w:val="20"/>
          <w:szCs w:val="20"/>
          <w:u w:val="single" w:color="auto"/>
          <w:color w:val="auto"/>
        </w:rPr>
        <w:t>Sections 2.15(g)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(h)</w:t>
      </w:r>
      <w:r>
        <w:rPr>
          <w:rFonts w:ascii="Times New Roman" w:cs="Times New Roman" w:eastAsia="Times New Roman" w:hAnsi="Times New Roman"/>
          <w:sz w:val="20"/>
          <w:szCs w:val="20"/>
          <w:color w:val="auto"/>
        </w:rPr>
        <w:t>. Notwithstanding anything herein to the contrary, no such mandatory prepayment shall constitute or be deemed to constitute a cure of any Default or Event of Default arising as a result of such Casualty Event(s) giving rise to such prepayment obligation.</w:t>
      </w:r>
    </w:p>
    <w:p>
      <w:pPr>
        <w:spacing w:after="0" w:line="187"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44"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Debt Incurrence</w:t>
      </w:r>
      <w:r>
        <w:rPr>
          <w:rFonts w:ascii="Times New Roman" w:cs="Times New Roman" w:eastAsia="Times New Roman" w:hAnsi="Times New Roman"/>
          <w:sz w:val="19"/>
          <w:szCs w:val="19"/>
          <w:color w:val="auto"/>
        </w:rPr>
        <w:t xml:space="preserve">. Promptly (and in any event within five (5) Business Days) upon the receipt by any Loan Party or Restricted Subsidiary thereof of the Net Cash Proceeds of any Debt Incurrence, other than a Debt Incurrence permitted under </w:t>
      </w:r>
      <w:r>
        <w:rPr>
          <w:rFonts w:ascii="Times New Roman" w:cs="Times New Roman" w:eastAsia="Times New Roman" w:hAnsi="Times New Roman"/>
          <w:sz w:val="19"/>
          <w:szCs w:val="19"/>
          <w:u w:val="single" w:color="auto"/>
          <w:color w:val="auto"/>
        </w:rPr>
        <w:t>Section 7.1</w:t>
      </w:r>
      <w:r>
        <w:rPr>
          <w:rFonts w:ascii="Times New Roman" w:cs="Times New Roman" w:eastAsia="Times New Roman" w:hAnsi="Times New Roman"/>
          <w:sz w:val="19"/>
          <w:szCs w:val="19"/>
          <w:color w:val="auto"/>
        </w:rPr>
        <w:t xml:space="preserve">, the Borrower shall prepay, or cause such other Loan Party or Restricted Subsidiary to prepay, Obligations in an amount equal to 100% of the amount of such Net Cash Proceeds. All such proceeds shall be paid and applied in accordance with </w:t>
      </w:r>
      <w:r>
        <w:rPr>
          <w:rFonts w:ascii="Times New Roman" w:cs="Times New Roman" w:eastAsia="Times New Roman" w:hAnsi="Times New Roman"/>
          <w:sz w:val="19"/>
          <w:szCs w:val="19"/>
          <w:u w:val="single" w:color="auto"/>
          <w:color w:val="auto"/>
        </w:rPr>
        <w:t>Sections 2.15(g)</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(h)</w:t>
      </w:r>
      <w:r>
        <w:rPr>
          <w:rFonts w:ascii="Times New Roman" w:cs="Times New Roman" w:eastAsia="Times New Roman" w:hAnsi="Times New Roman"/>
          <w:sz w:val="19"/>
          <w:szCs w:val="19"/>
          <w:color w:val="auto"/>
        </w:rPr>
        <w:t>. Notwithstanding anything herein to the contrary, any such prepayment shall not constitute or be deemed to be a cure of any Default or Event of Default arising as a result of such Debt Incurrence.</w:t>
      </w:r>
    </w:p>
    <w:p>
      <w:pPr>
        <w:spacing w:after="0" w:line="172"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44" w:val="left"/>
        </w:tabs>
        <w:numPr>
          <w:ilvl w:val="0"/>
          <w:numId w:val="3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Application Among Obligations</w:t>
      </w:r>
      <w:r>
        <w:rPr>
          <w:rFonts w:ascii="Times New Roman" w:cs="Times New Roman" w:eastAsia="Times New Roman" w:hAnsi="Times New Roman"/>
          <w:sz w:val="19"/>
          <w:szCs w:val="19"/>
          <w:color w:val="auto"/>
        </w:rPr>
        <w:t xml:space="preserve">. All prepayments pursuant to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xml:space="preserve"> shall be applied, </w:t>
      </w:r>
      <w:r>
        <w:rPr>
          <w:rFonts w:ascii="Times New Roman" w:cs="Times New Roman" w:eastAsia="Times New Roman" w:hAnsi="Times New Roman"/>
          <w:sz w:val="19"/>
          <w:szCs w:val="19"/>
          <w:u w:val="single" w:color="auto"/>
          <w:color w:val="auto"/>
        </w:rPr>
        <w:t>first</w:t>
      </w:r>
      <w:r>
        <w:rPr>
          <w:rFonts w:ascii="Times New Roman" w:cs="Times New Roman" w:eastAsia="Times New Roman" w:hAnsi="Times New Roman"/>
          <w:sz w:val="19"/>
          <w:szCs w:val="19"/>
          <w:color w:val="auto"/>
        </w:rPr>
        <w:t xml:space="preserve"> to prepay any Overadvances that may be outstanding, pro rata, and </w:t>
      </w:r>
      <w:r>
        <w:rPr>
          <w:rFonts w:ascii="Times New Roman" w:cs="Times New Roman" w:eastAsia="Times New Roman" w:hAnsi="Times New Roman"/>
          <w:sz w:val="19"/>
          <w:szCs w:val="19"/>
          <w:u w:val="single" w:color="auto"/>
          <w:color w:val="auto"/>
        </w:rPr>
        <w:t>second</w:t>
      </w:r>
      <w:r>
        <w:rPr>
          <w:rFonts w:ascii="Times New Roman" w:cs="Times New Roman" w:eastAsia="Times New Roman" w:hAnsi="Times New Roman"/>
          <w:sz w:val="19"/>
          <w:szCs w:val="19"/>
          <w:color w:val="auto"/>
        </w:rPr>
        <w:t xml:space="preserve"> to prepay any remaining scheduled principal payments of the Term Loans, pro rata among all Tranches, in direct order of scheduled maturities (meaning that the earliest maturity will be repaid first);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with respect to any prepayments of the Revolving A-1 Loans, such prepayment shall be applied to repay any outstanding Revolving A-1 Loans and Swing Line Loans and to Cash Collateralize outstanding Letter of Credit Obligations on a pro rata basis. Each Term Lender may reject all or a portion of its Pro Rata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29" w:name="page330"/>
    <w:bookmarkEnd w:id="329"/>
    <w:p>
      <w:pPr>
        <w:jc w:val="both"/>
        <w:spacing w:after="0" w:line="242" w:lineRule="auto"/>
        <w:rPr>
          <w:sz w:val="20"/>
          <w:szCs w:val="20"/>
          <w:color w:val="auto"/>
        </w:rPr>
      </w:pPr>
      <w:r>
        <w:rPr>
          <w:rFonts w:ascii="Times New Roman" w:cs="Times New Roman" w:eastAsia="Times New Roman" w:hAnsi="Times New Roman"/>
          <w:sz w:val="20"/>
          <w:szCs w:val="20"/>
          <w:color w:val="auto"/>
        </w:rPr>
        <w:t>of any mandatory prepayment (such declined amounts, the “</w:t>
      </w:r>
      <w:r>
        <w:rPr>
          <w:rFonts w:ascii="Times New Roman" w:cs="Times New Roman" w:eastAsia="Times New Roman" w:hAnsi="Times New Roman"/>
          <w:sz w:val="20"/>
          <w:szCs w:val="20"/>
          <w:b w:val="1"/>
          <w:bCs w:val="1"/>
          <w:color w:val="auto"/>
        </w:rPr>
        <w:t>Declined Proceeds</w:t>
      </w:r>
      <w:r>
        <w:rPr>
          <w:rFonts w:ascii="Times New Roman" w:cs="Times New Roman" w:eastAsia="Times New Roman" w:hAnsi="Times New Roman"/>
          <w:sz w:val="20"/>
          <w:szCs w:val="20"/>
          <w:color w:val="auto"/>
        </w:rPr>
        <w:t>”) of Term Loans required to be made pursuant to clause (b), (c) or (e) of this Section 2.15 by providing written notice (each, a “</w:t>
      </w:r>
      <w:r>
        <w:rPr>
          <w:rFonts w:ascii="Times New Roman" w:cs="Times New Roman" w:eastAsia="Times New Roman" w:hAnsi="Times New Roman"/>
          <w:sz w:val="20"/>
          <w:szCs w:val="20"/>
          <w:b w:val="1"/>
          <w:bCs w:val="1"/>
          <w:color w:val="auto"/>
        </w:rPr>
        <w:t>Rejection Notice</w:t>
      </w:r>
      <w:r>
        <w:rPr>
          <w:rFonts w:ascii="Times New Roman" w:cs="Times New Roman" w:eastAsia="Times New Roman" w:hAnsi="Times New Roman"/>
          <w:sz w:val="20"/>
          <w:szCs w:val="20"/>
          <w:color w:val="auto"/>
        </w:rPr>
        <w:t>”) to the Administrative Agent and the Borrower no later than 5:00 p.m. one (1) Business Day prior to the proposed date of such prepayment. Each Rejection Notice from a given Term Lender shall specify the principal amount of the mandatory repayment of Term Loans to be rejected by such Term Lender. If a Term Lender fails to deliver a Rejection Notice to the Administrative Agent within the time frame specified above, any such failure will be deemed an acceptance of the total amount of such mandatory prepayment of Term Loans. If a Term Lender delivers a Rejection Notice to the Administrative Agent within the time frame specified above, but fails to specify the principal amount of the Term Loans to be rejected, such Term Lender will be deemed to reject the total amount of such mandatory prepayment. Any Declined Proceeds remaining thereafter may be retained by the Borrower and/or applied, at the discretion of the Borrower, for any purpose not otherwise prohibited by this Agreement.</w:t>
      </w:r>
    </w:p>
    <w:p>
      <w:pPr>
        <w:spacing w:after="0" w:line="193" w:lineRule="exact"/>
        <w:rPr>
          <w:sz w:val="20"/>
          <w:szCs w:val="20"/>
          <w:color w:val="auto"/>
        </w:rPr>
      </w:pPr>
    </w:p>
    <w:p>
      <w:pPr>
        <w:jc w:val="both"/>
        <w:ind w:firstLine="1304"/>
        <w:spacing w:after="0" w:line="245" w:lineRule="auto"/>
        <w:tabs>
          <w:tab w:leader="none" w:pos="1944"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Interest Payments; Application Among Interest Rate Options</w:t>
      </w:r>
      <w:r>
        <w:rPr>
          <w:rFonts w:ascii="Times New Roman" w:cs="Times New Roman" w:eastAsia="Times New Roman" w:hAnsi="Times New Roman"/>
          <w:sz w:val="20"/>
          <w:szCs w:val="20"/>
          <w:color w:val="auto"/>
        </w:rPr>
        <w:t xml:space="preserve">. All prepayments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be accompanied by accrued and unpaid interest upon the principal amount of each such prepayment. Subject to </w:t>
      </w:r>
      <w:r>
        <w:rPr>
          <w:rFonts w:ascii="Times New Roman" w:cs="Times New Roman" w:eastAsia="Times New Roman" w:hAnsi="Times New Roman"/>
          <w:sz w:val="20"/>
          <w:szCs w:val="20"/>
          <w:u w:val="single" w:color="auto"/>
          <w:color w:val="auto"/>
        </w:rPr>
        <w:t>Section 2.15(g)</w:t>
      </w:r>
      <w:r>
        <w:rPr>
          <w:rFonts w:ascii="Times New Roman" w:cs="Times New Roman" w:eastAsia="Times New Roman" w:hAnsi="Times New Roman"/>
          <w:sz w:val="20"/>
          <w:szCs w:val="20"/>
          <w:color w:val="auto"/>
        </w:rPr>
        <w:t xml:space="preserve">, all prepayments required pursuant to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shall first be applied to Base Rate Loans and then to Term SOFR Rate Loans. In accordance with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the Borrower shall indemnify the Lenders for any loss or expense, including loss of margin, incurred with respect to any such prepayments applied against Term SOFR Rate Loans on any day other than the last day of the applicable Interest Period.</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AHYDO</w:t>
      </w:r>
      <w:r>
        <w:rPr>
          <w:rFonts w:ascii="Times New Roman" w:cs="Times New Roman" w:eastAsia="Times New Roman" w:hAnsi="Times New Roman"/>
          <w:sz w:val="20"/>
          <w:szCs w:val="20"/>
          <w:color w:val="auto"/>
        </w:rPr>
        <w:t>. Notwithstanding anything to the contrary herein, although the parties acknowledge and agree that the “applicable high yield discount obligations” (“</w:t>
      </w:r>
      <w:r>
        <w:rPr>
          <w:rFonts w:ascii="Times New Roman" w:cs="Times New Roman" w:eastAsia="Times New Roman" w:hAnsi="Times New Roman"/>
          <w:sz w:val="20"/>
          <w:szCs w:val="20"/>
          <w:u w:val="single" w:color="auto"/>
          <w:color w:val="auto"/>
        </w:rPr>
        <w:t>AHYDO</w:t>
      </w:r>
      <w:r>
        <w:rPr>
          <w:rFonts w:ascii="Times New Roman" w:cs="Times New Roman" w:eastAsia="Times New Roman" w:hAnsi="Times New Roman"/>
          <w:sz w:val="20"/>
          <w:szCs w:val="20"/>
          <w:color w:val="auto"/>
        </w:rPr>
        <w:t>”) within the meaning of Section 163(i)(1) of the Code should not apply to the Term A-1 Loan, the parties intend that the Term A-1 Loan will not be treated as an AHYDO within the meaning of Section 163(i)(1) of the Code. Accordingly, if applicable, in Borrower’s sole discretion, starting on the fifth (5th) anniversary of the Closing Date and prior to the end of each accrual period (as defined in Section 1272(a)(5) of the Code, if applicable) thereafter, the Borrower shall pay, if applicable, such amounts of accrued and unpaid interest or original issue discount (as determined for U.S. federal income tax purposes), if any, on the Term A-1 Loan as necessary to ensure that the Term A-1 Loan is not treated as having “significant original issue discount” within the meaning of Section 163(i) of the Code.</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2.16 </w:t>
      </w:r>
      <w:r>
        <w:rPr>
          <w:rFonts w:ascii="Times New Roman" w:cs="Times New Roman" w:eastAsia="Times New Roman" w:hAnsi="Times New Roman"/>
          <w:sz w:val="19"/>
          <w:szCs w:val="19"/>
          <w:b w:val="1"/>
          <w:bCs w:val="1"/>
          <w:u w:val="single" w:color="auto"/>
          <w:color w:val="auto"/>
        </w:rPr>
        <w:t>Sharing of Payments by Lenders</w:t>
      </w:r>
      <w:r>
        <w:rPr>
          <w:rFonts w:ascii="Times New Roman" w:cs="Times New Roman" w:eastAsia="Times New Roman" w:hAnsi="Times New Roman"/>
          <w:sz w:val="19"/>
          <w:szCs w:val="19"/>
          <w:color w:val="auto"/>
        </w:rPr>
        <w:t xml:space="preserve">. If any Lender shall, by exercising any right of setoff, counterclaim or banker’s lien, by receipt of voluntary payment, by realization upon security, or by any other non-pro rata source or otherwise, obtain payment in respect of any principal of or interest on any of its Loans or other obligations hereunder resulting in such Lender receiving payment of a proportion of the aggregate amount of its Loans and accrued interest thereon or other such obligations greater than its pro- rata share of the amount such Lender is entitled hereunder,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Obligations owing them,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any such participations are purchased and all or any portion of the payment giving rise thereto is recovered, such participations shall be rescinded and the purchase price restored to the extent of such recovery, without interest other than interest or other amounts, if any, required by Law (including court order) to be paid by the Lender or the holder making such purchase; and</w:t>
      </w:r>
    </w:p>
    <w:p>
      <w:pPr>
        <w:spacing w:after="0" w:line="178" w:lineRule="exact"/>
        <w:rPr>
          <w:sz w:val="20"/>
          <w:szCs w:val="20"/>
          <w:color w:val="auto"/>
        </w:rPr>
      </w:pPr>
    </w:p>
    <w:p>
      <w:pPr>
        <w:jc w:val="both"/>
        <w:ind w:firstLine="1304"/>
        <w:spacing w:after="0" w:line="249" w:lineRule="auto"/>
        <w:tabs>
          <w:tab w:leader="none" w:pos="1944"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provisions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not be construed to apply to (x) any payment (including the application of funds arising from the existence of a Defaulting Lender) made by the Loan Parties pursuant to and in accordance with the express terms of the Loan Documents, (y) the application of Cash Collateral provided for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or (z) any payment obtained by a Lender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30" w:name="page331"/>
    <w:bookmarkEnd w:id="330"/>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consideration for the assignment of or sale of a participation in any of its Loans or Participation Advances to any assignee or participant, other than to the Borrower, any other Loan Party or any Subsidiary thereof (as to which the provisions of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apply).</w:t>
      </w:r>
    </w:p>
    <w:p>
      <w:pPr>
        <w:spacing w:after="0" w:line="1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This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shall not apply to any action taken by CoBank with respect to any CoBank Equities held by the Borrower or any cash patronage, whether on account of foreclosure of any Lien thereon, retirement and cancellation of the same, exercise of setoff rights or otherwise.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19"/>
          <w:szCs w:val="19"/>
          <w:b w:val="1"/>
          <w:bCs w:val="1"/>
          <w:u w:val="single" w:color="auto"/>
          <w:color w:val="auto"/>
        </w:rPr>
        <w:t>Defaulting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1304"/>
        <w:spacing w:after="0" w:line="254" w:lineRule="auto"/>
        <w:tabs>
          <w:tab w:leader="none" w:pos="1944"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Waivers and Amendments</w:t>
      </w:r>
      <w:r>
        <w:rPr>
          <w:rFonts w:ascii="Times New Roman" w:cs="Times New Roman" w:eastAsia="Times New Roman" w:hAnsi="Times New Roman"/>
          <w:sz w:val="20"/>
          <w:szCs w:val="20"/>
          <w:color w:val="auto"/>
        </w:rPr>
        <w:t>. Such Defaulting Lender’s right to approve or disapprove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amendment, waiver or consent with respect to this Agreement shall be restricted as set forth in the definition of Required Lenders.</w:t>
      </w:r>
    </w:p>
    <w:p>
      <w:pPr>
        <w:spacing w:after="0" w:line="168" w:lineRule="exact"/>
        <w:rPr>
          <w:rFonts w:ascii="Times New Roman" w:cs="Times New Roman" w:eastAsia="Times New Roman" w:hAnsi="Times New Roman"/>
          <w:sz w:val="20"/>
          <w:szCs w:val="20"/>
          <w:color w:val="auto"/>
        </w:rPr>
      </w:pPr>
    </w:p>
    <w:p>
      <w:pPr>
        <w:jc w:val="both"/>
        <w:ind w:firstLine="1952"/>
        <w:spacing w:after="0"/>
        <w:tabs>
          <w:tab w:leader="none" w:pos="2592"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Defaulting Lender Waterfall</w:t>
      </w:r>
      <w:r>
        <w:rPr>
          <w:rFonts w:ascii="Times New Roman" w:cs="Times New Roman" w:eastAsia="Times New Roman" w:hAnsi="Times New Roman"/>
          <w:sz w:val="20"/>
          <w:szCs w:val="20"/>
          <w:color w:val="auto"/>
        </w:rPr>
        <w:t>. Any payment of principal, interest, fees or other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otherwise) or received by the Administrative Agent from a Defaulting Lender pursuant to </w:t>
      </w:r>
      <w:r>
        <w:rPr>
          <w:rFonts w:ascii="Times New Roman" w:cs="Times New Roman" w:eastAsia="Times New Roman" w:hAnsi="Times New Roman"/>
          <w:sz w:val="20"/>
          <w:szCs w:val="20"/>
          <w:u w:val="single" w:color="auto"/>
          <w:color w:val="auto"/>
        </w:rPr>
        <w:t>Section 9.2(c)</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to the payment on a pro rata basis of any amounts owing by such Defaulting Lender to the Issuing Lender or Swing Line Lender hereunder;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to Cash Collateralize the Issuing Lender’s Fronting Exposure with respect to such Defaulting Lender in accordance with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to the payment of any amounts owing to the Lenders, the Issuing Lender or the Swing Line Lender as a result of any judgment of a court of competent jurisdiction obtained by any Lender, the Issuing Lender or the Swing Line Lender against such Defaulting Lender as a result of such Defaulting Lender’s breach of its obligations under this Agreement;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i w:val="1"/>
          <w:iCs w:val="1"/>
          <w:color w:val="auto"/>
        </w:rPr>
        <w:t>eighth</w:t>
      </w:r>
      <w:r>
        <w:rPr>
          <w:rFonts w:ascii="Times New Roman" w:cs="Times New Roman" w:eastAsia="Times New Roman" w:hAnsi="Times New Roman"/>
          <w:sz w:val="20"/>
          <w:szCs w:val="20"/>
          <w:color w:val="auto"/>
        </w:rPr>
        <w:t>, to such Defaulting Lender or as otherwise directed by a court of competent jurisdiction;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if (x)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payment is a payment of the principal amount of any Loans or Letter of Credit Obligations in respect of which such Defaulting Lender has not fully funded its appropriate share, and (y) such Loans were made or the related Letters of Credit were issued at a time when the conditions set forth in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were satisfied or waived, such payment shall be applied solely to pay the Loans of, and Letter of Credit Obligations owed to, all Non- Defaulting Lenders on a pro rata basis prior to being applied to the payment of any Loans of, or Letter of Credit Obligations owed to, such Defaulting Lender until such time as all Loans and funded and unfunded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1" w:name="page332"/>
    <w:bookmarkEnd w:id="331"/>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participations in Letter of Credit Obligations and Swing Line Loans are held by the Lenders pro rata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below.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2.17(a)</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80" w:lineRule="exact"/>
        <w:rPr>
          <w:sz w:val="20"/>
          <w:szCs w:val="20"/>
          <w:color w:val="auto"/>
        </w:rPr>
      </w:pPr>
    </w:p>
    <w:p>
      <w:pPr>
        <w:ind w:left="2600" w:hanging="648"/>
        <w:spacing w:after="0"/>
        <w:tabs>
          <w:tab w:leader="none" w:pos="2600" w:val="left"/>
        </w:tabs>
        <w:numPr>
          <w:ilvl w:val="2"/>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Certain Fees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2600"/>
        <w:spacing w:after="0" w:line="254" w:lineRule="auto"/>
        <w:tabs>
          <w:tab w:leader="none" w:pos="3240" w:val="left"/>
        </w:tabs>
        <w:numPr>
          <w:ilvl w:val="3"/>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Defaulting Lender shall be entitled to receive any Unused Commitment Fee for any period during which that Lender is a Defaulting Lender (and the Borrower shall not be required to pay any such fee that otherwise would have been required to have been paid to that Defaulting Lender).</w:t>
      </w:r>
    </w:p>
    <w:p>
      <w:pPr>
        <w:spacing w:after="0" w:line="174" w:lineRule="exact"/>
        <w:rPr>
          <w:rFonts w:ascii="Times New Roman" w:cs="Times New Roman" w:eastAsia="Times New Roman" w:hAnsi="Times New Roman"/>
          <w:sz w:val="20"/>
          <w:szCs w:val="20"/>
          <w:color w:val="auto"/>
        </w:rPr>
      </w:pPr>
    </w:p>
    <w:p>
      <w:pPr>
        <w:jc w:val="both"/>
        <w:ind w:firstLine="2600"/>
        <w:spacing w:after="0" w:line="254" w:lineRule="auto"/>
        <w:tabs>
          <w:tab w:leader="none" w:pos="3240" w:val="left"/>
        </w:tabs>
        <w:numPr>
          <w:ilvl w:val="3"/>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Defaulting Lender shall be entitled to receive Letter of Credit Fees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2600"/>
        <w:spacing w:after="0" w:line="244" w:lineRule="auto"/>
        <w:tabs>
          <w:tab w:leader="none" w:pos="3240" w:val="left"/>
        </w:tabs>
        <w:numPr>
          <w:ilvl w:val="3"/>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Unused Commitment Fee or Letter of Credit Fee not required to be paid to any Defaulting Lender pursuant to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above, the Borrower shall (x) pay to each Non-Defaulting Lender that portion of any such fee otherwise payable to such Defaulting Lender with respect to such Defaulting Lender’s participation in Letter of Credit Obligations or Swing Line Loans that has been reallocated to such Non-Defaulting Lender pursuant to </w:t>
      </w:r>
      <w:r>
        <w:rPr>
          <w:rFonts w:ascii="Times New Roman" w:cs="Times New Roman" w:eastAsia="Times New Roman" w:hAnsi="Times New Roman"/>
          <w:sz w:val="20"/>
          <w:szCs w:val="20"/>
          <w:u w:val="single" w:color="auto"/>
          <w:color w:val="auto"/>
        </w:rPr>
        <w:t>clause (iv)</w:t>
      </w:r>
      <w:r>
        <w:rPr>
          <w:rFonts w:ascii="Times New Roman" w:cs="Times New Roman" w:eastAsia="Times New Roman" w:hAnsi="Times New Roman"/>
          <w:sz w:val="20"/>
          <w:szCs w:val="20"/>
          <w:color w:val="auto"/>
        </w:rPr>
        <w:t xml:space="preserve"> below, (y) pay to the Issuing Lender and Swing Line Lender, as applicable, the amount of any such fee otherwise payable to such Defaulting Lender to the extent allocable to the Issuing Lender’s or Swing Line Lender’s Fronting Exposure to such Defaulting Lender, and (z) not be required to pay the remaining amount of any such fee.</w:t>
      </w:r>
    </w:p>
    <w:p>
      <w:pPr>
        <w:spacing w:after="0" w:line="181"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2"/>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Reallocation of Participations to Reduce Fronting Exposure</w:t>
      </w:r>
      <w:r>
        <w:rPr>
          <w:rFonts w:ascii="Times New Roman" w:cs="Times New Roman" w:eastAsia="Times New Roman" w:hAnsi="Times New Roman"/>
          <w:sz w:val="20"/>
          <w:szCs w:val="20"/>
          <w:color w:val="auto"/>
        </w:rPr>
        <w:t>. All or any part of such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Defaulting Lender’s participation in Letter of Credit Obligations and Swing Line Loans shall be reallocated among the Revolving A-1 Loan Lenders that are Non-Defaulting Lenders in accordance with their respective Pro Rata Shares (calculated without regard to such Defaulting Lender’s Revolving A-1 Commitments) but only to the extent that such reallocation does not cause any such Non-Defaulting Lender’s Pro Rata Share of the Revolving A-1 Credit Facility Usage to exceed such Non-Defaulting Lender’s Revolving A-1 Commitments. Subject to </w:t>
      </w:r>
      <w:r>
        <w:rPr>
          <w:rFonts w:ascii="Times New Roman" w:cs="Times New Roman" w:eastAsia="Times New Roman" w:hAnsi="Times New Roman"/>
          <w:sz w:val="20"/>
          <w:szCs w:val="20"/>
          <w:u w:val="single" w:color="auto"/>
          <w:color w:val="auto"/>
        </w:rPr>
        <w:t>Section 11.19</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Revolving A-1 Loan Lender having become a Defaulting Lender, including any claim of a Non-Defaulting Lender as a result of such Non-Defaulting Lender’s increased exposure following such reallocation.</w:t>
      </w:r>
    </w:p>
    <w:p>
      <w:pPr>
        <w:spacing w:after="0" w:line="18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2"/>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Cash Collateral; Repayment of Swing Line Loans</w:t>
      </w:r>
      <w:r>
        <w:rPr>
          <w:rFonts w:ascii="Times New Roman" w:cs="Times New Roman" w:eastAsia="Times New Roman" w:hAnsi="Times New Roman"/>
          <w:sz w:val="20"/>
          <w:szCs w:val="20"/>
          <w:color w:val="auto"/>
        </w:rPr>
        <w:t>. If the reallocation described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w:t>
      </w:r>
    </w:p>
    <w:p>
      <w:pPr>
        <w:spacing w:after="0" w:line="25" w:lineRule="exact"/>
        <w:rPr>
          <w:rFonts w:ascii="Times New Roman" w:cs="Times New Roman" w:eastAsia="Times New Roman" w:hAnsi="Times New Roman"/>
          <w:sz w:val="20"/>
          <w:szCs w:val="20"/>
          <w:color w:val="auto"/>
        </w:rPr>
      </w:pPr>
    </w:p>
    <w:p>
      <w:pPr>
        <w:jc w:val="both"/>
        <w:ind w:firstLine="8"/>
        <w:spacing w:after="0" w:line="241" w:lineRule="auto"/>
        <w:tabs>
          <w:tab w:leader="none" w:pos="336" w:val="left"/>
        </w:tabs>
        <w:numPr>
          <w:ilvl w:val="0"/>
          <w:numId w:val="3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above cannot, or can only partially, be effected, the Borrower shall, without prejudice to any right or remedy available to it hereunder or under Law, (x) </w:t>
      </w: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xml:space="preserve">, prepay Swing Line Loans in an amount equal to the Swing Line Lender’s Fronting Exposure and (y)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u w:val="single" w:color="auto"/>
          <w:color w:val="auto"/>
        </w:rPr>
      </w:pPr>
    </w:p>
    <w:p>
      <w:pPr>
        <w:jc w:val="both"/>
        <w:ind w:firstLine="1304"/>
        <w:spacing w:after="0" w:line="246" w:lineRule="auto"/>
        <w:tabs>
          <w:tab w:leader="none" w:pos="1944" w:val="left"/>
        </w:tabs>
        <w:numPr>
          <w:ilvl w:val="1"/>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If the Borrower, the Administrative Agent and the Swing 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2" w:name="page333"/>
    <w:bookmarkEnd w:id="332"/>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of the other Lenders or take such other actions as the Administrative Agent may determine to be necessary to cause the Loans and funded and unfunded participations in Letters of Credit and Swing Line Loans to be held pro rata by the Lenders in accordance with the Commitments under the applicable Facility (without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except to the extent otherwise agreed by the affected parties, no change hereunder from Defaulting Lender to Lender will constitute a waiver or release of any claim of any party hereunder arising from that Lender’s having been a Defaulting Lender.</w:t>
      </w:r>
    </w:p>
    <w:p>
      <w:pPr>
        <w:spacing w:after="0" w:line="188" w:lineRule="exact"/>
        <w:rPr>
          <w:sz w:val="20"/>
          <w:szCs w:val="20"/>
          <w:color w:val="auto"/>
        </w:rPr>
      </w:pPr>
    </w:p>
    <w:p>
      <w:pPr>
        <w:jc w:val="both"/>
        <w:ind w:firstLine="1304"/>
        <w:spacing w:after="0" w:line="246" w:lineRule="auto"/>
        <w:tabs>
          <w:tab w:leader="none" w:pos="1944"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Swing Line Loans/Letters of Credit</w:t>
      </w:r>
      <w:r>
        <w:rPr>
          <w:rFonts w:ascii="Times New Roman" w:cs="Times New Roman" w:eastAsia="Times New Roman" w:hAnsi="Times New Roman"/>
          <w:sz w:val="20"/>
          <w:szCs w:val="20"/>
          <w:color w:val="auto"/>
        </w:rPr>
        <w:t>. So long as any Lender is a Defaulting Lender, (i) the Swing Line Lender shall not be required to fund any Swing Line Loans unless it is satisfied that it will have no Fronting Exposure after giving effect to such Swing Line Loan and (ii) the Issuing Lender shall not be required to issue, extend, renew, reinstate or increase any Letter of Credit unless it is satisfied that it will have no Fronting Exposure after giving effect thereto.</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2.18 </w:t>
      </w:r>
      <w:r>
        <w:rPr>
          <w:rFonts w:ascii="Times New Roman" w:cs="Times New Roman" w:eastAsia="Times New Roman" w:hAnsi="Times New Roman"/>
          <w:sz w:val="20"/>
          <w:szCs w:val="20"/>
          <w:b w:val="1"/>
          <w:bCs w:val="1"/>
          <w:u w:val="single" w:color="auto"/>
          <w:color w:val="auto"/>
        </w:rPr>
        <w:t>Cash Collateral</w:t>
      </w:r>
      <w:r>
        <w:rPr>
          <w:rFonts w:ascii="Times New Roman" w:cs="Times New Roman" w:eastAsia="Times New Roman" w:hAnsi="Times New Roman"/>
          <w:sz w:val="20"/>
          <w:szCs w:val="20"/>
          <w:color w:val="auto"/>
        </w:rPr>
        <w:t xml:space="preserve">. At any time that there shall exist a Defaulting Lender, within one (1) Business Day following the written request of the Administrative Agent or the Issuing Lender (with a copy to the Administrative Agent) the Borrower shall Cash Collateralize the Issuing Lender’s Fronting Exposure with respect to such Defaulting Lender (determined after giving effect to </w:t>
      </w:r>
      <w:r>
        <w:rPr>
          <w:rFonts w:ascii="Times New Roman" w:cs="Times New Roman" w:eastAsia="Times New Roman" w:hAnsi="Times New Roman"/>
          <w:sz w:val="20"/>
          <w:szCs w:val="20"/>
          <w:u w:val="single" w:color="auto"/>
          <w:color w:val="auto"/>
        </w:rPr>
        <w:t>Section 2.17(a)(iv)</w:t>
      </w:r>
      <w:r>
        <w:rPr>
          <w:rFonts w:ascii="Times New Roman" w:cs="Times New Roman" w:eastAsia="Times New Roman" w:hAnsi="Times New Roman"/>
          <w:sz w:val="20"/>
          <w:szCs w:val="20"/>
          <w:color w:val="auto"/>
        </w:rPr>
        <w:t xml:space="preserve"> and any Cash Collateral provided by such Defaulting Lender) in an amount not less than the Minimum Collateral Amount.</w:t>
      </w:r>
    </w:p>
    <w:p>
      <w:pPr>
        <w:spacing w:after="0" w:line="184" w:lineRule="exact"/>
        <w:rPr>
          <w:sz w:val="20"/>
          <w:szCs w:val="20"/>
          <w:color w:val="auto"/>
        </w:rPr>
      </w:pPr>
    </w:p>
    <w:p>
      <w:pPr>
        <w:jc w:val="both"/>
        <w:ind w:firstLine="1304"/>
        <w:spacing w:after="0" w:line="243" w:lineRule="auto"/>
        <w:tabs>
          <w:tab w:leader="none" w:pos="194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The Borrower, and to the extent provided by any Defaulting Lender, such Defaulting Lender, hereby grants to the Administrative Agent, for the benefit of the Issuing Lender, and agrees to maintain, a first priority security interest in all such Cash Collateral as security for the Defaulting Lenders’ obligation to fund participations in respect of Letter of Credit Obligations, to be applied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If at any time the Administrative Agent determines that Cash Collateral is subject to any right or claim of any Person other than the Administrative Agent and the Issuing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this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in respect of Letters of Credit shall be applied to the satisfaction of the Defaulting Lender’s obligation to fund participations in respect of Letter of Credit Obligations (including, as to Cash Collateral provided by a Defaulting Lender, any interest accrued on such obligation) for which the Cash Collateral was so provided, prior to any other application of such property as may otherwise be provided for herein.</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the Issuing Lender’s Fronting Exposure shall no longer be required to be held as Cash Collateral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w:t>
      </w:r>
      <w:r>
        <w:rPr>
          <w:rFonts w:ascii="Times New Roman" w:cs="Times New Roman" w:eastAsia="Times New Roman" w:hAnsi="Times New Roman"/>
          <w:sz w:val="20"/>
          <w:szCs w:val="20"/>
          <w:color w:val="auto"/>
        </w:rPr>
        <w:t xml:space="preserve"> following (i) the elimination of the applicable Fronting Exposure (including by the termination of Defaulting Lender status of the applicable Lender), or (ii) the determination by the Administrative Agent and the Issuing Lender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subject to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 xml:space="preserve">, the Person providing Cash Collateral and the Issuing Lender may agree that Cash Collateral shall be held to support future anticipated Fronting Exposure or other obligations;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to the extent that such Cash Collateral was provided by the Borrower or any other Loan Party, such Cash Collateral shall remain subject to the Prior Security Interest granted pursuant to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3" w:name="page334"/>
    <w:bookmarkEnd w:id="333"/>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b w:val="1"/>
          <w:bCs w:val="1"/>
          <w:u w:val="single" w:color="auto"/>
          <w:color w:val="auto"/>
        </w:rPr>
        <w:t>Extension of Applicable Maturity Date</w:t>
      </w:r>
      <w:r>
        <w:rPr>
          <w:rFonts w:ascii="Times New Roman" w:cs="Times New Roman" w:eastAsia="Times New Roman" w:hAnsi="Times New Roman"/>
          <w:sz w:val="19"/>
          <w:szCs w:val="19"/>
          <w:color w:val="auto"/>
        </w:rPr>
        <w:t>.</w:t>
      </w:r>
    </w:p>
    <w:p>
      <w:pPr>
        <w:spacing w:after="0" w:line="219" w:lineRule="exact"/>
        <w:rPr>
          <w:sz w:val="20"/>
          <w:szCs w:val="20"/>
          <w:color w:val="auto"/>
        </w:rPr>
      </w:pPr>
    </w:p>
    <w:p>
      <w:pPr>
        <w:jc w:val="both"/>
        <w:ind w:firstLine="1304"/>
        <w:spacing w:after="0" w:line="245" w:lineRule="auto"/>
        <w:tabs>
          <w:tab w:leader="none" w:pos="194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Request for Extension.</w:t>
      </w:r>
      <w:r>
        <w:rPr>
          <w:rFonts w:ascii="Times New Roman" w:cs="Times New Roman" w:eastAsia="Times New Roman" w:hAnsi="Times New Roman"/>
          <w:sz w:val="20"/>
          <w:szCs w:val="20"/>
          <w:color w:val="auto"/>
        </w:rPr>
        <w:t xml:space="preserve"> The Borrower may, by notice to the Administrative Agent (who shall promptly notify the Lenders and Issuing Lender under the applicable Facility) not earlier than 45 days and not later than 35 days prior to the applicable Maturity Date for such Facility then in effect hereunder (each, an “</w:t>
      </w:r>
      <w:r>
        <w:rPr>
          <w:rFonts w:ascii="Times New Roman" w:cs="Times New Roman" w:eastAsia="Times New Roman" w:hAnsi="Times New Roman"/>
          <w:sz w:val="20"/>
          <w:szCs w:val="20"/>
          <w:b w:val="1"/>
          <w:bCs w:val="1"/>
          <w:color w:val="auto"/>
        </w:rPr>
        <w:t>Existing Maturity Date</w:t>
      </w:r>
      <w:r>
        <w:rPr>
          <w:rFonts w:ascii="Times New Roman" w:cs="Times New Roman" w:eastAsia="Times New Roman" w:hAnsi="Times New Roman"/>
          <w:sz w:val="20"/>
          <w:szCs w:val="20"/>
          <w:color w:val="auto"/>
        </w:rPr>
        <w:t>”), request that each Lender and Issuing Lender, as applicable, under any Facility extend the applicable Maturity Date for such Lender’s or Issuing Lender’s Commitments and Credit Extensions, as applicable, under such Facility. Such notice to the Administrative Agent shall set forth the requested extended Maturity Date.</w:t>
      </w:r>
    </w:p>
    <w:p>
      <w:pPr>
        <w:spacing w:after="0" w:line="184" w:lineRule="exact"/>
        <w:rPr>
          <w:rFonts w:ascii="Times New Roman" w:cs="Times New Roman" w:eastAsia="Times New Roman" w:hAnsi="Times New Roman"/>
          <w:sz w:val="20"/>
          <w:szCs w:val="20"/>
          <w:color w:val="auto"/>
        </w:rPr>
      </w:pPr>
    </w:p>
    <w:p>
      <w:pPr>
        <w:jc w:val="both"/>
        <w:ind w:firstLine="1304"/>
        <w:spacing w:after="0" w:line="257" w:lineRule="auto"/>
        <w:tabs>
          <w:tab w:leader="none" w:pos="1944" w:val="left"/>
        </w:tabs>
        <w:numPr>
          <w:ilvl w:val="0"/>
          <w:numId w:val="3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Lender Elections to Extend</w:t>
      </w:r>
      <w:r>
        <w:rPr>
          <w:rFonts w:ascii="Times New Roman" w:cs="Times New Roman" w:eastAsia="Times New Roman" w:hAnsi="Times New Roman"/>
          <w:sz w:val="19"/>
          <w:szCs w:val="19"/>
          <w:color w:val="auto"/>
        </w:rPr>
        <w:t>. Each Lender and Issuing Lender under the applicable Facility, acting in its sole and individual discretion, shall, by notice to the Administrative Agent given not earlier than 30 days prior to the applicable Existing Maturity Date for such Facility and not later than the date (the “</w:t>
      </w:r>
      <w:r>
        <w:rPr>
          <w:rFonts w:ascii="Times New Roman" w:cs="Times New Roman" w:eastAsia="Times New Roman" w:hAnsi="Times New Roman"/>
          <w:sz w:val="19"/>
          <w:szCs w:val="19"/>
          <w:b w:val="1"/>
          <w:bCs w:val="1"/>
          <w:color w:val="auto"/>
        </w:rPr>
        <w:t>Notice Date</w:t>
      </w:r>
      <w:r>
        <w:rPr>
          <w:rFonts w:ascii="Times New Roman" w:cs="Times New Roman" w:eastAsia="Times New Roman" w:hAnsi="Times New Roman"/>
          <w:sz w:val="19"/>
          <w:szCs w:val="19"/>
          <w:color w:val="auto"/>
        </w:rPr>
        <w:t>”) that is 20 days prior to the applicable Existing Maturity Date for such Facility, advise the Administrative Agent whether or not it agrees to such extension (and each Lender and Issuing Lender that determines not to so extend its applicable Maturity Date for such Facility (a “</w:t>
      </w:r>
      <w:r>
        <w:rPr>
          <w:rFonts w:ascii="Times New Roman" w:cs="Times New Roman" w:eastAsia="Times New Roman" w:hAnsi="Times New Roman"/>
          <w:sz w:val="19"/>
          <w:szCs w:val="19"/>
          <w:b w:val="1"/>
          <w:bCs w:val="1"/>
          <w:color w:val="auto"/>
        </w:rPr>
        <w:t>Non-Extending Lender</w:t>
      </w:r>
      <w:r>
        <w:rPr>
          <w:rFonts w:ascii="Times New Roman" w:cs="Times New Roman" w:eastAsia="Times New Roman" w:hAnsi="Times New Roman"/>
          <w:sz w:val="19"/>
          <w:szCs w:val="19"/>
          <w:color w:val="auto"/>
        </w:rPr>
        <w:t>”)) shall notify the Administrative Agent of such fact promptly after such determination (but in any event no later than the Notice Date) and any Lender or Issuing Lender under such Facility that does not so advise the Administrative Agent on or before the Notice Date shall be deemed to be a Non-Extending Lender. The election of any Lender or Issuing Lender to agree to such extension shall not obligate any other Lender or Issuing Lender to so agree.</w:t>
      </w:r>
    </w:p>
    <w:p>
      <w:pPr>
        <w:spacing w:after="0" w:line="175" w:lineRule="exact"/>
        <w:rPr>
          <w:rFonts w:ascii="Times New Roman" w:cs="Times New Roman" w:eastAsia="Times New Roman" w:hAnsi="Times New Roman"/>
          <w:sz w:val="19"/>
          <w:szCs w:val="19"/>
          <w:color w:val="auto"/>
        </w:rPr>
      </w:pPr>
    </w:p>
    <w:p>
      <w:pPr>
        <w:jc w:val="both"/>
        <w:ind w:firstLine="1304"/>
        <w:spacing w:after="0" w:line="254" w:lineRule="auto"/>
        <w:tabs>
          <w:tab w:leader="none" w:pos="194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Notification by Administrative Agent</w:t>
      </w:r>
      <w:r>
        <w:rPr>
          <w:rFonts w:ascii="Times New Roman" w:cs="Times New Roman" w:eastAsia="Times New Roman" w:hAnsi="Times New Roman"/>
          <w:sz w:val="20"/>
          <w:szCs w:val="20"/>
          <w:color w:val="auto"/>
        </w:rPr>
        <w:t xml:space="preserve">. The Administrative Agent shall notify the Borrower of each Lender’s and Issuing Lender’s determination under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no later than the date 15 days prior to the applicable Existing Maturity Date for such Facility (or, if such date is not a Business Day, on the next preceding Business Day).</w:t>
      </w:r>
    </w:p>
    <w:p>
      <w:pPr>
        <w:spacing w:after="0" w:line="174"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Lenders</w:t>
      </w:r>
      <w:r>
        <w:rPr>
          <w:rFonts w:ascii="Times New Roman" w:cs="Times New Roman" w:eastAsia="Times New Roman" w:hAnsi="Times New Roman"/>
          <w:sz w:val="20"/>
          <w:szCs w:val="20"/>
          <w:color w:val="auto"/>
        </w:rPr>
        <w:t>. The Borrower shall have the right on or before the applicable Existing Maturity Date to replace each Non-Extending Lender under the applicable Facility with, and add as “Revolving Lenders” or “Term Lenders” as the case may be under this Agreement in place thereof, one or more Eligible Assignees (each, an “</w:t>
      </w:r>
      <w:r>
        <w:rPr>
          <w:rFonts w:ascii="Times New Roman" w:cs="Times New Roman" w:eastAsia="Times New Roman" w:hAnsi="Times New Roman"/>
          <w:sz w:val="20"/>
          <w:szCs w:val="20"/>
          <w:b w:val="1"/>
          <w:bCs w:val="1"/>
          <w:color w:val="auto"/>
        </w:rPr>
        <w:t>Additional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with the consent of any party whose consent is required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each of which Additional Lenders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entered into an Assignment and Assumption pursuant to which such Additional Lender shall, effective as of the applicable Existing Maturity Date, (i) with respect to any Term Loan Facility, assume the Term Loans of such Non-Extending Lender under such Term Loan Facility set forth in such Assignment and Assumption (and, if any such Additional Lender is already a Term Lender under such Term Loan Facility, such Term Loans under such Term Loan Facility so assigned and assumed shall be in addition to the Term Loans of such Term Lender hereunder under such Term Loan Facility on such date) and (ii) with respect to any Revolving Credit Facility, assume the Revolving Loans and Revolving Commitments of such Non-Extending Lender under such Revolving Loan Facility set forth in such Assignment and Assumption (and, if any such Additional Lender is already a Revolving Lender, its Revolving Loans and Revolving Commitment shall be in addition to such Revolving Lender’s Revolving Loans and Revolving Commitment hereunder on such date).</w:t>
      </w:r>
    </w:p>
    <w:p>
      <w:pPr>
        <w:spacing w:after="0" w:line="19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Conditions to Effectiveness of Extensions</w:t>
      </w:r>
      <w:r>
        <w:rPr>
          <w:rFonts w:ascii="Times New Roman" w:cs="Times New Roman" w:eastAsia="Times New Roman" w:hAnsi="Times New Roman"/>
          <w:sz w:val="20"/>
          <w:szCs w:val="20"/>
          <w:color w:val="auto"/>
        </w:rPr>
        <w:t xml:space="preserve">. Notwithstanding the foregoing, the extension of any Maturity Date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not be effective with respect to any Lender or Issuing Lender unless:</w:t>
      </w:r>
    </w:p>
    <w:p>
      <w:pPr>
        <w:spacing w:after="0" w:line="159" w:lineRule="exact"/>
        <w:rPr>
          <w:rFonts w:ascii="Times New Roman" w:cs="Times New Roman" w:eastAsia="Times New Roman" w:hAnsi="Times New Roman"/>
          <w:sz w:val="20"/>
          <w:szCs w:val="20"/>
          <w:color w:val="auto"/>
        </w:rPr>
      </w:pPr>
    </w:p>
    <w:p>
      <w:pPr>
        <w:ind w:left="660" w:firstLine="1292"/>
        <w:spacing w:after="0" w:line="269" w:lineRule="auto"/>
        <w:tabs>
          <w:tab w:leader="none" w:pos="2604"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Default or Event of Default shall have occurred and be continuing immediately prior to such extension and immediately after giving effect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34" w:name="page335"/>
    <w:bookmarkEnd w:id="334"/>
    <w:p>
      <w:pPr>
        <w:jc w:val="both"/>
        <w:ind w:left="660" w:firstLine="1292"/>
        <w:spacing w:after="0" w:line="249" w:lineRule="auto"/>
        <w:tabs>
          <w:tab w:leader="none" w:pos="2604"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contained in this Agreement are true and correct in all material respects immediately prior to and immediately after on giving effect thereto, as though made on and as of such date (or, if any such representation or warranty is stated to have been made as of a specific date, as of such specific date);</w:t>
      </w:r>
    </w:p>
    <w:p>
      <w:pPr>
        <w:spacing w:after="0" w:line="178" w:lineRule="exact"/>
        <w:rPr>
          <w:rFonts w:ascii="Times New Roman" w:cs="Times New Roman" w:eastAsia="Times New Roman" w:hAnsi="Times New Roman"/>
          <w:sz w:val="20"/>
          <w:szCs w:val="20"/>
          <w:color w:val="auto"/>
        </w:rPr>
      </w:pPr>
    </w:p>
    <w:p>
      <w:pPr>
        <w:jc w:val="both"/>
        <w:ind w:left="660" w:firstLine="1292"/>
        <w:spacing w:after="0" w:line="246" w:lineRule="auto"/>
        <w:tabs>
          <w:tab w:leader="none" w:pos="2604"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or before the applicable Maturity Date, the Borrower shall have (1) paid in full the principal of and interest on all of the Loans under the applicable Facility made by each Non-Extending Lender to the Borrower hereunder, (2) paid in full all other amounts owing to such Non-Extending Lender under the applicable Facility hereunder, and (3) Cash Collateralized in accordance with the terms hereof all outstanding L/C Obligations with respect to Letters of Credit issued by each Issuing Lender that is a Non-Extending Lender; and</w:t>
      </w:r>
    </w:p>
    <w:p>
      <w:pPr>
        <w:spacing w:after="0" w:line="18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terms of such extended Loans and/or Commitments shall comply with </w:t>
      </w:r>
      <w:r>
        <w:rPr>
          <w:rFonts w:ascii="Times New Roman" w:cs="Times New Roman" w:eastAsia="Times New Roman" w:hAnsi="Times New Roman"/>
          <w:sz w:val="20"/>
          <w:szCs w:val="20"/>
          <w:u w:val="single" w:color="auto"/>
          <w:color w:val="auto"/>
        </w:rPr>
        <w:t>Section 2.19(f)</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tabs>
          <w:tab w:leader="none" w:pos="1944"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Terms of Extension</w:t>
      </w:r>
      <w:r>
        <w:rPr>
          <w:rFonts w:ascii="Times New Roman" w:cs="Times New Roman" w:eastAsia="Times New Roman" w:hAnsi="Times New Roman"/>
          <w:sz w:val="20"/>
          <w:szCs w:val="20"/>
          <w:color w:val="auto"/>
        </w:rPr>
        <w:t>. The terms of each extension of any applicable Existing Maturity Date shall be determined by Borrower and the applicable extending Lenders and set forth in an amendment (an “</w:t>
      </w:r>
      <w:r>
        <w:rPr>
          <w:rFonts w:ascii="Times New Roman" w:cs="Times New Roman" w:eastAsia="Times New Roman" w:hAnsi="Times New Roman"/>
          <w:sz w:val="20"/>
          <w:szCs w:val="20"/>
          <w:b w:val="1"/>
          <w:bCs w:val="1"/>
          <w:color w:val="auto"/>
        </w:rPr>
        <w:t>Extension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(i) the extended Loans and Commitments will rank pari passu in right of payment and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respect to security with the other Loans and Commitments and the Borrower and Guarantors of the extended Loans and Commitments shall be the same as the Borrower and Guarantors with respect to the other Loans and Commitments, (ii) the interest rate margin, rate floors, fees, original issue discount and premium applicable to any extended Loans and Commitments shall be determined by the Borrower and the applicable extending Lenders, (iii) all borrowings under extended Revolving Commitments, reductions of extended Revolving Commitments, and repayments thereunder shall be made on a pro rata basis with all other Revolving Commitments (except for (I) payments of interest and fees at different rates on extended Revolving Commitments (and related Revolving Loans) and (II) repayments required upon the Maturity Date of the non-extended Revolving Commitments), (iv) extended Term Loans may have call protection as may be agreed by the Borrower and the extending Lenders thereof;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extended Term Loan may be optionally prepaid prior to the date on which the non-extended Term Loans are repaid in full, unless such optional prepayment is accompanied by at least a pro rata optional prepayment of such non-extended Term Loans, (v) all or any of the scheduled amortization payments of principal of an extended Term Loan may be delayed to later dates than the scheduled amortization payments of principal of the non-extended Term Loans, (vi) in no event shall the final maturity date of any extended Term Loan at the time of establishment thereof be earlier than the then latest Maturity Date of any then-existing Term Loan hereunder, (vii) in no event shall the final maturity date of any extended Revolving Loan at the time of establishment thereof be earlier than the then latest Maturity Date of any then-existing Revolving Loan hereunder, (viii) the weighted average life to maturity of any extended Term Loan at the time of establishment thereof shall be no shorter than the remaining weighted average life to maturity of any then-existing Term Loan hereunder, (ix) any extended Term Loan may participate on a pro rata basis or less than a pro rata basis (but not greater than a pro rata basis) in any voluntary or mandatory repayments or prepayments hereunder, (x) the Extension Amendment may provide for other covenants and terms that apply solely to any period after the latest Maturity Date that is in effect on the effective date of the Extension Amendment (immediately prior to the establishment of such extended Loans or Commitments); and (xi) the terms of any extended Loans and Commitments shall be substantially identical to the terms of such Loans or Commitments, as applicable, prior to such extension (except (x) to the extent any such terms apply only after the expiration of the Loans and Commitments not so extended and (y) as otherwise set forth in clauses (i) through (x) above).</w:t>
      </w:r>
    </w:p>
    <w:p>
      <w:pPr>
        <w:spacing w:after="0" w:line="20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In connection with any extension of any applicable Existing Maturity Date, the Borrower, the Administrative Agent and each applicable extending Lender shall execute and deliver to Administrative Agent an Extension Amendment and such other documentation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5" w:name="page336"/>
    <w:bookmarkEnd w:id="335"/>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Administrative Agent shall reasonably specify to evidence the extension of the applicable Existing Maturity Date. The Administrative Agent shall promptly notify each Lender as to the effectiveness of each extension of the applicable Existing Maturity Date. Any Extension Amendment may, without the consent of any other Lender, effect such amendments to this Agreement and the other Loan Documents as may be necessary or appropriate, in the reasonable opinion of the Administrative Agent and the Borrower, to implement the terms of any such extension of the applicable Existing Maturity Date, including any amendments necessary to establish extended Loans and/or Commitments as a new class or tranche of Loans or Commitments, as applicable, and such other technical amendments as may be necessary or appropriate in the reasonable opinion of the Administrative Agent and the Borrower in connection with the establishment of such new class or tranche (including to preserve the pro rata treatment of the extended and non-extended classes or tranches and to provide for the reallocation of Loans and/or Commitments upon the expiration or termination of the commitments under any class or tranche), in each case on terms consistent with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304"/>
        <w:spacing w:after="0" w:line="246" w:lineRule="auto"/>
        <w:tabs>
          <w:tab w:leader="none" w:pos="1944"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Sharing of Payments</w:t>
      </w:r>
      <w:r>
        <w:rPr>
          <w:rFonts w:ascii="Times New Roman" w:cs="Times New Roman" w:eastAsia="Times New Roman" w:hAnsi="Times New Roman"/>
          <w:sz w:val="20"/>
          <w:szCs w:val="20"/>
          <w:color w:val="auto"/>
        </w:rPr>
        <w:t xml:space="preserve">. In connection with any extension of any Maturity Date, the Borrower, the Administrative Agent and each extending Lender and Issuing Lender may make such amendments to this Agreement as the Administrative Agent reasonably determines to be necessary to evidence the extension. The parties hereby agree that the provisions of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supersede the borrowing notice, minimum borrowing, amendment, pro rata borrowing, and pro rata payment requirements elsewhere in this Agreement.</w:t>
      </w:r>
    </w:p>
    <w:p>
      <w:pPr>
        <w:spacing w:after="0" w:line="180" w:lineRule="exact"/>
        <w:rPr>
          <w:rFonts w:ascii="Times New Roman" w:cs="Times New Roman" w:eastAsia="Times New Roman" w:hAnsi="Times New Roman"/>
          <w:sz w:val="20"/>
          <w:szCs w:val="20"/>
          <w:color w:val="auto"/>
        </w:rPr>
      </w:pPr>
    </w:p>
    <w:p>
      <w:pPr>
        <w:ind w:left="2540" w:hanging="424"/>
        <w:spacing w:after="0"/>
        <w:tabs>
          <w:tab w:leader="none" w:pos="2540" w:val="left"/>
        </w:tabs>
        <w:numPr>
          <w:ilvl w:val="1"/>
          <w:numId w:val="3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INCREASED COSTS; TAXES; ILLEGALITY; INDEMNITY</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b w:val="1"/>
          <w:bCs w:val="1"/>
          <w:u w:val="single" w:color="auto"/>
          <w:color w:val="auto"/>
        </w:rPr>
        <w:t>Increased Costs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960" w:hanging="656"/>
        <w:spacing w:after="0"/>
        <w:tabs>
          <w:tab w:leader="none" w:pos="1960"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Increased Costs Generally</w:t>
      </w:r>
      <w:r>
        <w:rPr>
          <w:rFonts w:ascii="Times New Roman" w:cs="Times New Roman" w:eastAsia="Times New Roman" w:hAnsi="Times New Roman"/>
          <w:sz w:val="20"/>
          <w:szCs w:val="20"/>
          <w:color w:val="auto"/>
        </w:rPr>
        <w:t>. If any Change in Law shall:</w:t>
      </w:r>
    </w:p>
    <w:p>
      <w:pPr>
        <w:spacing w:after="0" w:line="215"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 the Issuing Lender;</w:t>
      </w:r>
    </w:p>
    <w:p>
      <w:pPr>
        <w:spacing w:after="0" w:line="184" w:lineRule="exact"/>
        <w:rPr>
          <w:rFonts w:ascii="Times New Roman" w:cs="Times New Roman" w:eastAsia="Times New Roman" w:hAnsi="Times New Roman"/>
          <w:sz w:val="20"/>
          <w:szCs w:val="20"/>
          <w:color w:val="auto"/>
        </w:rPr>
      </w:pPr>
    </w:p>
    <w:p>
      <w:pPr>
        <w:jc w:val="both"/>
        <w:ind w:firstLine="1952"/>
        <w:spacing w:after="0" w:line="274" w:lineRule="auto"/>
        <w:tabs>
          <w:tab w:leader="none" w:pos="2592" w:val="left"/>
        </w:tabs>
        <w:numPr>
          <w:ilvl w:val="1"/>
          <w:numId w:val="3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subject any Recipient to any Taxes (other than (A) Indemnified Taxes, (B) Taxes described in </w:t>
      </w:r>
      <w:r>
        <w:rPr>
          <w:rFonts w:ascii="Times New Roman" w:cs="Times New Roman" w:eastAsia="Times New Roman" w:hAnsi="Times New Roman"/>
          <w:sz w:val="19"/>
          <w:szCs w:val="19"/>
          <w:u w:val="single" w:color="auto"/>
          <w:color w:val="auto"/>
        </w:rPr>
        <w:t>clauses (b)</w:t>
      </w:r>
      <w:r>
        <w:rPr>
          <w:rFonts w:ascii="Times New Roman" w:cs="Times New Roman" w:eastAsia="Times New Roman" w:hAnsi="Times New Roman"/>
          <w:sz w:val="19"/>
          <w:szCs w:val="19"/>
          <w:color w:val="auto"/>
        </w:rPr>
        <w:t xml:space="preserve"> through </w:t>
      </w:r>
      <w:r>
        <w:rPr>
          <w:rFonts w:ascii="Times New Roman" w:cs="Times New Roman" w:eastAsia="Times New Roman" w:hAnsi="Times New Roman"/>
          <w:sz w:val="19"/>
          <w:szCs w:val="19"/>
          <w:u w:val="single" w:color="auto"/>
          <w:color w:val="auto"/>
        </w:rPr>
        <w:t>(d)</w:t>
      </w:r>
      <w:r>
        <w:rPr>
          <w:rFonts w:ascii="Times New Roman" w:cs="Times New Roman" w:eastAsia="Times New Roman" w:hAnsi="Times New Roman"/>
          <w:sz w:val="19"/>
          <w:szCs w:val="19"/>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56" w:lineRule="exact"/>
        <w:rPr>
          <w:rFonts w:ascii="Times New Roman" w:cs="Times New Roman" w:eastAsia="Times New Roman" w:hAnsi="Times New Roman"/>
          <w:sz w:val="19"/>
          <w:szCs w:val="19"/>
          <w:color w:val="auto"/>
        </w:rPr>
      </w:pPr>
    </w:p>
    <w:p>
      <w:pPr>
        <w:jc w:val="both"/>
        <w:ind w:right="20" w:firstLine="1952"/>
        <w:spacing w:after="0" w:line="254" w:lineRule="auto"/>
        <w:tabs>
          <w:tab w:leader="none" w:pos="2592" w:val="left"/>
        </w:tabs>
        <w:numPr>
          <w:ilvl w:val="1"/>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impose on any Lender or the Issuing Lender or any applicable offshore interbank market any other condition, cost or expense (other than Taxes) affecting this Agreement or Loans made by such Lender or any Letter of Credit or participation in any such Loan or Letter of Credit;</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and the result of any of the foregoing shall be to increase the cost to such Lender, such Issuing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amount of any sum received or receivable by such Lender, Issuing Lender or other Recipient hereunder (whether of principal, interest or any other amount) then, upon request of such Lender, Issuing Lender or other Recipient, the Borrower will pay to such Lender, Issuing Lender or other Recipient, as the case may be, such additional amount or amounts as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6" w:name="page337"/>
    <w:bookmarkEnd w:id="336"/>
    <w:p>
      <w:pPr>
        <w:spacing w:after="0" w:line="268" w:lineRule="auto"/>
        <w:rPr>
          <w:sz w:val="20"/>
          <w:szCs w:val="20"/>
          <w:color w:val="auto"/>
        </w:rPr>
      </w:pPr>
      <w:r>
        <w:rPr>
          <w:rFonts w:ascii="Times New Roman" w:cs="Times New Roman" w:eastAsia="Times New Roman" w:hAnsi="Times New Roman"/>
          <w:sz w:val="20"/>
          <w:szCs w:val="20"/>
          <w:color w:val="auto"/>
        </w:rPr>
        <w:t>will compensate such Lender, Issuing Lender or other Recipient, as the case may be, for such additional costs incurred or reduction suffered.</w:t>
      </w:r>
    </w:p>
    <w:p>
      <w:pPr>
        <w:spacing w:after="0" w:line="161" w:lineRule="exact"/>
        <w:rPr>
          <w:sz w:val="20"/>
          <w:szCs w:val="20"/>
          <w:color w:val="auto"/>
        </w:rPr>
      </w:pPr>
    </w:p>
    <w:p>
      <w:pPr>
        <w:jc w:val="both"/>
        <w:ind w:firstLine="1304"/>
        <w:spacing w:after="0" w:line="242" w:lineRule="auto"/>
        <w:tabs>
          <w:tab w:leader="none" w:pos="1944"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Capital Requirements</w:t>
      </w:r>
      <w:r>
        <w:rPr>
          <w:rFonts w:ascii="Times New Roman" w:cs="Times New Roman" w:eastAsia="Times New Roman" w:hAnsi="Times New Roman"/>
          <w:sz w:val="20"/>
          <w:szCs w:val="20"/>
          <w:color w:val="auto"/>
        </w:rPr>
        <w:t>. 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 Line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 will pay to such Lender or the Issuing Lender, as the case may be, such additional amount or amounts as will compensate such Lender or the Issuing Lender or such Lender’s or the Issuing Lender’s holding company for any such reduction suffered.</w:t>
      </w:r>
    </w:p>
    <w:p>
      <w:pPr>
        <w:spacing w:after="0" w:line="187"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Certificates for Reimbursement</w:t>
      </w:r>
      <w:r>
        <w:rPr>
          <w:rFonts w:ascii="Times New Roman" w:cs="Times New Roman" w:eastAsia="Times New Roman" w:hAnsi="Times New Roman"/>
          <w:sz w:val="20"/>
          <w:szCs w:val="20"/>
          <w:color w:val="auto"/>
        </w:rPr>
        <w:t xml:space="preserve">. A certificate of a Lender or the Issuing Lender setting forth the amount or amounts necessary to compensate such Lender or the Issuing Lender or its holding company, as the case may be, as specified in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and delivered to the Borrower shall be conclusive absent manifest error. The Borrower shall pay such Lender or the Issuing Lender, as the case may be, the amount shown as due on any such certificate within ten (10) days after receipt thereof.</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Delay in Requests</w:t>
      </w:r>
      <w:r>
        <w:rPr>
          <w:rFonts w:ascii="Times New Roman" w:cs="Times New Roman" w:eastAsia="Times New Roman" w:hAnsi="Times New Roman"/>
          <w:sz w:val="20"/>
          <w:szCs w:val="20"/>
          <w:color w:val="auto"/>
        </w:rPr>
        <w:t xml:space="preserve">. Failure or delay on the part of any Lender or the Issuing Lender to demand compensation pursuant to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shall not constitute a waiver of such Lender’s or the Issuing Lender’s right to demand such compensation,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not be required to compensate a Lender or the Issuing Lender pursuant to this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for any increased costs incurred or reductions suffered more than nine (9) months prior to the date that such Lender or the Issuing Lender, as the case may be, notifies the Borrower of the Change in Law giving rise to such increased costs or reductions and of such Lender’s or the Issuing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3.2</w:t>
      </w:r>
      <w:r>
        <w:rPr>
          <w:sz w:val="20"/>
          <w:szCs w:val="20"/>
          <w:color w:val="auto"/>
        </w:rPr>
        <w:tab/>
      </w:r>
      <w:r>
        <w:rPr>
          <w:rFonts w:ascii="Times New Roman" w:cs="Times New Roman" w:eastAsia="Times New Roman" w:hAnsi="Times New Roman"/>
          <w:sz w:val="19"/>
          <w:szCs w:val="19"/>
          <w:b w:val="1"/>
          <w:bCs w:val="1"/>
          <w:u w:val="single" w:color="auto"/>
          <w:color w:val="auto"/>
        </w:rPr>
        <w:t>Taxes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right="20" w:firstLine="1304"/>
        <w:spacing w:after="0" w:line="269" w:lineRule="auto"/>
        <w:tabs>
          <w:tab w:leader="none" w:pos="1944"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Issuing Lender</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the term “Lender” includes the Issuing Lender and the term “applicable Law” includes FATCA.</w:t>
      </w:r>
    </w:p>
    <w:p>
      <w:pPr>
        <w:spacing w:after="0" w:line="15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Any and all payments by or on account of any obligation of any Loan Party hereunder or under any other Loan Document shall be made free and clear of and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and to the extent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7" w:name="page338"/>
    <w:bookmarkEnd w:id="337"/>
    <w:p>
      <w:pPr>
        <w:jc w:val="both"/>
        <w:ind w:firstLine="1304"/>
        <w:spacing w:after="0" w:line="253" w:lineRule="auto"/>
        <w:tabs>
          <w:tab w:leader="none" w:pos="1944"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Other Taxes by the Loan Parties</w:t>
      </w:r>
      <w:r>
        <w:rPr>
          <w:rFonts w:ascii="Times New Roman" w:cs="Times New Roman" w:eastAsia="Times New Roman" w:hAnsi="Times New Roman"/>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76"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Loan Parties</w:t>
      </w:r>
      <w:r>
        <w:rPr>
          <w:rFonts w:ascii="Times New Roman" w:cs="Times New Roman" w:eastAsia="Times New Roman" w:hAnsi="Times New Roman"/>
          <w:sz w:val="20"/>
          <w:szCs w:val="20"/>
          <w:color w:val="auto"/>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8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Lenders</w:t>
      </w:r>
      <w:r>
        <w:rPr>
          <w:rFonts w:ascii="Times New Roman" w:cs="Times New Roman" w:eastAsia="Times New Roman" w:hAnsi="Times New Roman"/>
          <w:sz w:val="20"/>
          <w:szCs w:val="20"/>
          <w:color w:val="auto"/>
        </w:rPr>
        <w:t xml:space="preserve">. Each Lender shall severally indemnify the Administrative Agent, within ten (10) days after demand therefor, for (i) any Indemnified Taxes attributable to such Lender (but only to the extent that the applicable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w:t>
      </w:r>
    </w:p>
    <w:p>
      <w:pPr>
        <w:spacing w:after="0" w:line="187"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Sections 3.2(g)(ii)(A)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(g)(ii)(D)</w:t>
      </w:r>
      <w:r>
        <w:rPr>
          <w:rFonts w:ascii="Times New Roman" w:cs="Times New Roman" w:eastAsia="Times New Roman" w:hAnsi="Times New Roman"/>
          <w:sz w:val="20"/>
          <w:szCs w:val="20"/>
          <w:color w:val="auto"/>
        </w:rPr>
        <w:t xml:space="preserve"> below) shall not be required if in the Lender’s reasonable judgment such completion, execution or submission would subject such Lender to any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20"/>
          <w:szCs w:val="20"/>
          <w:color w:val="auto"/>
        </w:rPr>
        <w:t>unreimbursed cost or expense or would materially prejudice the legal or commercial position of such Lender.</w:t>
      </w:r>
    </w:p>
    <w:p>
      <w:pPr>
        <w:spacing w:after="0" w:line="215" w:lineRule="exact"/>
        <w:rPr>
          <w:sz w:val="20"/>
          <w:szCs w:val="20"/>
          <w:color w:val="auto"/>
        </w:rPr>
      </w:pPr>
    </w:p>
    <w:p>
      <w:pPr>
        <w:ind w:left="2600" w:hanging="648"/>
        <w:spacing w:after="0"/>
        <w:tabs>
          <w:tab w:leader="none" w:pos="2600"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the foregoing, in the event that the Borrower is a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Borrower:</w:t>
      </w:r>
    </w:p>
    <w:p>
      <w:pPr>
        <w:spacing w:after="0" w:line="194" w:lineRule="exact"/>
        <w:rPr>
          <w:sz w:val="20"/>
          <w:szCs w:val="20"/>
          <w:color w:val="auto"/>
        </w:rPr>
      </w:pPr>
    </w:p>
    <w:p>
      <w:pPr>
        <w:jc w:val="both"/>
        <w:ind w:firstLine="2600"/>
        <w:spacing w:after="0" w:line="249" w:lineRule="auto"/>
        <w:tabs>
          <w:tab w:leader="none" w:pos="324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179" w:lineRule="exact"/>
        <w:rPr>
          <w:rFonts w:ascii="Times New Roman" w:cs="Times New Roman" w:eastAsia="Times New Roman" w:hAnsi="Times New Roman"/>
          <w:sz w:val="20"/>
          <w:szCs w:val="20"/>
          <w:color w:val="auto"/>
        </w:rPr>
      </w:pPr>
    </w:p>
    <w:p>
      <w:pPr>
        <w:jc w:val="both"/>
        <w:ind w:firstLine="2600"/>
        <w:spacing w:after="0" w:line="249" w:lineRule="auto"/>
        <w:tabs>
          <w:tab w:leader="none" w:pos="3240"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9" w:lineRule="exact"/>
        <w:rPr>
          <w:rFonts w:ascii="Times New Roman" w:cs="Times New Roman" w:eastAsia="Times New Roman" w:hAnsi="Times New Roman"/>
          <w:sz w:val="20"/>
          <w:szCs w:val="20"/>
          <w:color w:val="auto"/>
        </w:rPr>
      </w:pPr>
    </w:p>
    <w:p>
      <w:pPr>
        <w:jc w:val="both"/>
        <w:ind w:firstLine="3248"/>
        <w:spacing w:after="0" w:line="244" w:lineRule="auto"/>
        <w:tabs>
          <w:tab w:leader="none" w:pos="3888"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executed originals of IRS 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spacing w:after="0" w:line="185" w:lineRule="exact"/>
        <w:rPr>
          <w:rFonts w:ascii="Times New Roman" w:cs="Times New Roman" w:eastAsia="Times New Roman" w:hAnsi="Times New Roman"/>
          <w:sz w:val="20"/>
          <w:szCs w:val="20"/>
          <w:color w:val="auto"/>
        </w:rPr>
      </w:pPr>
    </w:p>
    <w:p>
      <w:pPr>
        <w:ind w:left="3900" w:hanging="652"/>
        <w:spacing w:after="0"/>
        <w:tabs>
          <w:tab w:leader="none" w:pos="3900"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executed originals of IRS Form W-8ECI;</w:t>
      </w:r>
    </w:p>
    <w:p>
      <w:pPr>
        <w:spacing w:after="0" w:line="215" w:lineRule="exact"/>
        <w:rPr>
          <w:rFonts w:ascii="Times New Roman" w:cs="Times New Roman" w:eastAsia="Times New Roman" w:hAnsi="Times New Roman"/>
          <w:sz w:val="20"/>
          <w:szCs w:val="20"/>
          <w:color w:val="auto"/>
        </w:rPr>
      </w:pPr>
    </w:p>
    <w:p>
      <w:pPr>
        <w:jc w:val="both"/>
        <w:ind w:firstLine="3248"/>
        <w:spacing w:after="0" w:line="245" w:lineRule="auto"/>
        <w:tabs>
          <w:tab w:leader="none" w:pos="3888"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Foreign Lender claiming the benefits of the exemption for portfolio interest under Section 881(c) of the Code, (x) a Tax Compliance Certificate to the effect that such Foreign Lender is not (A) a “bank” within the meaning of Section 881(c)(3)(A) of the Code, (B) a “10 percent shareholder” of the Borrower within the meaning of Section 871(h)(3)(B) of the Code, or (C) a “controlled foreign corporation” related to the Borrower as described in Section 881(c)(3)(C) of the Code and (y) executed originals of IRS Form W-8BEN or IRS Form W-8BEN-E, as applicable; or</w:t>
      </w:r>
    </w:p>
    <w:p>
      <w:pPr>
        <w:spacing w:after="0" w:line="184" w:lineRule="exact"/>
        <w:rPr>
          <w:rFonts w:ascii="Times New Roman" w:cs="Times New Roman" w:eastAsia="Times New Roman" w:hAnsi="Times New Roman"/>
          <w:sz w:val="20"/>
          <w:szCs w:val="20"/>
          <w:color w:val="auto"/>
        </w:rPr>
      </w:pPr>
    </w:p>
    <w:p>
      <w:pPr>
        <w:jc w:val="both"/>
        <w:ind w:firstLine="3248"/>
        <w:spacing w:after="0" w:line="245" w:lineRule="auto"/>
        <w:tabs>
          <w:tab w:leader="none" w:pos="3888" w:val="left"/>
        </w:tabs>
        <w:numPr>
          <w:ilvl w:val="1"/>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originals of IRS Form W-8IMY, accompanied by IRS Form W-8ECI, IRS Form W-8BEN or IRS Form W-8BEN-E, as applicable, a Tax Compliance Certificate, IRS Form W-9, and/or other certification documents from each beneficial owner,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Foreign Lender is a partnership and one or more direct or indirect partners of such Foreign Lender are claiming the portfolio interest exemption, such Foreign Lender may provide a Tax Compliance Certificate on behalf of each such direct and indirect partner;</w:t>
      </w:r>
    </w:p>
    <w:p>
      <w:pPr>
        <w:spacing w:after="0" w:line="184" w:lineRule="exact"/>
        <w:rPr>
          <w:rFonts w:ascii="Times New Roman" w:cs="Times New Roman" w:eastAsia="Times New Roman" w:hAnsi="Times New Roman"/>
          <w:sz w:val="20"/>
          <w:szCs w:val="20"/>
          <w:color w:val="auto"/>
        </w:rPr>
      </w:pPr>
    </w:p>
    <w:p>
      <w:pPr>
        <w:jc w:val="both"/>
        <w:ind w:firstLine="2600"/>
        <w:spacing w:after="0" w:line="263" w:lineRule="auto"/>
        <w:tabs>
          <w:tab w:leader="none" w:pos="3240" w:val="left"/>
        </w:tabs>
        <w:numPr>
          <w:ilvl w:val="0"/>
          <w:numId w:val="3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39" w:name="page340"/>
    <w:bookmarkEnd w:id="339"/>
    <w:p>
      <w:pPr>
        <w:spacing w:after="0" w:line="268" w:lineRule="auto"/>
        <w:rPr>
          <w:sz w:val="20"/>
          <w:szCs w:val="20"/>
          <w:color w:val="auto"/>
        </w:rPr>
      </w:pPr>
      <w:r>
        <w:rPr>
          <w:rFonts w:ascii="Times New Roman" w:cs="Times New Roman" w:eastAsia="Times New Roman" w:hAnsi="Times New Roman"/>
          <w:sz w:val="20"/>
          <w:szCs w:val="20"/>
          <w:color w:val="auto"/>
        </w:rPr>
        <w:t>such supplementary documentation as may be prescribed by applicable Law to permit the Borrower or the Administrative Agent to determine the withholding or deduction required to be made; and</w:t>
      </w:r>
    </w:p>
    <w:p>
      <w:pPr>
        <w:spacing w:after="0" w:line="161" w:lineRule="exact"/>
        <w:rPr>
          <w:sz w:val="20"/>
          <w:szCs w:val="20"/>
          <w:color w:val="auto"/>
        </w:rPr>
      </w:pPr>
    </w:p>
    <w:p>
      <w:pPr>
        <w:jc w:val="both"/>
        <w:ind w:firstLine="2600"/>
        <w:spacing w:after="0" w:line="242" w:lineRule="auto"/>
        <w:tabs>
          <w:tab w:leader="none" w:pos="3240" w:val="left"/>
        </w:tabs>
        <w:numPr>
          <w:ilvl w:val="0"/>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174" w:lineRule="exact"/>
        <w:rPr>
          <w:sz w:val="20"/>
          <w:szCs w:val="20"/>
          <w:color w:val="auto"/>
        </w:rPr>
      </w:pPr>
    </w:p>
    <w:p>
      <w:pPr>
        <w:jc w:val="both"/>
        <w:ind w:firstLine="1304"/>
        <w:spacing w:after="0" w:line="241" w:lineRule="auto"/>
        <w:tabs>
          <w:tab w:leader="none" w:pos="1944"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with respect to the Taxes giving rise to such refund), net of all out- 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20"/>
          <w:szCs w:val="20"/>
          <w:u w:val="single" w:color="auto"/>
          <w:color w:val="auto"/>
        </w:rPr>
        <w:t>clause (h)</w:t>
      </w:r>
      <w:r>
        <w:rPr>
          <w:rFonts w:ascii="Times New Roman" w:cs="Times New Roman" w:eastAsia="Times New Roman" w:hAnsi="Times New Roman"/>
          <w:sz w:val="20"/>
          <w:szCs w:val="20"/>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u w:val="single" w:color="auto"/>
          <w:color w:val="auto"/>
        </w:rPr>
        <w:t>Illegality</w:t>
      </w:r>
      <w:r>
        <w:rPr>
          <w:rFonts w:ascii="Times New Roman" w:cs="Times New Roman" w:eastAsia="Times New Roman" w:hAnsi="Times New Roman"/>
          <w:sz w:val="20"/>
          <w:szCs w:val="20"/>
          <w:color w:val="auto"/>
        </w:rPr>
        <w:t>. If any Lender determines that any Law has made it unlawful, or that any Governmental Authority has asserted that it is unlawful, for any Lender or its applicable lending office to make, maintain or fund any Loans (other than Base Rate Loans) or to determine or charge interest based upon any Benchmark, then, upon notice thereof by such Lender to the Borrower (through the Administrative Agent), (a) any obligation of the Lenders to make such Loans, and any right of the Borrower to continue such Loans or to convert Base Rate Loans to such Loans, shall be suspended, and (b), if necessary to avoid such illegality, the interest rate on the Base Rate Loans shall be determined by the Administrative Agent without reference to clause (c) of the definition of “Alternate Base Rate”, in each case until such Lender notifies the Administrative Agent and the Borrower that the circumstances giving rise to such determination no longer exist. Upon receipt of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0" w:name="page341"/>
    <w:bookmarkEnd w:id="340"/>
    <w:p>
      <w:pPr>
        <w:jc w:val="both"/>
        <w:ind w:firstLine="1952"/>
        <w:spacing w:after="0" w:line="249" w:lineRule="auto"/>
        <w:tabs>
          <w:tab w:leader="none" w:pos="2592"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if necessary to avoid such illegality, upon demand from any Lender (with a copy to the Administrative Agent), prepay or, if applicable, convert all such Loans to Base Rate Loans (if necessary to avoid such illegality, the interest rate on the Base Rate Loans of such Lender shall be determined by the Administrative Agent without reference to clause (c) of the definition of “Alternate Base Rate”),</w:t>
      </w:r>
    </w:p>
    <w:p>
      <w:pPr>
        <w:spacing w:after="0" w:line="178" w:lineRule="exact"/>
        <w:rPr>
          <w:rFonts w:ascii="Times New Roman" w:cs="Times New Roman" w:eastAsia="Times New Roman" w:hAnsi="Times New Roman"/>
          <w:sz w:val="20"/>
          <w:szCs w:val="20"/>
          <w:color w:val="auto"/>
        </w:rPr>
      </w:pPr>
    </w:p>
    <w:p>
      <w:pPr>
        <w:ind w:left="3240" w:hanging="640"/>
        <w:spacing w:after="0"/>
        <w:tabs>
          <w:tab w:leader="none" w:pos="324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Loans are not subject to an Interest Period, immediately, or</w:t>
      </w:r>
    </w:p>
    <w:p>
      <w:pPr>
        <w:spacing w:after="0" w:line="215" w:lineRule="exact"/>
        <w:rPr>
          <w:rFonts w:ascii="Times New Roman" w:cs="Times New Roman" w:eastAsia="Times New Roman" w:hAnsi="Times New Roman"/>
          <w:sz w:val="20"/>
          <w:szCs w:val="20"/>
          <w:color w:val="auto"/>
        </w:rPr>
      </w:pPr>
    </w:p>
    <w:p>
      <w:pPr>
        <w:jc w:val="both"/>
        <w:ind w:firstLine="2600"/>
        <w:spacing w:after="0" w:line="254" w:lineRule="auto"/>
        <w:tabs>
          <w:tab w:leader="none" w:pos="324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such Loans are subject to an Interest Period, on the last day of the Interest Period therefor, if all affected Lenders may lawfully continue to maintain such Loans to such day, or immediately, if any Lender may not lawfully continue to maintain such Loans to such day, and</w:t>
      </w:r>
    </w:p>
    <w:p>
      <w:pPr>
        <w:spacing w:after="0" w:line="174" w:lineRule="exact"/>
        <w:rPr>
          <w:rFonts w:ascii="Times New Roman" w:cs="Times New Roman" w:eastAsia="Times New Roman" w:hAnsi="Times New Roman"/>
          <w:sz w:val="20"/>
          <w:szCs w:val="20"/>
          <w:color w:val="auto"/>
        </w:rPr>
      </w:pPr>
    </w:p>
    <w:p>
      <w:pPr>
        <w:ind w:right="20" w:firstLine="1952"/>
        <w:spacing w:after="0" w:line="269" w:lineRule="auto"/>
        <w:tabs>
          <w:tab w:leader="none" w:pos="2592"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necessary to avoid such illegality, the Administrative Agent shall during the period of such suspension compute the Alternate Base Rate without reference to clause (c) of the definition of “Alternate Base Rate,”</w:t>
      </w:r>
    </w:p>
    <w:p>
      <w:pPr>
        <w:spacing w:after="0" w:line="15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 xml:space="preserve">in each case until the Administrative Agent is advised in writing by each affected Lender that it is no longer illegal for such Lender to determine or charge interest rates based upon such Benchmark. Upon any such prepayment or conversion, the Borrower shall also pay accrued and unpaid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19"/>
          <w:szCs w:val="19"/>
          <w:b w:val="1"/>
          <w:bCs w:val="1"/>
          <w:u w:val="single" w:color="auto"/>
          <w:color w:val="auto"/>
        </w:rPr>
        <w:t>Inability to Determine Rate; Cost; Interest After Default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304"/>
        <w:spacing w:after="0" w:line="269" w:lineRule="auto"/>
        <w:tabs>
          <w:tab w:leader="none" w:pos="1944"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Inability to Determine Rate; Cost</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if, on or prior to the commencement of any Interest Period (or, in the case of any Benchmark that is not subject to an Interest Period, on any Business Day):</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for any reason (other than a Benchmark Transition Event) any Benchmark cannot be determined pursuant to the definition thereof;</w:t>
      </w:r>
    </w:p>
    <w:p>
      <w:pPr>
        <w:spacing w:after="0" w:line="17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Loan that is subject to an Interest Period or a conversion thereto or a continuation thereof that the Benchmark for any requested Interest Period with respect to a proposed Loan does not adequately and fairly reflect the cost to such Lenders of making and maintaining such Loan, and the Required Lenders have provided notice of such determination to the Administrative Agent; or</w:t>
      </w:r>
    </w:p>
    <w:p>
      <w:pPr>
        <w:spacing w:after="0" w:line="18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Required Lenders determine that for any reason in connection with any request for a Loan that is not subject to an Interest Period (other than a Base Rate Loan) or a conversion thereto or a continuation thereof or the maintaining thereof that the Benchmark with respect to a proposed Loan or outstanding Loan does not adequately and fairly reflect the cost to such Lenders of making and maintaining such Loan, and the Required Lenders have provided notice of such determination to the Administrative Agent,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then the Administrative Agent shall give notice thereof to the Borrower and the Lenders.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notice thereof by the Administrative Agent to the Borrower,</w:t>
      </w:r>
    </w:p>
    <w:p>
      <w:pPr>
        <w:spacing w:after="0" w:line="216" w:lineRule="exact"/>
        <w:rPr>
          <w:sz w:val="20"/>
          <w:szCs w:val="20"/>
          <w:color w:val="auto"/>
        </w:rPr>
      </w:pPr>
    </w:p>
    <w:p>
      <w:pPr>
        <w:ind w:left="660" w:firstLine="644"/>
        <w:spacing w:after="0" w:line="269" w:lineRule="auto"/>
        <w:tabs>
          <w:tab w:leader="none" w:pos="1956"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the Lenders to make such Loans that are subject to an Interest Period, and any right of the Borrower to continue such Loans or to convert to such Loans,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1" w:name="page342"/>
    <w:bookmarkEnd w:id="341"/>
    <w:p>
      <w:pPr>
        <w:ind w:left="660"/>
        <w:spacing w:after="0" w:line="268" w:lineRule="auto"/>
        <w:rPr>
          <w:sz w:val="20"/>
          <w:szCs w:val="20"/>
          <w:color w:val="auto"/>
        </w:rPr>
      </w:pPr>
      <w:r>
        <w:rPr>
          <w:rFonts w:ascii="Times New Roman" w:cs="Times New Roman" w:eastAsia="Times New Roman" w:hAnsi="Times New Roman"/>
          <w:sz w:val="20"/>
          <w:szCs w:val="20"/>
          <w:color w:val="auto"/>
        </w:rPr>
        <w:t>suspended (to the extent of the affected Loans or affected Interest Periods) until the Administrative Agent (with respect to clause (ii), at the instruction of the Required Lenders) revokes such notice;</w:t>
      </w:r>
    </w:p>
    <w:p>
      <w:pPr>
        <w:spacing w:after="0" w:line="161" w:lineRule="exact"/>
        <w:rPr>
          <w:sz w:val="20"/>
          <w:szCs w:val="20"/>
          <w:color w:val="auto"/>
        </w:rPr>
      </w:pPr>
    </w:p>
    <w:p>
      <w:pPr>
        <w:jc w:val="both"/>
        <w:ind w:left="660" w:firstLine="644"/>
        <w:spacing w:after="0" w:line="249" w:lineRule="auto"/>
        <w:tabs>
          <w:tab w:leader="none" w:pos="1956"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of the Lenders to make or maintain such Loans that are not subject to an Interest Period (other than Base Rate Loans), and any right of the Borrower to continue such Loans or to convert to such Loans (other than Base Rate Loans), shall be suspended (to the extent of the affected Loans) until the Administrative Agent (with respect to clause (iii), at the instruction of the Required Lenders) revokes such notice;</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revoke any pending request for a borrowing of, conversion to or continuation of such Loans (to the extent of the affected Loans or affected Interest Periods) or, failing that, the Borrower will be deemed to have converted any such request into a request for a Borrowing of or conversion to Base Rate Loans in the amount specified therein;</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49" w:lineRule="auto"/>
        <w:tabs>
          <w:tab w:leader="none" w:pos="1956"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outstanding affected Loans will be deemed to have been converted into Base Rate Loans at the end of the applicable Interest Period (or if such Loans are not subject to an Interest Period, immediately) and, upon any such conversion, the Borrower shall also pay accrued interest on the amount so converted, together with any additional amounts required pursuant to </w:t>
      </w: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and</w:t>
      </w:r>
    </w:p>
    <w:p>
      <w:pPr>
        <w:spacing w:after="0" w:line="179" w:lineRule="exact"/>
        <w:rPr>
          <w:rFonts w:ascii="Times New Roman" w:cs="Times New Roman" w:eastAsia="Times New Roman" w:hAnsi="Times New Roman"/>
          <w:sz w:val="20"/>
          <w:szCs w:val="20"/>
          <w:color w:val="auto"/>
        </w:rPr>
      </w:pPr>
    </w:p>
    <w:p>
      <w:pPr>
        <w:jc w:val="both"/>
        <w:ind w:left="660" w:firstLine="644"/>
        <w:spacing w:after="0" w:line="254" w:lineRule="auto"/>
        <w:tabs>
          <w:tab w:leader="none" w:pos="1956"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notice under </w:t>
      </w:r>
      <w:r>
        <w:rPr>
          <w:rFonts w:ascii="Times New Roman" w:cs="Times New Roman" w:eastAsia="Times New Roman" w:hAnsi="Times New Roman"/>
          <w:sz w:val="20"/>
          <w:szCs w:val="20"/>
          <w:u w:val="single" w:color="auto"/>
          <w:color w:val="auto"/>
        </w:rPr>
        <w:t>Section 3.4(a)(i)</w:t>
      </w:r>
      <w:r>
        <w:rPr>
          <w:rFonts w:ascii="Times New Roman" w:cs="Times New Roman" w:eastAsia="Times New Roman" w:hAnsi="Times New Roman"/>
          <w:sz w:val="20"/>
          <w:szCs w:val="20"/>
          <w:color w:val="auto"/>
        </w:rPr>
        <w:t xml:space="preserve"> regarding any Benchmark used as a component of the Alternate Base Rate, such component will not be used in any determination of Base Rate Loans until such notice is revoked.</w:t>
      </w:r>
    </w:p>
    <w:p>
      <w:pPr>
        <w:spacing w:after="0" w:line="174" w:lineRule="exact"/>
        <w:rPr>
          <w:sz w:val="20"/>
          <w:szCs w:val="20"/>
          <w:color w:val="auto"/>
        </w:rPr>
      </w:pPr>
    </w:p>
    <w:p>
      <w:pPr>
        <w:jc w:val="both"/>
        <w:ind w:firstLine="1304"/>
        <w:spacing w:after="0" w:line="243" w:lineRule="auto"/>
        <w:tabs>
          <w:tab w:leader="none" w:pos="1944"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Rate</w:t>
      </w:r>
      <w:r>
        <w:rPr>
          <w:rFonts w:ascii="Times New Roman" w:cs="Times New Roman" w:eastAsia="Times New Roman" w:hAnsi="Times New Roman"/>
          <w:sz w:val="20"/>
          <w:szCs w:val="20"/>
          <w:color w:val="auto"/>
        </w:rPr>
        <w:t xml:space="preserve">. To the extent permitted by Law, immediately upon the occurrence and during the continuation of an Event of Default under clause (a) or (l) of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or immediately after written demand by the Required Lenders to the Administrative Agent upon the occurrence and during the continuation of any other Event of Default, then the principal amount of all Obligations shall bear interest at the Default Rate and the rates applicable to Letter of Credit Fees shall be increased to the Default Rate. The Borrower acknowledges and agrees that the increase in rates referred to in this </w:t>
      </w:r>
      <w:r>
        <w:rPr>
          <w:rFonts w:ascii="Times New Roman" w:cs="Times New Roman" w:eastAsia="Times New Roman" w:hAnsi="Times New Roman"/>
          <w:sz w:val="20"/>
          <w:szCs w:val="20"/>
          <w:u w:val="single" w:color="auto"/>
          <w:color w:val="auto"/>
        </w:rPr>
        <w:t>Section 3.4(b)</w:t>
      </w:r>
      <w:r>
        <w:rPr>
          <w:rFonts w:ascii="Times New Roman" w:cs="Times New Roman" w:eastAsia="Times New Roman" w:hAnsi="Times New Roman"/>
          <w:sz w:val="20"/>
          <w:szCs w:val="20"/>
          <w:color w:val="auto"/>
        </w:rPr>
        <w:t xml:space="preserve"> reflects, among other things, the fact that such Loans or other amounts have become a substantially greater risk given their default status and that the Lenders are entitled to additional compensation for such risk; and all such interest shall be payable by the Borrower upon demand by the Administrative Agent.</w:t>
      </w:r>
    </w:p>
    <w:p>
      <w:pPr>
        <w:spacing w:after="0" w:line="185"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b w:val="1"/>
          <w:bCs w:val="1"/>
          <w:u w:val="single" w:color="auto"/>
          <w:color w:val="auto"/>
        </w:rPr>
        <w:t>Indemnity</w:t>
      </w:r>
      <w:r>
        <w:rPr>
          <w:rFonts w:ascii="Times New Roman" w:cs="Times New Roman" w:eastAsia="Times New Roman" w:hAnsi="Times New Roman"/>
          <w:sz w:val="20"/>
          <w:szCs w:val="20"/>
          <w:color w:val="auto"/>
        </w:rPr>
        <w:t>. Upon demand of any Lender (with a copy to the Administrative Agent) from time to time, the Borrower shall promptly compensate such Lender for and hold such Lender harmless from any loss, cost or expense attributable to or incurred by it as a result of:</w:t>
      </w:r>
    </w:p>
    <w:p>
      <w:pPr>
        <w:spacing w:after="0" w:line="173" w:lineRule="exact"/>
        <w:rPr>
          <w:sz w:val="20"/>
          <w:szCs w:val="20"/>
          <w:color w:val="auto"/>
        </w:rPr>
      </w:pPr>
    </w:p>
    <w:p>
      <w:pPr>
        <w:jc w:val="both"/>
        <w:ind w:firstLine="1304"/>
        <w:spacing w:after="0" w:line="254" w:lineRule="auto"/>
        <w:tabs>
          <w:tab w:leader="none" w:pos="1944"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continuation, conversion, payment or prepayment of any Loan that is subject to an Interest Period on a day other than the last day of the Interest Period for such Loan (whether voluntary, mandatory, automatic, by reason of acceleration, or otherwise);</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by the Borrower (for a reason other than the failure of such Lender to make a Loan) to prepay, borrow, continue or convert any Loan subject to an Interest Period on the date or in the amount notified by the Borrower; or</w:t>
      </w:r>
    </w:p>
    <w:p>
      <w:pPr>
        <w:spacing w:after="0" w:line="174"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assignment of a Loan subject to an Interest Period on a day other than the last day of the Interest Period therefor as a result of a request by the Borrower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2" w:name="page343"/>
    <w:bookmarkEnd w:id="342"/>
    <w:p>
      <w:pPr>
        <w:jc w:val="both"/>
        <w:spacing w:after="0" w:line="253" w:lineRule="auto"/>
        <w:rPr>
          <w:sz w:val="20"/>
          <w:szCs w:val="20"/>
          <w:color w:val="auto"/>
        </w:rPr>
      </w:pPr>
      <w:r>
        <w:rPr>
          <w:rFonts w:ascii="Times New Roman" w:cs="Times New Roman" w:eastAsia="Times New Roman" w:hAnsi="Times New Roman"/>
          <w:sz w:val="20"/>
          <w:szCs w:val="20"/>
          <w:color w:val="auto"/>
        </w:rPr>
        <w:t>including any loss of anticipated profits and any loss, cost or expenses arising from the liquidation or reemployment of funds or from any fees payable. The Borrower shall also pay any customary administrative fees charged by such Lender in connection with the foregoing.</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19"/>
          <w:szCs w:val="19"/>
          <w:b w:val="1"/>
          <w:bCs w:val="1"/>
          <w:u w:val="single" w:color="auto"/>
          <w:color w:val="auto"/>
        </w:rPr>
        <w:t>Mitigation Obligations; Replacement of Lenders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Designation of a Different Lending Office</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requires any Loan Party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8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Replacement of Lenders</w:t>
      </w:r>
      <w:r>
        <w:rPr>
          <w:rFonts w:ascii="Times New Roman" w:cs="Times New Roman" w:eastAsia="Times New Roman" w:hAnsi="Times New Roman"/>
          <w:sz w:val="20"/>
          <w:szCs w:val="20"/>
          <w:color w:val="auto"/>
        </w:rPr>
        <w:t xml:space="preserve">. If any Lender requests compensation under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if the Borrower is required to pay any Indemnified Taxes or additional amounts to any Lender or any Governmental Authority for the account of any Lender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and, in each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3.6(a)</w:t>
      </w:r>
      <w:r>
        <w:rPr>
          <w:rFonts w:ascii="Times New Roman" w:cs="Times New Roman" w:eastAsia="Times New Roman" w:hAnsi="Times New Roman"/>
          <w:sz w:val="20"/>
          <w:szCs w:val="20"/>
          <w:color w:val="auto"/>
        </w:rPr>
        <w:t xml:space="preserve"> above or if any Lender is a Defaulting Lender or a Non-Consenting Lender, then the Borrower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all of its interests, rights (other than its existing rights to payments pursuant to </w:t>
      </w: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and obligations under this Agreement and the related Loan Documents to an Eligible Assignee that shall assume such obligations (which assignee may be another Lender, if a Lender accepts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92"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have paid to the Administrative Agent the assignment fee (if any)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specified in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w:t>
      </w:r>
    </w:p>
    <w:p>
      <w:pPr>
        <w:spacing w:after="0" w:line="193" w:lineRule="exact"/>
        <w:rPr>
          <w:rFonts w:ascii="Times New Roman" w:cs="Times New Roman" w:eastAsia="Times New Roman" w:hAnsi="Times New Roman"/>
          <w:sz w:val="20"/>
          <w:szCs w:val="20"/>
          <w:color w:val="auto"/>
        </w:rPr>
      </w:pPr>
    </w:p>
    <w:p>
      <w:pPr>
        <w:jc w:val="both"/>
        <w:ind w:firstLine="1952"/>
        <w:spacing w:after="0" w:line="266" w:lineRule="auto"/>
        <w:tabs>
          <w:tab w:leader="none" w:pos="2592" w:val="left"/>
        </w:tabs>
        <w:numPr>
          <w:ilvl w:val="1"/>
          <w:numId w:val="3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such Lender shall have received payment of an amount equal to the outstanding principal of its Loans and participations in Letter of Credit drawings, accrued interest thereon, accrued fees and all other amounts payable to it hereunder and under the other Loan Documents (including any amounts under </w:t>
      </w:r>
      <w:r>
        <w:rPr>
          <w:rFonts w:ascii="Times New Roman" w:cs="Times New Roman" w:eastAsia="Times New Roman" w:hAnsi="Times New Roman"/>
          <w:sz w:val="19"/>
          <w:szCs w:val="19"/>
          <w:u w:val="single" w:color="auto"/>
          <w:color w:val="auto"/>
        </w:rPr>
        <w:t>Section 3.5</w:t>
      </w:r>
      <w:r>
        <w:rPr>
          <w:rFonts w:ascii="Times New Roman" w:cs="Times New Roman" w:eastAsia="Times New Roman" w:hAnsi="Times New Roman"/>
          <w:sz w:val="19"/>
          <w:szCs w:val="19"/>
          <w:color w:val="auto"/>
        </w:rPr>
        <w:t>) from the assignee (to the extent of such outstanding principal and accrued interest and fees) or the Borrower (in the case of all other amounts);</w:t>
      </w:r>
    </w:p>
    <w:p>
      <w:pPr>
        <w:spacing w:after="0" w:line="165" w:lineRule="exact"/>
        <w:rPr>
          <w:rFonts w:ascii="Times New Roman" w:cs="Times New Roman" w:eastAsia="Times New Roman" w:hAnsi="Times New Roman"/>
          <w:sz w:val="19"/>
          <w:szCs w:val="19"/>
          <w:color w:val="auto"/>
        </w:rPr>
      </w:pPr>
    </w:p>
    <w:p>
      <w:pPr>
        <w:jc w:val="both"/>
        <w:ind w:firstLine="1952"/>
        <w:spacing w:after="0" w:line="254" w:lineRule="auto"/>
        <w:tabs>
          <w:tab w:leader="none" w:pos="2592"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any such assignment resulting from a claim for compensation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w:t>
      </w:r>
      <w:r>
        <w:rPr>
          <w:rFonts w:ascii="Times New Roman" w:cs="Times New Roman" w:eastAsia="Times New Roman" w:hAnsi="Times New Roman"/>
          <w:sz w:val="20"/>
          <w:szCs w:val="20"/>
          <w:color w:val="auto"/>
        </w:rPr>
        <w:t xml:space="preserve"> or payments required to be made pursuant to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such assignment will result in a reduction in such compensation or payments thereafter;</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assignment does not conflict with applicable Law;</w:t>
      </w:r>
    </w:p>
    <w:p>
      <w:pPr>
        <w:spacing w:after="0" w:line="215"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any assignment resulting from a Lender becoming a Non- Consenting Lender, the applicable assignee shall have consented to the applicable amendment, waiver or consent; and</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1"/>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3" w:name="page344"/>
    <w:bookmarkEnd w:id="343"/>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Each party hereto agrees that (x) an assignment required pursuant to this </w:t>
      </w:r>
      <w:r>
        <w:rPr>
          <w:rFonts w:ascii="Times New Roman" w:cs="Times New Roman" w:eastAsia="Times New Roman" w:hAnsi="Times New Roman"/>
          <w:sz w:val="20"/>
          <w:szCs w:val="20"/>
          <w:u w:val="single" w:color="auto"/>
          <w:color w:val="auto"/>
        </w:rPr>
        <w:t>Section 3.6(b)</w:t>
      </w:r>
      <w:r>
        <w:rPr>
          <w:rFonts w:ascii="Times New Roman" w:cs="Times New Roman" w:eastAsia="Times New Roman" w:hAnsi="Times New Roman"/>
          <w:sz w:val="20"/>
          <w:szCs w:val="20"/>
          <w:color w:val="auto"/>
        </w:rPr>
        <w:t xml:space="preserve"> may be effected pursuant to an Assignment and Assumption executed by the Borrower, the Administrative Agent and the assignee and (y) the Lender required to make such assignment need not be a party thereto in order for such assignment to be effective and shall be deemed to have consented to and be bound by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any such documents shall be without recourse to or warranty by the parties thereto.</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b w:val="1"/>
          <w:bCs w:val="1"/>
          <w:u w:val="single" w:color="auto"/>
          <w:color w:val="auto"/>
        </w:rPr>
        <w:t>Benchmark Replacement Setting</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Notwithstanding anything to the contrary herein or in any other Loan Document (and, for the avoidance of doubt, any Secured Bank Product or Hedge Agreement shall be deemed not to be a “Loan Document”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3.7</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1304"/>
        <w:spacing w:after="0" w:line="235" w:lineRule="auto"/>
        <w:tabs>
          <w:tab w:leader="none" w:pos="1944"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Replacing Benchmarks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Upon a date and time determined by the Administrative Agent as to any Benchmark which date shall be no later than the occurrence of a Benchmark Transition Event with respect to such Benchmark, the applicable Benchmark Replacement will replace the applicable then-current Benchmark for all purposes hereunder and under any Loan Document in respect of any setting of such Benchmark at or after 3:00 p.m. on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20"/>
          <w:szCs w:val="20"/>
          <w:color w:val="auto"/>
        </w:rPr>
        <w:t>) Business Day after the date notice of such Benchmark Replacement is provided to the affected Lenders without any amendment to, or further action or consent of any other party to, this Agreement or any other Loan Document so long as the Administrative Agent has not received, by such time, written notice of objection to such Benchmark Replacement from the Required Lenders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At any time that the administrator of the applicable then-current Benchmark has permanently or indefinitely ceased to provide such Benchmark or such Benchmark has been announced by the regulatory supervisor for the administrator of such Benchmark pursuant to public statement or publication of information to be not representative of the underlying market and economic reality that such Benchmark is intended to measure and that representativeness will not be restored, the Borrower may revoke any request for a borrowing of, conversion to or continuation of Loans to be made, converted or continued that would bear interest by reference to such Benchmark until the Borrower’s receipt of notice from the Administrative Agent that a Benchmark Replacement has replaced such Benchmark, and, failing that, the Borrower will be deemed to have converted any such request into a request for a borrowing of or conversion to Base Rate Loans. During the period referenced in the foregoing sentence, the component of the Alternate Base Rate based upon such Benchmark (if any) will not be used in any determination of the Alternate Base Rate.</w:t>
      </w:r>
    </w:p>
    <w:p>
      <w:pPr>
        <w:spacing w:after="0" w:line="187"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In connection with the use, administration, adoption or implementation of a Benchmark Replacement, the Administrative Agent will have the right to make Benchmark Replacement Conforming Changes, in consultation with the Borrower,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78"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Administrative Agent will promptly notify the Borrower and the Lenders of (i) the implementation of any Benchmark Replacement, and (ii) the effectiveness of any Benchmark Replacement Conforming Changes in connection with the use, administration, adoption or implementation of a Benchmark Replacement. The Administrative Agent will notify the Borrower of the removal or reinstatement of any tenor of a Benchmark pursuant to </w:t>
      </w:r>
      <w:r>
        <w:rPr>
          <w:rFonts w:ascii="Times New Roman" w:cs="Times New Roman" w:eastAsia="Times New Roman" w:hAnsi="Times New Roman"/>
          <w:sz w:val="20"/>
          <w:szCs w:val="20"/>
          <w:u w:val="single" w:color="auto"/>
          <w:color w:val="auto"/>
        </w:rPr>
        <w:t>Section 3.7(d</w:t>
      </w:r>
      <w:r>
        <w:rPr>
          <w:rFonts w:ascii="Times New Roman" w:cs="Times New Roman" w:eastAsia="Times New Roman" w:hAnsi="Times New Roman"/>
          <w:sz w:val="20"/>
          <w:szCs w:val="20"/>
          <w:color w:val="auto"/>
        </w:rPr>
        <w:t xml:space="preserve">). Any determination, decision or election that may be made by the Administrative Agent or, if applicable, any Lender (or group of Lenders) pursuant to this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 including any determination with respect to a tenor, rate or adjustment or of the occurrence or non-occurrence of an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4" w:name="page345"/>
    <w:bookmarkEnd w:id="344"/>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circumstance or date and any decision to take or refrain from taking any action, will be conclusive and binding absent manifest error and may be made in its or their sole discretion and without consent from any other party hereto or any other Loan Document, except, in each case, as required pursuant to this </w:t>
      </w:r>
      <w:r>
        <w:rPr>
          <w:rFonts w:ascii="Times New Roman" w:cs="Times New Roman" w:eastAsia="Times New Roman" w:hAnsi="Times New Roman"/>
          <w:sz w:val="20"/>
          <w:szCs w:val="20"/>
          <w:u w:val="single" w:color="auto"/>
          <w:color w:val="auto"/>
        </w:rPr>
        <w:t>Section 3.7</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firstLine="1304"/>
        <w:spacing w:after="0" w:line="247" w:lineRule="auto"/>
        <w:tabs>
          <w:tab w:leader="none" w:pos="1944"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At any time (including in connection with the implementation of a Benchmark Replacement), (i) if the applicable then-current Benchmark is a term rate (including the Term SOFR Rate), then the Administrative Agent may remove any tenor of such Benchmark that is unavailable or non-representative for Benchmark (including Benchmark Replacement) settings and (ii) the Administrative Agent may reinstate any such previously removed tenor for such Benchmark (including any applicable Benchmark Replacement) settings.</w:t>
      </w:r>
    </w:p>
    <w:p>
      <w:pPr>
        <w:spacing w:after="0" w:line="180"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9"/>
          <w:szCs w:val="19"/>
          <w:color w:val="auto"/>
        </w:rPr>
        <w:t xml:space="preserve">3.8 </w:t>
      </w: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color w:val="auto"/>
        </w:rPr>
        <w:t xml:space="preserve">. Each party’s obligations under this </w:t>
      </w:r>
      <w:r>
        <w:rPr>
          <w:rFonts w:ascii="Times New Roman" w:cs="Times New Roman" w:eastAsia="Times New Roman" w:hAnsi="Times New Roman"/>
          <w:sz w:val="19"/>
          <w:szCs w:val="19"/>
          <w:u w:val="single" w:color="auto"/>
          <w:color w:val="auto"/>
        </w:rPr>
        <w:t>Article III</w:t>
      </w:r>
      <w:r>
        <w:rPr>
          <w:rFonts w:ascii="Times New Roman" w:cs="Times New Roman" w:eastAsia="Times New Roman" w:hAnsi="Times New Roman"/>
          <w:sz w:val="19"/>
          <w:szCs w:val="19"/>
          <w:color w:val="auto"/>
        </w:rPr>
        <w:t xml:space="preserve"> shall survive the resignation of the Administrative Agent or any assignment of rights by, or the replacement of, a Lender, the termination of the Commitments, the expiration or cancellation of all Letters of Credit and the repayment, satisfaction or discharge of all obligations under any Loan Document.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IV.  CONDITIONS OF LENDING AND ISSUANCE OF LETTERS OF CREDIT</w:t>
      </w:r>
    </w:p>
    <w:p>
      <w:pPr>
        <w:spacing w:after="0" w:line="22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u w:val="single" w:color="auto"/>
          <w:color w:val="auto"/>
        </w:rPr>
        <w:t>First Loans and Letters of Credit</w:t>
      </w:r>
      <w:r>
        <w:rPr>
          <w:rFonts w:ascii="Times New Roman" w:cs="Times New Roman" w:eastAsia="Times New Roman" w:hAnsi="Times New Roman"/>
          <w:sz w:val="20"/>
          <w:szCs w:val="20"/>
          <w:color w:val="auto"/>
        </w:rPr>
        <w:t>. The obligation of each Lender to make the Term A- 1 Loan and any other Loans requested by the Borrower on the Closing Date, and the obligation of the Issuing Lender to issue any Letters of Credit requested by the Borrower on the Closing Date, are subject to the satisfaction of the following conditions on or before the Closing Date:</w:t>
      </w:r>
    </w:p>
    <w:p>
      <w:pPr>
        <w:spacing w:after="0" w:line="180" w:lineRule="exact"/>
        <w:rPr>
          <w:sz w:val="20"/>
          <w:szCs w:val="20"/>
          <w:color w:val="auto"/>
        </w:rPr>
      </w:pPr>
    </w:p>
    <w:p>
      <w:pPr>
        <w:ind w:firstLine="1304"/>
        <w:spacing w:after="0" w:line="269" w:lineRule="auto"/>
        <w:tabs>
          <w:tab w:leader="none" w:pos="1944"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Deliveries</w:t>
      </w:r>
      <w:r>
        <w:rPr>
          <w:rFonts w:ascii="Times New Roman" w:cs="Times New Roman" w:eastAsia="Times New Roman" w:hAnsi="Times New Roman"/>
          <w:sz w:val="20"/>
          <w:szCs w:val="20"/>
          <w:color w:val="auto"/>
        </w:rPr>
        <w:t>. The Administrative Agent shall have received each of the following in form and substance satisfactory to the Administrative Agent and, if applicable, its counsel:</w:t>
      </w:r>
    </w:p>
    <w:p>
      <w:pPr>
        <w:spacing w:after="0" w:line="159" w:lineRule="exact"/>
        <w:rPr>
          <w:rFonts w:ascii="Times New Roman" w:cs="Times New Roman" w:eastAsia="Times New Roman" w:hAnsi="Times New Roman"/>
          <w:sz w:val="20"/>
          <w:szCs w:val="20"/>
          <w:color w:val="auto"/>
        </w:rPr>
      </w:pPr>
    </w:p>
    <w:p>
      <w:pPr>
        <w:jc w:val="both"/>
        <w:ind w:firstLine="1952"/>
        <w:spacing w:after="0" w:line="243" w:lineRule="auto"/>
        <w:tabs>
          <w:tab w:leader="none" w:pos="2592" w:val="left"/>
        </w:tabs>
        <w:numPr>
          <w:ilvl w:val="1"/>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of the Borrower signed by a Compliance Officer of the Borrower, dated as of the Closing Date stating that (a) all representations and warranties of the Loan Parties set forth in this Agreement or the other Loan Documents are true and correct in all material respects, except that such representations and warranties that are qualified in this Agreement or such other Loan Document by reference to materiality or a Material Adverse Change shall be true and correct in all respects, as of the Closing Date (or, if such representation or warranty makes reference to an earlier date, as of such earlier date), (b) the Loan Parties are in compliance with each of the covenants and conditions hereunder and the other Loan Documents, (c) no Event of Default or Default exists, (d) there has occurred no Material Adverse Change since December 31, 2022, and (e) each of the Loan Parties has satisfied each of the closing conditions required to be satisfied by it hereunder;</w:t>
      </w:r>
    </w:p>
    <w:p>
      <w:pPr>
        <w:spacing w:after="0" w:line="185" w:lineRule="exact"/>
        <w:rPr>
          <w:rFonts w:ascii="Times New Roman" w:cs="Times New Roman" w:eastAsia="Times New Roman" w:hAnsi="Times New Roman"/>
          <w:sz w:val="20"/>
          <w:szCs w:val="20"/>
          <w:color w:val="auto"/>
        </w:rPr>
      </w:pPr>
    </w:p>
    <w:p>
      <w:pPr>
        <w:jc w:val="both"/>
        <w:ind w:firstLine="1952"/>
        <w:spacing w:after="0" w:line="244" w:lineRule="auto"/>
        <w:tabs>
          <w:tab w:leader="none" w:pos="2592" w:val="left"/>
        </w:tabs>
        <w:numPr>
          <w:ilvl w:val="1"/>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certificate dated as of the Closing Date and signed by the Secretary or an Assistant Secretary of each of the Loan Parties, certifying as appropriate as to: (a) all action taken by each Loan Party in connection with this Agreement and the other Loan Documents; (b) the names of the Authorized Officers authorized to sign the Loan Documents and their true signatures; and (c) copies of its Organizational Documents as in effect on the Closing Date certified by the appropriate state official where such documents are filed in a state office (if so filed or required to be so filed) together with certificates from the appropriate state officials as to the continued existence and good standing or existence (as applicable) of each Loan Party in each state where organized;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5" w:name="page346"/>
    <w:bookmarkEnd w:id="345"/>
    <w:p>
      <w:pPr>
        <w:jc w:val="both"/>
        <w:ind w:firstLine="1952"/>
        <w:spacing w:after="0" w:line="246" w:lineRule="auto"/>
        <w:tabs>
          <w:tab w:leader="none" w:pos="2592"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there is no action, suit, proceeding or investigation pending against, or threatened in writing against, any Loan Party or any of its respective Subsidiaries or any of their respective properties, including the Material Licenses, in any court or before any arbitrator of any kind or before or by any other Governmental Authority (including the FCC and any applicable PUC) that would reasonably be expected to result in a Material Adverse Change;</w:t>
      </w:r>
    </w:p>
    <w:p>
      <w:pPr>
        <w:spacing w:after="0" w:line="18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of the other Loan Documents signed by an Authorized Officer and all appropriate financing statements and appropriate stock powers and certificates evidencing the pledged Collateral and all other original items required to be delivered pursuant to any of the Collateral Documents;</w:t>
      </w:r>
    </w:p>
    <w:p>
      <w:pPr>
        <w:spacing w:after="0" w:line="174"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written opinions of counsel for the Loan Parties, duly executed (including any FCC or PUC counsel, if required by the Administrative Agent), dated as of the Closing Date; provided, however that no opinion of counsel shall be required for any Loan Parties that are incorporated outside of State of Delaware;</w:t>
      </w:r>
    </w:p>
    <w:p>
      <w:pPr>
        <w:spacing w:after="0" w:line="17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evidence that adequate insurance required to be maintained under this Agreement is in full force and effect;</w:t>
      </w:r>
    </w:p>
    <w:p>
      <w:pPr>
        <w:spacing w:after="0" w:line="159" w:lineRule="exact"/>
        <w:rPr>
          <w:rFonts w:ascii="Times New Roman" w:cs="Times New Roman" w:eastAsia="Times New Roman" w:hAnsi="Times New Roman"/>
          <w:sz w:val="20"/>
          <w:szCs w:val="20"/>
          <w:color w:val="auto"/>
        </w:rPr>
      </w:pPr>
    </w:p>
    <w:p>
      <w:pPr>
        <w:ind w:firstLine="1952"/>
        <w:spacing w:after="0" w:line="269" w:lineRule="auto"/>
        <w:tabs>
          <w:tab w:leader="none" w:pos="2591"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completed, executed Loan Request for Credit Extension for each Loan or Letter of Credit requested to be made on the Closing Date, including notice of election as to Interest Periods (if applicable);</w:t>
      </w:r>
    </w:p>
    <w:p>
      <w:pPr>
        <w:spacing w:after="0" w:line="15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duly completed, executed Solvency Certificate signed by an Authorized Officer of each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w:t>
      </w:r>
    </w:p>
    <w:p>
      <w:pPr>
        <w:spacing w:after="0" w:line="193"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material governmental and third-party consents, subordinations or waivers, as applicable, required to effectuate the transactions contemplated hereby have been obtained and are in full force and effect, including any required material permits and authorizations of all applicable Governmental Authorities, including the FCC and all applicable PUCs;</w:t>
      </w:r>
    </w:p>
    <w:p>
      <w:pPr>
        <w:spacing w:after="0" w:line="179"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outstanding obligations under the Existing Credit Agreement have been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paid in full;</w:t>
      </w:r>
    </w:p>
    <w:p>
      <w:pPr>
        <w:spacing w:after="0" w:line="193"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1"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Lien search with respect to the Borrower and each other Loan Party, in scope satisfactory to the Administrative Agent and with results showing no Liens other than Permitted Liens and otherwise satisfactory to the Administrative Agent;</w:t>
      </w:r>
    </w:p>
    <w:p>
      <w:pPr>
        <w:spacing w:after="0" w:line="174"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Collateral</w:t>
      </w:r>
    </w:p>
    <w:p>
      <w:pPr>
        <w:spacing w:after="0" w:line="215" w:lineRule="exact"/>
        <w:rPr>
          <w:rFonts w:ascii="Times New Roman" w:cs="Times New Roman" w:eastAsia="Times New Roman" w:hAnsi="Times New Roman"/>
          <w:sz w:val="20"/>
          <w:szCs w:val="20"/>
          <w:color w:val="auto"/>
        </w:rPr>
      </w:pPr>
    </w:p>
    <w:p>
      <w:pPr>
        <w:ind w:right="20" w:firstLine="2600"/>
        <w:spacing w:after="0" w:line="269" w:lineRule="auto"/>
        <w:tabs>
          <w:tab w:leader="none" w:pos="3240"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the Loan Parties have effectively and validly pledged and perfected the Collateral contemplated by the Collateral Documents; and</w:t>
      </w:r>
    </w:p>
    <w:p>
      <w:pPr>
        <w:spacing w:after="0" w:line="159" w:lineRule="exact"/>
        <w:rPr>
          <w:rFonts w:ascii="Times New Roman" w:cs="Times New Roman" w:eastAsia="Times New Roman" w:hAnsi="Times New Roman"/>
          <w:sz w:val="20"/>
          <w:szCs w:val="20"/>
          <w:color w:val="auto"/>
        </w:rPr>
      </w:pPr>
    </w:p>
    <w:p>
      <w:pPr>
        <w:jc w:val="both"/>
        <w:ind w:right="20" w:firstLine="2600"/>
        <w:spacing w:after="0" w:line="254" w:lineRule="auto"/>
        <w:tabs>
          <w:tab w:leader="none" w:pos="3240" w:val="left"/>
        </w:tabs>
        <w:numPr>
          <w:ilvl w:val="1"/>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evidence that all filings and recordings that are necessary to perfect the Prior Security Interest of the Administrative Agent, for the benefit of the Secured Parties, in the Collateral described in the Collateral Documents have been filed or recorded in all appropriate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6" w:name="page347"/>
    <w:bookmarkEnd w:id="346"/>
    <w:p>
      <w:pPr>
        <w:jc w:val="both"/>
        <w:ind w:firstLine="1952"/>
        <w:spacing w:after="0" w:line="253" w:lineRule="auto"/>
        <w:tabs>
          <w:tab w:leader="none" w:pos="259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executed letter from the Borrower with respect to any proceeds of the Loans being disbursed to third parties authorizing the Administrative Agent to distribute such proceeds on behalf of the Loan Parties in accordance with the instructions set forth in such letter;</w:t>
      </w:r>
    </w:p>
    <w:p>
      <w:pPr>
        <w:spacing w:after="0" w:line="176"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1"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audited, consolidated financial statements of the Borrower for the fiscal year ending December 31, 2022 and such other financial statements, budgets, forecasts and other financial information as to the Loan Parties as the Administrative Agent or any other Lender may reasonably request prior to the Closing Date;</w:t>
      </w:r>
    </w:p>
    <w:p>
      <w:pPr>
        <w:spacing w:after="0" w:line="174"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least five (5) Business Days prior to the Closing Date, (A) all documentation and other information requested by (or on behalf of) any Lender in order to comply with requirements of Anti-Corruption Laws, Anti-Terrorism Laws and Sanctions and (B) if the Borrower qualifies as a “legal entity customer” under the Beneficial Ownership Regulation, a Beneficial Ownership Certification; and</w:t>
      </w:r>
    </w:p>
    <w:p>
      <w:pPr>
        <w:spacing w:after="0" w:line="179" w:lineRule="exact"/>
        <w:rPr>
          <w:rFonts w:ascii="Times New Roman" w:cs="Times New Roman" w:eastAsia="Times New Roman" w:hAnsi="Times New Roman"/>
          <w:sz w:val="20"/>
          <w:szCs w:val="20"/>
          <w:color w:val="auto"/>
        </w:rPr>
      </w:pPr>
    </w:p>
    <w:p>
      <w:pPr>
        <w:ind w:firstLine="1952"/>
        <w:spacing w:after="0" w:line="269" w:lineRule="auto"/>
        <w:tabs>
          <w:tab w:leader="none" w:pos="2591" w:val="left"/>
        </w:tabs>
        <w:numPr>
          <w:ilvl w:val="1"/>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documents in connection with such transactions as the Administrative Agent or its counsel may reasonably request.</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of Fees</w:t>
      </w:r>
      <w:r>
        <w:rPr>
          <w:rFonts w:ascii="Times New Roman" w:cs="Times New Roman" w:eastAsia="Times New Roman" w:hAnsi="Times New Roman"/>
          <w:sz w:val="20"/>
          <w:szCs w:val="20"/>
          <w:color w:val="auto"/>
        </w:rPr>
        <w:t>. The Borrower shall have paid all fees and expenses related to the Facilities and this Agreement and the other Loan Documents payable on or before the Closing Date as required by this Agreement, the Fee Letter or any other Loan Document.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b w:val="1"/>
          <w:bCs w:val="1"/>
          <w:u w:val="single" w:color="auto"/>
          <w:color w:val="auto"/>
        </w:rPr>
        <w:t>Each Loan or Letter of Credit</w:t>
      </w:r>
      <w:r>
        <w:rPr>
          <w:rFonts w:ascii="Times New Roman" w:cs="Times New Roman" w:eastAsia="Times New Roman" w:hAnsi="Times New Roman"/>
          <w:sz w:val="19"/>
          <w:szCs w:val="19"/>
          <w:color w:val="auto"/>
        </w:rPr>
        <w:t>. At the time of any Credit Extension and after giving effect to the proposed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Extension:</w:t>
      </w:r>
    </w:p>
    <w:p>
      <w:pPr>
        <w:spacing w:after="0" w:line="194" w:lineRule="exact"/>
        <w:rPr>
          <w:sz w:val="20"/>
          <w:szCs w:val="20"/>
          <w:color w:val="auto"/>
        </w:rPr>
      </w:pPr>
    </w:p>
    <w:p>
      <w:pPr>
        <w:jc w:val="both"/>
        <w:ind w:firstLine="1304"/>
        <w:spacing w:after="0" w:line="246" w:lineRule="auto"/>
        <w:tabs>
          <w:tab w:leader="none" w:pos="1944"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representations and warranties of the Loan Parties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this Agreement and in the other Loan Documents shall then be true and correct in all material respects (or if qualified by materiality or a Material Adverse Change, in all respects) as of the date of such Credit Extension (except for any such representation and warranty that by its terms is made only as of an earlier date, which representation and warranty shall remain true and correct in all material respects as of such earlier date),</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Event of Default or Default shall have occurred and be continuing,</w:t>
      </w:r>
    </w:p>
    <w:p>
      <w:pPr>
        <w:spacing w:after="0" w:line="21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have delivered a duly executed and completed (x) Loan Request to the Administrative Agent for each Loan requested to be made pursuant to </w:t>
      </w:r>
      <w:r>
        <w:rPr>
          <w:rFonts w:ascii="Times New Roman" w:cs="Times New Roman" w:eastAsia="Times New Roman" w:hAnsi="Times New Roman"/>
          <w:sz w:val="20"/>
          <w:szCs w:val="20"/>
          <w:u w:val="single" w:color="auto"/>
          <w:color w:val="auto"/>
        </w:rPr>
        <w:t>Section 2.1(b)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2.3(c)</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2.5</w:t>
      </w:r>
      <w:r>
        <w:rPr>
          <w:rFonts w:ascii="Times New Roman" w:cs="Times New Roman" w:eastAsia="Times New Roman" w:hAnsi="Times New Roman"/>
          <w:sz w:val="20"/>
          <w:szCs w:val="20"/>
          <w:color w:val="auto"/>
        </w:rPr>
        <w:t xml:space="preserve">, as applicable, (y) Incremental Request to the Administrative Agent for each Incremental Facility requested pursuant to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or (z) Letter of Credit Request to the Issuing Lender for each Letter of Credit to be issued pursuant to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as the case may be; and</w:t>
      </w:r>
    </w:p>
    <w:p>
      <w:pPr>
        <w:spacing w:after="0" w:line="18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Credit Extension consisting of Incremental Loans, the Borrower shall have complied with all conditions set forth in the applicable Incremental Amendment;</w:t>
      </w:r>
    </w:p>
    <w:p>
      <w:pPr>
        <w:spacing w:after="0" w:line="15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anything in this </w:t>
      </w: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to the contrary, with respect to the portion of an Incremental Term Loan being used to fund a Limited Condition Acquisition, the Lenders shall be obligated to fund their Pro Rata Share of such portion of such Credit Extension so long as (i) (x) the representations and warranties of the Loan Parties set forth in </w:t>
      </w:r>
      <w:r>
        <w:rPr>
          <w:rFonts w:ascii="Times New Roman" w:cs="Times New Roman" w:eastAsia="Times New Roman" w:hAnsi="Times New Roman"/>
          <w:sz w:val="20"/>
          <w:szCs w:val="20"/>
          <w:u w:val="single" w:color="auto"/>
          <w:color w:val="auto"/>
        </w:rPr>
        <w:t>Article V</w:t>
      </w:r>
      <w:r>
        <w:rPr>
          <w:rFonts w:ascii="Times New Roman" w:cs="Times New Roman" w:eastAsia="Times New Roman" w:hAnsi="Times New Roman"/>
          <w:sz w:val="20"/>
          <w:szCs w:val="20"/>
          <w:color w:val="auto"/>
        </w:rPr>
        <w:t xml:space="preserve"> of this Agreement shall be true and correct at the time of execution and effectiveness of the Acquisition Agreement for such Limited Condition Acquisition, except such representations and warranties that are not qualified in this Agreement by reference to materiality or a Material Adverse Change shall then be true and correct in all material respects as of such date (except for any such representation and warranty that by its terms is made only as of an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7" w:name="page348"/>
    <w:bookmarkEnd w:id="347"/>
    <w:p>
      <w:pPr>
        <w:jc w:val="both"/>
        <w:spacing w:after="0" w:line="243" w:lineRule="auto"/>
        <w:rPr>
          <w:sz w:val="20"/>
          <w:szCs w:val="20"/>
          <w:color w:val="auto"/>
        </w:rPr>
      </w:pPr>
      <w:r>
        <w:rPr>
          <w:rFonts w:ascii="Times New Roman" w:cs="Times New Roman" w:eastAsia="Times New Roman" w:hAnsi="Times New Roman"/>
          <w:sz w:val="20"/>
          <w:szCs w:val="20"/>
          <w:color w:val="auto"/>
        </w:rPr>
        <w:t>which representation and warranty shall remain true and correct in all material respects as of such earlier date) and (y) the Specified Representations are true and correct as of the closing date of such Limited Condition Acquisition, except such representations and warranties that are not qualified in this Agreement by reference to materiality or a Material Adverse Change (or similar term as defined in the applicable Acquisition Agreement) shall then be true and correct in all material respects as of such date (except for any such representation and warranty that by its terms is made only as of an earlier date, which representation and warranty shall remain true and correct in all material respects as of such earlier date), (ii) there is</w:t>
      </w:r>
    </w:p>
    <w:p>
      <w:pPr>
        <w:spacing w:after="0" w:line="1" w:lineRule="exact"/>
        <w:rPr>
          <w:sz w:val="20"/>
          <w:szCs w:val="20"/>
          <w:color w:val="auto"/>
        </w:rPr>
      </w:pPr>
    </w:p>
    <w:p>
      <w:pPr>
        <w:jc w:val="both"/>
        <w:ind w:firstLine="8"/>
        <w:spacing w:after="0" w:line="241" w:lineRule="auto"/>
        <w:tabs>
          <w:tab w:leader="none" w:pos="29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in existence at the time of execution and effectiveness of the Acquisition Agreement for such Limited Condition Acquisition and (y) no Specified Event of Default in existence at the time such Limited Condition Acquisition is consummated and (iii) the conditions set forth in </w:t>
      </w:r>
      <w:r>
        <w:rPr>
          <w:rFonts w:ascii="Times New Roman" w:cs="Times New Roman" w:eastAsia="Times New Roman" w:hAnsi="Times New Roman"/>
          <w:sz w:val="20"/>
          <w:szCs w:val="20"/>
          <w:u w:val="single" w:color="auto"/>
          <w:color w:val="auto"/>
        </w:rPr>
        <w:t>Section 4.2(c)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4.2(d)</w:t>
      </w:r>
      <w:r>
        <w:rPr>
          <w:rFonts w:ascii="Times New Roman" w:cs="Times New Roman" w:eastAsia="Times New Roman" w:hAnsi="Times New Roman"/>
          <w:sz w:val="20"/>
          <w:szCs w:val="20"/>
          <w:color w:val="auto"/>
        </w:rPr>
        <w:t xml:space="preserve"> have been satisfied or waived.</w:t>
      </w:r>
    </w:p>
    <w:p>
      <w:pPr>
        <w:spacing w:after="0" w:line="184" w:lineRule="exact"/>
        <w:rPr>
          <w:rFonts w:ascii="Times New Roman" w:cs="Times New Roman" w:eastAsia="Times New Roman" w:hAnsi="Times New Roman"/>
          <w:sz w:val="20"/>
          <w:szCs w:val="20"/>
          <w:color w:val="auto"/>
        </w:rPr>
      </w:pPr>
    </w:p>
    <w:p>
      <w:pPr>
        <w:ind w:left="3220" w:hanging="307"/>
        <w:spacing w:after="0"/>
        <w:tabs>
          <w:tab w:leader="none" w:pos="3220" w:val="left"/>
        </w:tabs>
        <w:numPr>
          <w:ilvl w:val="1"/>
          <w:numId w:val="3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 AND WARRANTIES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Loan Parties, jointly and severally, represent and warrant to the Administrative Agent and each of the Lenders as follows:</w:t>
      </w:r>
    </w:p>
    <w:p>
      <w:pPr>
        <w:spacing w:after="0" w:line="15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b w:val="1"/>
          <w:bCs w:val="1"/>
          <w:u w:val="single" w:color="auto"/>
          <w:color w:val="auto"/>
        </w:rPr>
        <w:t>Organization and Qualification</w:t>
      </w:r>
      <w:r>
        <w:rPr>
          <w:rFonts w:ascii="Times New Roman" w:cs="Times New Roman" w:eastAsia="Times New Roman" w:hAnsi="Times New Roman"/>
          <w:sz w:val="20"/>
          <w:szCs w:val="20"/>
          <w:color w:val="auto"/>
        </w:rPr>
        <w:t xml:space="preserve">. Each Loan Party and each Restricted Subsidiary (a) is a corporation, partnership or limited liability company or other entity (as of the Closing Date, as identified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xml:space="preserve">), in each case duly organized, validly existing and in good standing under the laws of its jurisdiction of organization (as of the Closing Date, as specified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xml:space="preserve">, (b) has the lawful power to own or lease its properties and to engage in the business it presently conducts or proposes to conduct, (c) as of the Closing Date is duly licensed or qualified and in good standing in each jurisdiction listed on </w:t>
      </w:r>
      <w:r>
        <w:rPr>
          <w:rFonts w:ascii="Times New Roman" w:cs="Times New Roman" w:eastAsia="Times New Roman" w:hAnsi="Times New Roman"/>
          <w:sz w:val="20"/>
          <w:szCs w:val="20"/>
          <w:u w:val="single" w:color="auto"/>
          <w:color w:val="auto"/>
        </w:rPr>
        <w:t>Schedule 5.1</w:t>
      </w:r>
      <w:r>
        <w:rPr>
          <w:rFonts w:ascii="Times New Roman" w:cs="Times New Roman" w:eastAsia="Times New Roman" w:hAnsi="Times New Roman"/>
          <w:sz w:val="20"/>
          <w:szCs w:val="20"/>
          <w:color w:val="auto"/>
        </w:rPr>
        <w:t>, and (d) is duly licensed or qualified and in good standing in all jurisdictions where the property owned or leased by it or the nature of the business transacted by it or both makes such licensing or qualification necessary except where the failure to be so duly licensed or qualified would not reasonably be expected to result in a Material Adverse Change.</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4" w:lineRule="auto"/>
        <w:tabs>
          <w:tab w:leader="none" w:pos="1944"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Restricted Subsidiary is in compliance with all applicable Laws in all jurisdictions in which any Loan Party or Restricted Subsidiary is presently or currently foresees that it will be doing business except where the failure to do so would not reasonably be expected to result in a Material Adverse Change.</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Extension, or use of any proceeds thereof, or entry into or performance by any Loan Party of the Loan Documents to which it is a party contravenes any Law applicable to such Loan Party or any Restricted Subsidiary or any of the Lenders.</w:t>
      </w:r>
    </w:p>
    <w:p>
      <w:pPr>
        <w:spacing w:after="0" w:line="170"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u w:val="single" w:color="auto"/>
          <w:color w:val="auto"/>
        </w:rPr>
        <w:t>Title to Properties</w:t>
      </w:r>
      <w:r>
        <w:rPr>
          <w:rFonts w:ascii="Times New Roman" w:cs="Times New Roman" w:eastAsia="Times New Roman" w:hAnsi="Times New Roman"/>
          <w:sz w:val="20"/>
          <w:szCs w:val="20"/>
          <w:color w:val="auto"/>
        </w:rPr>
        <w:t>. Each Loan Party and each Restricted Subsidiary (a) has good and marketable title to or valid leasehold interest in all properties, assets and other rights that it purports to own or lease or that are reflected as owned or leased on its books and records, and (b) owns or leases all of its properties free and clear of all Liens except Permitted Liens.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5.4 </w:t>
      </w:r>
      <w:r>
        <w:rPr>
          <w:rFonts w:ascii="Times New Roman" w:cs="Times New Roman" w:eastAsia="Times New Roman" w:hAnsi="Times New Roman"/>
          <w:sz w:val="20"/>
          <w:szCs w:val="20"/>
          <w:b w:val="1"/>
          <w:bCs w:val="1"/>
          <w:u w:val="single" w:color="auto"/>
          <w:color w:val="auto"/>
        </w:rPr>
        <w:t>Investment Company Act</w:t>
      </w:r>
      <w:r>
        <w:rPr>
          <w:rFonts w:ascii="Times New Roman" w:cs="Times New Roman" w:eastAsia="Times New Roman" w:hAnsi="Times New Roman"/>
          <w:sz w:val="20"/>
          <w:szCs w:val="20"/>
          <w:color w:val="auto"/>
        </w:rPr>
        <w:t>. None of the Loan Parties or Restricted Subsidiaries is an “</w:t>
      </w:r>
      <w:r>
        <w:rPr>
          <w:rFonts w:ascii="Times New Roman" w:cs="Times New Roman" w:eastAsia="Times New Roman" w:hAnsi="Times New Roman"/>
          <w:sz w:val="20"/>
          <w:szCs w:val="20"/>
          <w:i w:val="1"/>
          <w:iCs w:val="1"/>
          <w:color w:val="auto"/>
        </w:rPr>
        <w:t>investment company</w:t>
      </w:r>
      <w:r>
        <w:rPr>
          <w:rFonts w:ascii="Times New Roman" w:cs="Times New Roman" w:eastAsia="Times New Roman" w:hAnsi="Times New Roman"/>
          <w:sz w:val="20"/>
          <w:szCs w:val="20"/>
          <w:color w:val="auto"/>
        </w:rPr>
        <w:t>” registered or required to be registered under the Investment Company Act of 1940 or under the “</w:t>
      </w:r>
      <w:r>
        <w:rPr>
          <w:rFonts w:ascii="Times New Roman" w:cs="Times New Roman" w:eastAsia="Times New Roman" w:hAnsi="Times New Roman"/>
          <w:sz w:val="20"/>
          <w:szCs w:val="20"/>
          <w:i w:val="1"/>
          <w:iCs w:val="1"/>
          <w:color w:val="auto"/>
        </w:rPr>
        <w:t>control</w:t>
      </w:r>
      <w:r>
        <w:rPr>
          <w:rFonts w:ascii="Times New Roman" w:cs="Times New Roman" w:eastAsia="Times New Roman" w:hAnsi="Times New Roman"/>
          <w:sz w:val="20"/>
          <w:szCs w:val="20"/>
          <w:color w:val="auto"/>
        </w:rPr>
        <w:t>” of an “</w:t>
      </w:r>
      <w:r>
        <w:rPr>
          <w:rFonts w:ascii="Times New Roman" w:cs="Times New Roman" w:eastAsia="Times New Roman" w:hAnsi="Times New Roman"/>
          <w:sz w:val="20"/>
          <w:szCs w:val="20"/>
          <w:i w:val="1"/>
          <w:iCs w:val="1"/>
          <w:color w:val="auto"/>
        </w:rPr>
        <w:t>investment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company</w:t>
      </w:r>
      <w:r>
        <w:rPr>
          <w:rFonts w:ascii="Times New Roman" w:cs="Times New Roman" w:eastAsia="Times New Roman" w:hAnsi="Times New Roman"/>
          <w:sz w:val="20"/>
          <w:szCs w:val="20"/>
          <w:color w:val="auto"/>
        </w:rPr>
        <w:t>” as such terms are defined in the Investment Company Act of 1940 and shall not become such an “</w:t>
      </w:r>
      <w:r>
        <w:rPr>
          <w:rFonts w:ascii="Times New Roman" w:cs="Times New Roman" w:eastAsia="Times New Roman" w:hAnsi="Times New Roman"/>
          <w:sz w:val="20"/>
          <w:szCs w:val="20"/>
          <w:i w:val="1"/>
          <w:iCs w:val="1"/>
          <w:color w:val="auto"/>
        </w:rPr>
        <w:t>investment company</w:t>
      </w:r>
      <w:r>
        <w:rPr>
          <w:rFonts w:ascii="Times New Roman" w:cs="Times New Roman" w:eastAsia="Times New Roman" w:hAnsi="Times New Roman"/>
          <w:sz w:val="20"/>
          <w:szCs w:val="20"/>
          <w:color w:val="auto"/>
        </w:rPr>
        <w:t>” or under such “</w:t>
      </w:r>
      <w:r>
        <w:rPr>
          <w:rFonts w:ascii="Times New Roman" w:cs="Times New Roman" w:eastAsia="Times New Roman" w:hAnsi="Times New Roman"/>
          <w:sz w:val="20"/>
          <w:szCs w:val="20"/>
          <w:i w:val="1"/>
          <w:iCs w:val="1"/>
          <w:color w:val="auto"/>
        </w:rPr>
        <w:t>control</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5.5</w:t>
      </w:r>
      <w:r>
        <w:rPr>
          <w:sz w:val="20"/>
          <w:szCs w:val="20"/>
          <w:color w:val="auto"/>
        </w:rPr>
        <w:tab/>
      </w:r>
      <w:r>
        <w:rPr>
          <w:rFonts w:ascii="Times New Roman" w:cs="Times New Roman" w:eastAsia="Times New Roman" w:hAnsi="Times New Roman"/>
          <w:sz w:val="19"/>
          <w:szCs w:val="19"/>
          <w:b w:val="1"/>
          <w:bCs w:val="1"/>
          <w:u w:val="single" w:color="auto"/>
          <w:color w:val="auto"/>
        </w:rPr>
        <w:t>Event of Default</w:t>
      </w:r>
      <w:r>
        <w:rPr>
          <w:rFonts w:ascii="Times New Roman" w:cs="Times New Roman" w:eastAsia="Times New Roman" w:hAnsi="Times New Roman"/>
          <w:sz w:val="19"/>
          <w:szCs w:val="19"/>
          <w:color w:val="auto"/>
        </w:rPr>
        <w:t>. No Event of Default or Default exists or is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48" w:name="page349"/>
    <w:bookmarkEnd w:id="348"/>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5.6 </w:t>
      </w:r>
      <w:r>
        <w:rPr>
          <w:rFonts w:ascii="Times New Roman" w:cs="Times New Roman" w:eastAsia="Times New Roman" w:hAnsi="Times New Roman"/>
          <w:sz w:val="20"/>
          <w:szCs w:val="20"/>
          <w:b w:val="1"/>
          <w:bCs w:val="1"/>
          <w:u w:val="single" w:color="auto"/>
          <w:color w:val="auto"/>
        </w:rPr>
        <w:t>Subsidiaries and Owners</w:t>
      </w:r>
      <w:r>
        <w:rPr>
          <w:rFonts w:ascii="Times New Roman" w:cs="Times New Roman" w:eastAsia="Times New Roman" w:hAnsi="Times New Roman"/>
          <w:sz w:val="20"/>
          <w:szCs w:val="20"/>
          <w:color w:val="auto"/>
        </w:rPr>
        <w:t xml:space="preserve">. As of the Closing Date, </w:t>
      </w:r>
      <w:r>
        <w:rPr>
          <w:rFonts w:ascii="Times New Roman" w:cs="Times New Roman" w:eastAsia="Times New Roman" w:hAnsi="Times New Roman"/>
          <w:sz w:val="20"/>
          <w:szCs w:val="20"/>
          <w:u w:val="single" w:color="auto"/>
          <w:color w:val="auto"/>
        </w:rPr>
        <w:t>Schedule 5.6</w:t>
      </w:r>
      <w:r>
        <w:rPr>
          <w:rFonts w:ascii="Times New Roman" w:cs="Times New Roman" w:eastAsia="Times New Roman" w:hAnsi="Times New Roman"/>
          <w:sz w:val="20"/>
          <w:szCs w:val="20"/>
          <w:color w:val="auto"/>
        </w:rPr>
        <w:t xml:space="preserve"> states (a) the name of each Loan Party, each Restricted Subsidiary (including each Material Foreign Subsidiary and each Excluded Subsidiary (with a designation of the applicable clause of “Excluded Subsidiary” for each such Excluded Subsidiary)), and each Unrestricted Subsidiary, along with, in each case, its jurisdiction of organization, the name of each direct holder of the Equity Interests of each Restricted Subsidiary (other than with respect to the Borrower and any Equity Interest granted pursuant to a management incentive program), and the amount, percentage and type of, and the certificate number(s) (if any) evidencing, Equity Interests owned by such holder in such Person, and (b) any options, warrants or other rights outstanding to purchase any such Equity Interests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(other than with respect to any Unrestricted Subsidiary and any minority equity interest held by management and employees of the Loan Parties). All Equity Interests of each Loan Party (other than the Borrower) and Restricted Subsidiary which are held by management and employees of such entities, if such Equity Interests were issued on the date hereof, comply with the requirements of </w:t>
      </w:r>
      <w:r>
        <w:rPr>
          <w:rFonts w:ascii="Times New Roman" w:cs="Times New Roman" w:eastAsia="Times New Roman" w:hAnsi="Times New Roman"/>
          <w:sz w:val="20"/>
          <w:szCs w:val="20"/>
          <w:u w:val="single" w:color="auto"/>
          <w:color w:val="auto"/>
        </w:rPr>
        <w:t>Section 7.8(k)</w:t>
      </w:r>
      <w:r>
        <w:rPr>
          <w:rFonts w:ascii="Times New Roman" w:cs="Times New Roman" w:eastAsia="Times New Roman" w:hAnsi="Times New Roman"/>
          <w:sz w:val="20"/>
          <w:szCs w:val="20"/>
          <w:color w:val="auto"/>
        </w:rPr>
        <w:t xml:space="preserve">. Except as set forth on </w:t>
      </w:r>
      <w:r>
        <w:rPr>
          <w:rFonts w:ascii="Times New Roman" w:cs="Times New Roman" w:eastAsia="Times New Roman" w:hAnsi="Times New Roman"/>
          <w:sz w:val="20"/>
          <w:szCs w:val="20"/>
          <w:u w:val="single" w:color="auto"/>
          <w:color w:val="auto"/>
        </w:rPr>
        <w:t>Schedule 5.6</w:t>
      </w:r>
      <w:r>
        <w:rPr>
          <w:rFonts w:ascii="Times New Roman" w:cs="Times New Roman" w:eastAsia="Times New Roman" w:hAnsi="Times New Roman"/>
          <w:sz w:val="20"/>
          <w:szCs w:val="20"/>
          <w:color w:val="auto"/>
        </w:rPr>
        <w:t>, each Loan Party and each Restricted Subsidiary has good and marketable title to all of the Equity Interests it purports to own, free and clear in each case of any Lien and all such Equity Interests have been validly issued, fully paid and nonassessable (or, in the case of a partnership, limited liability company or similar Equity Interest, not subject to any capital call or other additional capital requirement).</w:t>
      </w:r>
    </w:p>
    <w:p>
      <w:pPr>
        <w:spacing w:after="0" w:line="19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5.7</w:t>
      </w:r>
      <w:r>
        <w:rPr>
          <w:sz w:val="20"/>
          <w:szCs w:val="20"/>
          <w:color w:val="auto"/>
        </w:rPr>
        <w:tab/>
      </w:r>
      <w:r>
        <w:rPr>
          <w:rFonts w:ascii="Times New Roman" w:cs="Times New Roman" w:eastAsia="Times New Roman" w:hAnsi="Times New Roman"/>
          <w:sz w:val="19"/>
          <w:szCs w:val="19"/>
          <w:b w:val="1"/>
          <w:bCs w:val="1"/>
          <w:u w:val="single" w:color="auto"/>
          <w:color w:val="auto"/>
        </w:rPr>
        <w:t>Power and Authority; Validity and Binding Effect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9" w:lineRule="auto"/>
        <w:tabs>
          <w:tab w:leader="none" w:pos="1944"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and each Restricted Subsidiary of each Loan Party has the full power to enter into, execute, deliver and carry out this Agreement and the other Loan Documents to which it is a party, to incur the Indebtedness contemplated by the Loan Documents and to perform its Obligations under the Loan Documents to which it is a party, and all such actions have been duly authorized by all necessary proceedings on its part.</w:t>
      </w:r>
    </w:p>
    <w:p>
      <w:pPr>
        <w:spacing w:after="0" w:line="17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each of the other Loan Documents (i) has been duly and validly executed and delivered by each Loan Party, and (ii) constitutes, or will constitute, legal, valid and binding obligations of each Loan Party that is or will be a party thereto, enforceable against such Loan Party in accordance with its terms, subject only to limitations on enforceability imposed by (y) applicable bankruptcy, insolvency, reorganization, moratorium or similar laws affecting creditors’ rights generally, and (z) general equitable principles.</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b w:val="1"/>
          <w:bCs w:val="1"/>
          <w:u w:val="single" w:color="auto"/>
          <w:color w:val="auto"/>
        </w:rPr>
        <w:t>No Conflict; Consents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(i) the terms and conditions of the Organizational Documents of any Loan Party or Restricted Subsidiary or (ii) any applicable Law or any order, writ, judgment, injunction or decree to which any Loan Party or Restricted Subsidiary is a party or by which it or any Restricted Subsidiary or any of their respective property is bound or to which it is subject, or result in the creation or enforcement of any Lien, charge or encumbrance whatsoever upon any property (now or hereafter acquired) of any Loan Party or any Restricted Subsidiary (other than Liens granted under the Loan Documents). None of the Loan Parties or Restricted Subsidiaries or their respective property is subject to any restriction in any of its Organizational Documents, or any requirement of Law that would reasonably be expected to result in a Material Adverse Change.</w:t>
      </w:r>
    </w:p>
    <w:p>
      <w:pPr>
        <w:spacing w:after="0" w:line="192"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Change, no consent, approval, exemption, order or authorization of, or a registration or filing with, or notice to, any Governmental Authority or any other Person is required by any Law in connection with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49" w:name="page350"/>
    <w:bookmarkEnd w:id="349"/>
    <w:p>
      <w:pPr>
        <w:jc w:val="both"/>
        <w:spacing w:after="0" w:line="242" w:lineRule="auto"/>
        <w:rPr>
          <w:sz w:val="20"/>
          <w:szCs w:val="20"/>
          <w:color w:val="auto"/>
        </w:rPr>
      </w:pPr>
      <w:r>
        <w:rPr>
          <w:rFonts w:ascii="Times New Roman" w:cs="Times New Roman" w:eastAsia="Times New Roman" w:hAnsi="Times New Roman"/>
          <w:sz w:val="20"/>
          <w:szCs w:val="20"/>
          <w:color w:val="auto"/>
        </w:rPr>
        <w:t>execution, delivery and carrying out of this Agreement, the other Loan Documents or any Acquisition Agreement, (ii) the grant by any Loan Party of the Liens granted by it pursuant to the Collateral Documents, (iii) the perfection of the Prior Security Interest of the Administrative Agent and the Secured Parties created under the Collateral Documents (other than the filing of UCC financing statements (including any transmitting utility financing statements), recording of the Mortgages, and filings with the United States Patent and Trademark Office or the United States Copyright Office) or (iv) the exercise by the Administrative Agent or any Lender of its rights under the Loan Documents or the remedies of any Secured Party in respect of the Collateral pursuant to the Collateral Documents (except approvals of the FCC or any applicable PUC with respect to any assignment or transfer of control of a License or Communications System) or the closing of any Acquisition, in each case, except those which have been duly obtained, taken, given or made on or before the Closing Date and are in full force and effect.</w:t>
      </w:r>
    </w:p>
    <w:p>
      <w:pPr>
        <w:spacing w:after="0" w:line="18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5.9 </w:t>
      </w:r>
      <w:r>
        <w:rPr>
          <w:rFonts w:ascii="Times New Roman" w:cs="Times New Roman" w:eastAsia="Times New Roman" w:hAnsi="Times New Roman"/>
          <w:sz w:val="20"/>
          <w:szCs w:val="20"/>
          <w:b w:val="1"/>
          <w:bCs w:val="1"/>
          <w:u w:val="single" w:color="auto"/>
          <w:color w:val="auto"/>
        </w:rPr>
        <w:t>Litigation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There are no actions, suits, proceedings or investigations pending or threatened in writing against any Loan Party or any Restricted Subsidiary or any of their respective properties, including the Licenses, at law or in equity before any Governmental Authority that individually or in the aggregate (i) would reasonably be expected to result in a Material Adverse Change or (ii) purports to affect the legality, validity or enforceability of any Loan Document. None of the Loan Parties or any Restricted Subsidiary is subject to or is in violation of any order, judgement, writ, injunction or any decree of any Governmental Authority that would reasonably be expected to result in a Material Adverse Change.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5.10</w:t>
      </w:r>
      <w:r>
        <w:rPr>
          <w:sz w:val="20"/>
          <w:szCs w:val="20"/>
          <w:color w:val="auto"/>
        </w:rPr>
        <w:tab/>
      </w:r>
      <w:r>
        <w:rPr>
          <w:rFonts w:ascii="Times New Roman" w:cs="Times New Roman" w:eastAsia="Times New Roman" w:hAnsi="Times New Roman"/>
          <w:sz w:val="19"/>
          <w:szCs w:val="19"/>
          <w:b w:val="1"/>
          <w:bCs w:val="1"/>
          <w:u w:val="single" w:color="auto"/>
          <w:color w:val="auto"/>
        </w:rPr>
        <w:t>Financial Statements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Audited Financial Statements</w:t>
      </w:r>
      <w:r>
        <w:rPr>
          <w:rFonts w:ascii="Times New Roman" w:cs="Times New Roman" w:eastAsia="Times New Roman" w:hAnsi="Times New Roman"/>
          <w:sz w:val="20"/>
          <w:szCs w:val="20"/>
          <w:color w:val="auto"/>
        </w:rPr>
        <w:t xml:space="preserve">. The audited financial statements delivered on or before the Closing Date in accordance with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and thereafter most recently delivered in accordance with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xml:space="preserve"> (i) were prepared in accordance with GAAP consistently applied throughout the period covered thereby, except as otherwise noted therein; (ii) fairly present the financial condition of, (x) with respect to the audited financial statements delivered prior to the Closing Date, the Borrower and Restricted Subsidiaries, and (y) with respect to the audited financial statements delivered after the Closing Date, the Borrower and Restricted Subsidiaries, in each case, as of the date thereof and their results of operations for the period covered thereby in accordance with GAAP consistently applied throughout the period covered thereby, except as otherwise noted therein; and (iii) show all material liabilities, direct or contingent, of, (x) with respect to the audited financial statements delivered prior to the Closing Date, the Borrower and its Restricted Subsidiaries, and (y) with respect to the audited financial statements delivered after the Closing Date, the Borrower and its Restricted Subsidiaries, in each case, as of the date thereof, including liabilities for taxes, material commitments and Indebtedness.</w:t>
      </w:r>
    </w:p>
    <w:p>
      <w:pPr>
        <w:spacing w:after="0" w:line="18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Unaudited Financial Statements</w:t>
      </w:r>
      <w:r>
        <w:rPr>
          <w:rFonts w:ascii="Times New Roman" w:cs="Times New Roman" w:eastAsia="Times New Roman" w:hAnsi="Times New Roman"/>
          <w:sz w:val="20"/>
          <w:szCs w:val="20"/>
          <w:color w:val="auto"/>
        </w:rPr>
        <w:t xml:space="preserve">. The unaudited financial statements delivered on or before the Closing Date in accordance with </w:t>
      </w:r>
      <w:r>
        <w:rPr>
          <w:rFonts w:ascii="Times New Roman" w:cs="Times New Roman" w:eastAsia="Times New Roman" w:hAnsi="Times New Roman"/>
          <w:sz w:val="20"/>
          <w:szCs w:val="20"/>
          <w:u w:val="single" w:color="auto"/>
          <w:color w:val="auto"/>
        </w:rPr>
        <w:t>Section 4.1(a)</w:t>
      </w:r>
      <w:r>
        <w:rPr>
          <w:rFonts w:ascii="Times New Roman" w:cs="Times New Roman" w:eastAsia="Times New Roman" w:hAnsi="Times New Roman"/>
          <w:sz w:val="20"/>
          <w:szCs w:val="20"/>
          <w:color w:val="auto"/>
        </w:rPr>
        <w:t xml:space="preserve"> and thereafter most recently delivered by the Borrower in accordance with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(i) were prepared in accordance with GAAP consistently applied throughout the period covered thereby, except as otherwise noted therein, and (ii) fairly present the financial condition of the Borrower and Restricted Subsidiaries, as of the date thereof and their results of operations for the period covered thereby, subject, in the case of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to the absence of footnotes and to normal year-end audit adjustments.</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 Adverse Change</w:t>
      </w:r>
      <w:r>
        <w:rPr>
          <w:rFonts w:ascii="Times New Roman" w:cs="Times New Roman" w:eastAsia="Times New Roman" w:hAnsi="Times New Roman"/>
          <w:sz w:val="20"/>
          <w:szCs w:val="20"/>
          <w:color w:val="auto"/>
        </w:rPr>
        <w:t>. Since December 31, 2022, no Material Adverse Change has occurred.</w:t>
      </w:r>
    </w:p>
    <w:p>
      <w:pPr>
        <w:spacing w:after="0" w:line="212"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5.11 </w:t>
      </w:r>
      <w:r>
        <w:rPr>
          <w:rFonts w:ascii="Times New Roman" w:cs="Times New Roman" w:eastAsia="Times New Roman" w:hAnsi="Times New Roman"/>
          <w:sz w:val="20"/>
          <w:szCs w:val="20"/>
          <w:b w:val="1"/>
          <w:bCs w:val="1"/>
          <w:u w:val="single" w:color="auto"/>
          <w:color w:val="auto"/>
        </w:rPr>
        <w:t>Margin Stock</w:t>
      </w:r>
      <w:r>
        <w:rPr>
          <w:rFonts w:ascii="Times New Roman" w:cs="Times New Roman" w:eastAsia="Times New Roman" w:hAnsi="Times New Roman"/>
          <w:sz w:val="20"/>
          <w:szCs w:val="20"/>
          <w:color w:val="auto"/>
        </w:rPr>
        <w:t>. None of the Loan Parties nor any Restricted Subsidiary engages or intends to engage principally, or as one of its important activities, in the business of extending credit for the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0" w:name="page351"/>
    <w:bookmarkEnd w:id="350"/>
    <w:p>
      <w:pPr>
        <w:jc w:val="both"/>
        <w:spacing w:after="0" w:line="245" w:lineRule="auto"/>
        <w:rPr>
          <w:sz w:val="20"/>
          <w:szCs w:val="20"/>
          <w:color w:val="auto"/>
        </w:rPr>
      </w:pPr>
      <w:r>
        <w:rPr>
          <w:rFonts w:ascii="Times New Roman" w:cs="Times New Roman" w:eastAsia="Times New Roman" w:hAnsi="Times New Roman"/>
          <w:sz w:val="20"/>
          <w:szCs w:val="20"/>
          <w:color w:val="auto"/>
        </w:rPr>
        <w:t>immediately, incidentally or ultimately, of purchasing or carrying margin stock (within the meaning of Regulation U, T or X as promulgated by the Board). No part of the proceeds of any Loan has been or will be used, immediately, incidentally or ultimately, to purchase or carry any margin stock or to extend credit to others for the purpose of purchasing or carrying any margin stock or that is inconsistent with the provisions of the regulations of the Board. None of the Loan Parties nor any Restricted Subsidiary holds or intends to hold margin stock in such amounts that more than 25% of the reasonable value of the assets of any Loan Party or Restricted Subsidiary are or will be represented by margin stock.</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5.12</w:t>
      </w:r>
      <w:r>
        <w:rPr>
          <w:sz w:val="20"/>
          <w:szCs w:val="20"/>
          <w:color w:val="auto"/>
        </w:rPr>
        <w:tab/>
      </w:r>
      <w:r>
        <w:rPr>
          <w:rFonts w:ascii="Times New Roman" w:cs="Times New Roman" w:eastAsia="Times New Roman" w:hAnsi="Times New Roman"/>
          <w:sz w:val="19"/>
          <w:szCs w:val="19"/>
          <w:b w:val="1"/>
          <w:bCs w:val="1"/>
          <w:u w:val="single" w:color="auto"/>
          <w:color w:val="auto"/>
        </w:rPr>
        <w:t>Full Disclosure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this Agreement nor any other Loan Document, nor any certificate, statement, agreement or other documents furnished to the Administrative Agent or any Lender in connection herewith or therewith (other than projections and budgets), contains any untrue statement of a material fact or omits to state a material fact necessary in order to make the statements contained herein and therein, in light of the circumstances under which they were made, not materially misleading. Any projections or budgets provided by or on behalf of the Loan Parties have been prepared by management in good faith and based on assumptions believed by management to be reasonable at the time the projections or budgets were prepared, it being understood that the projections or budgets as to future events are not to be viewed as fact and that actual results during the period or periods covered by the projections or budgets may differ materially from such projected results.</w:t>
      </w:r>
    </w:p>
    <w:p>
      <w:pPr>
        <w:spacing w:after="0" w:line="18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Closing Date, the information included in the Beneficial Ownership Certification is true and correct in all respects.</w:t>
      </w:r>
    </w:p>
    <w:p>
      <w:pPr>
        <w:spacing w:after="0" w:line="15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5.13 </w:t>
      </w: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color w:val="auto"/>
        </w:rPr>
        <w:t>. (a) All federal, state and local and other tax returns required to have been filed with respect to each Loan Party and each Restricted Subsidiary have been filed, and (b) payment or adequate provision has been made for the payment of all taxes and other governmental charges that have or may become due pursuant to said returns or to assessments received, except (i) to the extent that such taxes, fees, assessments and other charges are being contested in good faith by appropriate proceedings diligently conducted and for which such reserves or other appropriate provisions, if any, as shall be required by GAAP shall have been made or (ii) failure to file any tax returns or to pay any taxes that would not reasonably be expected to result in a Material Adverse Change.</w:t>
      </w:r>
    </w:p>
    <w:p>
      <w:pPr>
        <w:spacing w:after="0" w:line="17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5.14 </w:t>
      </w:r>
      <w:r>
        <w:rPr>
          <w:rFonts w:ascii="Times New Roman" w:cs="Times New Roman" w:eastAsia="Times New Roman" w:hAnsi="Times New Roman"/>
          <w:sz w:val="20"/>
          <w:szCs w:val="20"/>
          <w:b w:val="1"/>
          <w:bCs w:val="1"/>
          <w:u w:val="single" w:color="auto"/>
          <w:color w:val="auto"/>
        </w:rPr>
        <w:t>Intellectual Property; Other Rights</w:t>
      </w:r>
      <w:r>
        <w:rPr>
          <w:rFonts w:ascii="Times New Roman" w:cs="Times New Roman" w:eastAsia="Times New Roman" w:hAnsi="Times New Roman"/>
          <w:sz w:val="20"/>
          <w:szCs w:val="20"/>
          <w:color w:val="auto"/>
        </w:rPr>
        <w:t>. Each Loan Party and each Restricted Subsidiary owns, licenses or possesses all the Intellectual Property and all service marks, trade names, domain names, licenses, registrations, franchises, permits and other rights necessary to own and operate its properties and to carry on its business as presently conducted and planned to be conducted by such Loan Party or Restricted Subsidiary, without known possible alleged or actual conflict with the rights of others, except as would not reasonably be expected to result in a Material Adverse Change.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5.15 </w:t>
      </w:r>
      <w:r>
        <w:rPr>
          <w:rFonts w:ascii="Times New Roman" w:cs="Times New Roman" w:eastAsia="Times New Roman" w:hAnsi="Times New Roman"/>
          <w:sz w:val="20"/>
          <w:szCs w:val="20"/>
          <w:b w:val="1"/>
          <w:bCs w:val="1"/>
          <w:u w:val="single" w:color="auto"/>
          <w:color w:val="auto"/>
        </w:rPr>
        <w:t>Liens in the Collateral</w:t>
      </w:r>
      <w:r>
        <w:rPr>
          <w:rFonts w:ascii="Times New Roman" w:cs="Times New Roman" w:eastAsia="Times New Roman" w:hAnsi="Times New Roman"/>
          <w:sz w:val="20"/>
          <w:szCs w:val="20"/>
          <w:color w:val="auto"/>
        </w:rPr>
        <w:t>. The Liens in the Collateral granted to the Administrative Agent for the benefit of the Secured Parties pursuant to the Collateral Documents constitute Prior Security Interests in and to the Collateral. All filing fees and other expenses in connection with the perfection of such Liens have been or will be paid by the Borrower.</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5.16</w:t>
      </w:r>
      <w:r>
        <w:rPr>
          <w:sz w:val="20"/>
          <w:szCs w:val="20"/>
          <w:color w:val="auto"/>
        </w:rPr>
        <w:tab/>
      </w:r>
      <w:r>
        <w:rPr>
          <w:rFonts w:ascii="Times New Roman" w:cs="Times New Roman" w:eastAsia="Times New Roman" w:hAnsi="Times New Roman"/>
          <w:sz w:val="19"/>
          <w:szCs w:val="19"/>
          <w:b w:val="1"/>
          <w:bCs w:val="1"/>
          <w:u w:val="single" w:color="auto"/>
          <w:color w:val="auto"/>
        </w:rPr>
        <w:t>Insurance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right="20" w:firstLine="1304"/>
        <w:spacing w:after="0" w:line="254" w:lineRule="auto"/>
        <w:tabs>
          <w:tab w:leader="none" w:pos="1944"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properties of each Loan Party and each Restricted Subsidiary are insured pursuant to policies and other bonds that are valid and in full force and effect and that provide coverage satisfying or surpassing the requirements set forth in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1" w:name="page352"/>
    <w:bookmarkEnd w:id="351"/>
    <w:p>
      <w:pPr>
        <w:jc w:val="both"/>
        <w:ind w:firstLine="1304"/>
        <w:spacing w:after="0" w:line="253" w:lineRule="auto"/>
        <w:tabs>
          <w:tab w:leader="none" w:pos="1944"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Loan Party, to the extent required under the Flood Laws, has obtained flood insurance for such structures and contents constituting Collateral located in a flood hazard zone pursuant to policies that are valid and in full force and effect and which provide coverage meeting the requirements of </w:t>
      </w:r>
      <w:r>
        <w:rPr>
          <w:rFonts w:ascii="Times New Roman" w:cs="Times New Roman" w:eastAsia="Times New Roman" w:hAnsi="Times New Roman"/>
          <w:sz w:val="20"/>
          <w:szCs w:val="20"/>
          <w:u w:val="single" w:color="auto"/>
          <w:color w:val="auto"/>
        </w:rPr>
        <w:t>Section 6.5(b)</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5.17</w:t>
      </w:r>
      <w:r>
        <w:rPr>
          <w:sz w:val="20"/>
          <w:szCs w:val="20"/>
          <w:color w:val="auto"/>
        </w:rPr>
        <w:tab/>
      </w:r>
      <w:r>
        <w:rPr>
          <w:rFonts w:ascii="Times New Roman" w:cs="Times New Roman" w:eastAsia="Times New Roman" w:hAnsi="Times New Roman"/>
          <w:sz w:val="19"/>
          <w:szCs w:val="19"/>
          <w:b w:val="1"/>
          <w:bCs w:val="1"/>
          <w:u w:val="single" w:color="auto"/>
          <w:color w:val="auto"/>
        </w:rPr>
        <w:t>Employee Benefits Compliance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Plan is in compliance in all respects with the applicable provisions of ERISA, the IRC and other federal or state law except for any noncompliance that would not reasonably be expected to have, either individually or in the aggregate, a Material Adverse Change. Each Plan, other than a Multiemployer Plan, which is intended to qualify under Section 401(a) of the IRC has received a favorable determination letter from the Internal Revenue Service or is adopted by means of a master or prototype plan that has received a favorable opinion letter upon which the Loan Parties are entitled to rely and to the best knowledge of the Loan Parties, nothing has occurred that would cause the loss of such qualification. The Loan Parties and each ERISA Affiliate have made all material required contributions to any Plan subject to Section 412 of the IRC, and no application for a funding waiver or an extension of any amortization period pursuant to Section 412 of the IRC has been made with respect to any Plan.</w:t>
      </w:r>
    </w:p>
    <w:p>
      <w:pPr>
        <w:spacing w:after="0" w:line="185"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pending or, to the best knowledge of the Loan Parties, threatened claims, actions or lawsuits, or action by any Governmental Authority, with respect to any Plan which has resulted in or would reasonably be expected to result in a Material Adverse Change. There has been no prohibited transaction or violation of the fiduciary responsibility rules with respect to any Plan which has resulted in or would reasonably be expected to result in a Material Adverse Change.</w:t>
      </w:r>
    </w:p>
    <w:p>
      <w:pPr>
        <w:spacing w:after="0" w:line="18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Except as would not reasonably be expected to result in a Material Adverse Change, no ERISA Event has occurred or is reasonably expected to occur; (ii) no Pension Plan has any unfunded liability; (iii) neither the Loan Parties nor any ERISA Affiliate has incurred, or reasonably expects to incur, any liability under Title IV of ERISA with respect to any Pension Plan (other than premiums due and not delinquent under Section 4007 of ERISA); (iv) neither the Loan Parties nor any ERISA Affiliate has incurred, or reasonably expects to incur, any liability (and no event has occurred which, with the giving of notice under Section 4219 of ERISA, would result in such liability) under Section 4201 or 4243 of ERISA with respect to a Multiemployer Plan; and (v) neither the Loan Parties nor any ERISA Affiliate has engaged in a transaction that could subject any Person to Section 4069 or 4212(c) of ERISA.</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5.18</w:t>
      </w:r>
      <w:r>
        <w:rPr>
          <w:sz w:val="20"/>
          <w:szCs w:val="20"/>
          <w:color w:val="auto"/>
        </w:rPr>
        <w:tab/>
      </w:r>
      <w:r>
        <w:rPr>
          <w:rFonts w:ascii="Times New Roman" w:cs="Times New Roman" w:eastAsia="Times New Roman" w:hAnsi="Times New Roman"/>
          <w:sz w:val="19"/>
          <w:szCs w:val="19"/>
          <w:b w:val="1"/>
          <w:bCs w:val="1"/>
          <w:u w:val="single" w:color="auto"/>
          <w:color w:val="auto"/>
        </w:rPr>
        <w:t>Environmental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5" w:lineRule="auto"/>
        <w:tabs>
          <w:tab w:leader="none" w:pos="1944"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their respective Restricted Subsidiaries is in compliance in all respects with all applicable Environmental Laws, and there is no violation of applicable Environmental Laws at, under or about such properties or such operations of the Loan Parties and their respective Restricted Subsidiaries which would interfere in any respect with the continued operation of such properties or impair in any respect the fair saleable value thereof or with such operations, except for any such violations, contamination, interference or impairment as would not reasonably be expected to result in, individually or in the aggregate, a Material Adverse Change.</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or Restricted Subsidiary has received any written notice of violation, alleged violation, non-compliance, liability or potential liability regarding environmental matters or compliance with Environmental Laws (and no related claim, complaint, proceeding, investigation or inquiry is pending or, to the knowledge of any Loan Party or any Restricted Subsidiary, is threatened or contemplated) with regard to their activities at any of the properties or the business operated by the Loan Parties (the “</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or, to the knowledge of any Loan Party or any Restricted Subsidiary, any prior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2" w:name="page353"/>
    <w:bookmarkEnd w:id="352"/>
    <w:p>
      <w:pPr>
        <w:spacing w:after="0" w:line="268" w:lineRule="auto"/>
        <w:rPr>
          <w:sz w:val="20"/>
          <w:szCs w:val="20"/>
          <w:color w:val="auto"/>
        </w:rPr>
      </w:pPr>
      <w:r>
        <w:rPr>
          <w:rFonts w:ascii="Times New Roman" w:cs="Times New Roman" w:eastAsia="Times New Roman" w:hAnsi="Times New Roman"/>
          <w:sz w:val="20"/>
          <w:szCs w:val="20"/>
          <w:color w:val="auto"/>
        </w:rPr>
        <w:t>Business for which any Loan Party or any Restricted Subsidiary has retained liability under any Environmental Law that would reasonably be expected to result in a Material Adverse Change.</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5.19</w:t>
      </w:r>
      <w:r>
        <w:rPr>
          <w:sz w:val="20"/>
          <w:szCs w:val="20"/>
          <w:color w:val="auto"/>
        </w:rPr>
        <w:tab/>
      </w:r>
      <w:r>
        <w:rPr>
          <w:rFonts w:ascii="Times New Roman" w:cs="Times New Roman" w:eastAsia="Times New Roman" w:hAnsi="Times New Roman"/>
          <w:sz w:val="19"/>
          <w:szCs w:val="19"/>
          <w:b w:val="1"/>
          <w:bCs w:val="1"/>
          <w:u w:val="single" w:color="auto"/>
          <w:color w:val="auto"/>
        </w:rPr>
        <w:t>Communications Regulatory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of the First Amendment Date and before and after giving effect to each Permitted Acquisition (if any), </w:t>
      </w:r>
      <w:r>
        <w:rPr>
          <w:rFonts w:ascii="Times New Roman" w:cs="Times New Roman" w:eastAsia="Times New Roman" w:hAnsi="Times New Roman"/>
          <w:sz w:val="20"/>
          <w:szCs w:val="20"/>
          <w:u w:val="single" w:color="auto"/>
          <w:color w:val="auto"/>
        </w:rPr>
        <w:t>Schedule 5.19</w:t>
      </w:r>
      <w:r>
        <w:rPr>
          <w:rFonts w:ascii="Times New Roman" w:cs="Times New Roman" w:eastAsia="Times New Roman" w:hAnsi="Times New Roman"/>
          <w:sz w:val="20"/>
          <w:szCs w:val="20"/>
          <w:color w:val="auto"/>
        </w:rPr>
        <w:t xml:space="preserve"> (which Schedule shall be updated in connection with the consummation of a Permitted Acquisition) sets forth a true and complete list of the following information for each Material License issued to or utilized by the Loan Parties or their respective Restricted Subsidiaries: the granting authority, the name of the licensee, the type of service, the expiration date and the geographic area covered by such License. Other than as set forth in </w:t>
      </w:r>
      <w:r>
        <w:rPr>
          <w:rFonts w:ascii="Times New Roman" w:cs="Times New Roman" w:eastAsia="Times New Roman" w:hAnsi="Times New Roman"/>
          <w:sz w:val="20"/>
          <w:szCs w:val="20"/>
          <w:u w:val="single" w:color="auto"/>
          <w:color w:val="auto"/>
        </w:rPr>
        <w:t>Schedule 5.19</w:t>
      </w:r>
      <w:r>
        <w:rPr>
          <w:rFonts w:ascii="Times New Roman" w:cs="Times New Roman" w:eastAsia="Times New Roman" w:hAnsi="Times New Roman"/>
          <w:sz w:val="20"/>
          <w:szCs w:val="20"/>
          <w:color w:val="auto"/>
        </w:rPr>
        <w:t>, each Material License is held by a Loan Party or a wholly-owned, Domestic Subsidiary of a Loan Party that is a Restricted Subsidiary whose Equity Interests are subject to a Prior Security Interest in favor of the Administrative Agent, on behalf of itself and the other Secured Parties, pursuant to the Security Agreement.</w:t>
      </w:r>
    </w:p>
    <w:p>
      <w:pPr>
        <w:spacing w:after="0" w:line="189"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Change, (i) the Material Licenses are valid and in full force and effect without conditions, except for such conditions as are generally applicable to holders of such Material Licenses; (ii) each Loan Party or Restricted Subsidiary of has all requisite power and authority required under the Communications Act and PUC Laws to hold the Material Licenses and to own and operate its Communications Systems; (iii) the Material Licenses constitute in all material respects all of the Material Licenses necessary for the operation of the Communications Systems in the same manner as it is presently conducted; (iv) no event has occurred and is continuing which would reasonably be expected to (A) result in the suspension, revocation, or termination of any such Material License or (B) materially and adversely affect any rights of the Loan Parties or their respective Restricted Subsidiaries thereunder; (v) no Loan Party or any Restricted Subsidiary has actual knowledge that any Material License will not be renewed in the ordinary course; (vi) neither the Loan Parties nor any of their respective Subsidiaries are a party to any investigation, notice of apparent liability, notice of violation, order or complaint issued by or before the FCC, PUC or any applicable Governmental Authority with respect to a Material License; and (vii) there are no proceedings pending by or before the FCC, PUC or any applicable Governmental Authority which would reasonably be expected to adversely affect the validity of any Material License.</w:t>
      </w:r>
    </w:p>
    <w:p>
      <w:pPr>
        <w:spacing w:after="0" w:line="19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Change, all of the material properties, equipment and systems owned, leased, subleased or managed by the Loan Parties or Restricted Subsidiaries are, and (to the best knowledge of the Loan Parties and their Restricted Subsidiaries) all such property, equipment and systems to be acquired or added in connection with any contemplated system expansion or construction will be, in good repair, working order and condition (reasonable wear and tear excepted) and are and will be in compliance with all terms and conditions of the Material Licenses, all Laws and all standards or rules (including with respect to the construction and operation of such property, equipment and systems) imposed by any Governmental Authority or as imposed under any agreements with telecommunications companies and customers.</w:t>
      </w:r>
    </w:p>
    <w:p>
      <w:pPr>
        <w:spacing w:after="0" w:line="189"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the Restricted Subsidiaries has made all material filings which are required to be filed by it, paid all material franchise, license, regulatory assessments or other fees and charges related to the Material Licenses or which are required to be paid or have become due pursuant to any authorization, consent, approval or license of, or registration or filing with, any Governmental Authority in respect of its business or which is otherwise required for the construction and operation of any Communication System and has made appropriate provision as is required by GAAP for any such fees and charges which have accrued, except as would not reasonably be expected to result in a Material Adverse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3" w:name="page354"/>
    <w:bookmarkEnd w:id="353"/>
    <w:p>
      <w:pPr>
        <w:jc w:val="both"/>
        <w:ind w:firstLine="1304"/>
        <w:spacing w:after="0" w:line="243" w:lineRule="auto"/>
        <w:tabs>
          <w:tab w:leader="none" w:pos="1944"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reasonably be expected to result in a Material Adverse Change, each of the Loan Parties and the Restricted Subsidiaries has complied with all requirements, rules, restrictions, and other terms and conditions required to be complied with respect to any Funding Program or associated with the receipt and use of funding from any Funding Agency. To the best of each Loan Party’s and Restricted Subsidiary’s knowledge, there are no non-routine, pending audits or investigations by any Governmental Authority or Funding Agency threatened in writing regarding the Loan Parties’ or Restricted Subsidiaries’ use of, or entitlement to, any funding received from any Funding Program, in each case, the result of which would reasonably be expected to result in a fine or penalty that would reasonably be expected to result in a Material Adverse Change.</w:t>
      </w:r>
    </w:p>
    <w:p>
      <w:pPr>
        <w:spacing w:after="0" w:line="184"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5.20 </w:t>
      </w:r>
      <w:r>
        <w:rPr>
          <w:rFonts w:ascii="Times New Roman" w:cs="Times New Roman" w:eastAsia="Times New Roman" w:hAnsi="Times New Roman"/>
          <w:sz w:val="20"/>
          <w:szCs w:val="20"/>
          <w:b w:val="1"/>
          <w:bCs w:val="1"/>
          <w:u w:val="single" w:color="auto"/>
          <w:color w:val="auto"/>
        </w:rPr>
        <w:t>Solvency</w:t>
      </w:r>
      <w:r>
        <w:rPr>
          <w:rFonts w:ascii="Times New Roman" w:cs="Times New Roman" w:eastAsia="Times New Roman" w:hAnsi="Times New Roman"/>
          <w:sz w:val="20"/>
          <w:szCs w:val="20"/>
          <w:color w:val="auto"/>
        </w:rPr>
        <w:t>. Before and after giving effect to any Credit Extension hereunder, the Borrower and its Subsidiaries, taken as a whole, are Solvent.</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5.21</w:t>
      </w:r>
      <w:r>
        <w:rPr>
          <w:sz w:val="20"/>
          <w:szCs w:val="20"/>
          <w:color w:val="auto"/>
        </w:rPr>
        <w:tab/>
      </w:r>
      <w:r>
        <w:rPr>
          <w:rFonts w:ascii="Times New Roman" w:cs="Times New Roman" w:eastAsia="Times New Roman" w:hAnsi="Times New Roman"/>
          <w:sz w:val="19"/>
          <w:szCs w:val="19"/>
          <w:b w:val="1"/>
          <w:bCs w:val="1"/>
          <w:u w:val="single" w:color="auto"/>
          <w:color w:val="auto"/>
        </w:rPr>
        <w:t>Qualified ECP Guarantor</w:t>
      </w:r>
      <w:r>
        <w:rPr>
          <w:rFonts w:ascii="Times New Roman" w:cs="Times New Roman" w:eastAsia="Times New Roman" w:hAnsi="Times New Roman"/>
          <w:sz w:val="19"/>
          <w:szCs w:val="19"/>
          <w:color w:val="auto"/>
        </w:rPr>
        <w:t>. The Borrower is a Qualified ECP Guarantor.</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5.22 </w:t>
      </w:r>
      <w:r>
        <w:rPr>
          <w:rFonts w:ascii="Times New Roman" w:cs="Times New Roman" w:eastAsia="Times New Roman" w:hAnsi="Times New Roman"/>
          <w:sz w:val="20"/>
          <w:szCs w:val="20"/>
          <w:b w:val="1"/>
          <w:bCs w:val="1"/>
          <w:u w:val="single" w:color="auto"/>
          <w:color w:val="auto"/>
        </w:rPr>
        <w:t>Transactions with Affiliates</w:t>
      </w:r>
      <w:r>
        <w:rPr>
          <w:rFonts w:ascii="Times New Roman" w:cs="Times New Roman" w:eastAsia="Times New Roman" w:hAnsi="Times New Roman"/>
          <w:sz w:val="20"/>
          <w:szCs w:val="20"/>
          <w:color w:val="auto"/>
        </w:rPr>
        <w:t xml:space="preserve">. No Affiliate of any Loan Party or any Restricted Subsidiary owns any beneficial interest, is a party to any agreement, contract, commitment or transaction with Loan Parties or has any material interest in any material property used by Loan Parties, except as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5.23 </w:t>
      </w:r>
      <w:r>
        <w:rPr>
          <w:rFonts w:ascii="Times New Roman" w:cs="Times New Roman" w:eastAsia="Times New Roman" w:hAnsi="Times New Roman"/>
          <w:sz w:val="20"/>
          <w:szCs w:val="20"/>
          <w:b w:val="1"/>
          <w:bCs w:val="1"/>
          <w:u w:val="single" w:color="auto"/>
          <w:color w:val="auto"/>
        </w:rPr>
        <w:t>Labor Matters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There are no strikes, lockouts or slowdowns against any Loan Party or any Restricted Subsidiary pending or, to the knowledge of any Loan Party, threatened except as would not reasonably be expected to result in a Material Adverse Change. The execution, delivery and performance of the Loan Documents will not give rise to any right of termination or right of renegotiation on the part of any union under any collective bargaining agreement to which any Loan Party or any Restricted Subsidiary is bound, except as would not reasonably be expected to result in a Material Adverse Change.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5.24</w:t>
      </w:r>
      <w:r>
        <w:rPr>
          <w:sz w:val="20"/>
          <w:szCs w:val="20"/>
          <w:color w:val="auto"/>
        </w:rPr>
        <w:tab/>
      </w:r>
      <w:r>
        <w:rPr>
          <w:rFonts w:ascii="Times New Roman" w:cs="Times New Roman" w:eastAsia="Times New Roman" w:hAnsi="Times New Roman"/>
          <w:sz w:val="19"/>
          <w:szCs w:val="19"/>
          <w:b w:val="1"/>
          <w:bCs w:val="1"/>
          <w:u w:val="single" w:color="auto"/>
          <w:color w:val="auto"/>
        </w:rPr>
        <w:t>Anti-Corruption; Anti-Terrorism and Sanctions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4" w:lineRule="auto"/>
        <w:tabs>
          <w:tab w:leader="none" w:pos="1944"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and their respective Restricted Subsidiaries, Affiliates, officers, directors, employees and agents, are in compliance, in all respects, with all applicable (i) Anti- Corruption Laws, (ii) Anti-Terrorism Laws and (iii) Sanctions.</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has implemented and maintains in effect policies and procedures designed to ensure compliance by the Loan Parties and their respective Restricted Subsidiaries, Affiliates, officers, directors, employees and agents with all applicable (i) Anti-Corruption Laws, (ii) Anti-Terrorism Laws and (iii) Sanctions.</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Loan Parties or their respective Restricted Subsidiaries, and to the knowledge of the Loan Parties and the Restricted Subsidiaries, none of their Affiliates, officers, directors, employees or agents are Sanctioned Persons or have engaged in, or are now engaged in, or will engage in, any dealings or transactions with any Sanctioned Person.</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Credit Extension, use of proceeds or other transaction contemplated by this Agreement will violate any applicable (i) Anti-Corruption Laws, (ii) Anti-Terrorism Laws or (iii) Sanctions.</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Parties have provided to the Administrative Agent and the Lenders all information requested by the Administrative Agent and the Lenders regarding the Loan Parties and their respective Restricted Subsidiaries, Affiliates, officers, directors, employees and agents that is necessary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4" w:name="page355"/>
    <w:bookmarkEnd w:id="354"/>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the Administrative Agent and the Lenders to collect to comply with applicable Anti-Corruption Laws, Anti- Terrorism Laws, Sanctions and other Laws.</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5.25</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5.26 </w:t>
      </w:r>
      <w:r>
        <w:rPr>
          <w:rFonts w:ascii="Times New Roman" w:cs="Times New Roman" w:eastAsia="Times New Roman" w:hAnsi="Times New Roman"/>
          <w:sz w:val="20"/>
          <w:szCs w:val="20"/>
          <w:b w:val="1"/>
          <w:bCs w:val="1"/>
          <w:u w:val="single" w:color="auto"/>
          <w:color w:val="auto"/>
        </w:rPr>
        <w:t>Acquisition Not Subject to Exon Florio Provision of the Defense Production Act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At the time any Acquisition or any other Investment is consummated by any Loan Party or any Subsidiary of any Loan Party and at the time of any Equity Issuance by or to any Loan Party or any Subsidiary of any Loan Party, the Borrower, on the basis of thorough due diligence with respect to such Acquisition or such Investment or such Equity Issuance, have determined in good faith that: (i) such Acquisition or such Investment or such Equity Issuance will not result in the acquisition of a substantial interest in any TID U.S. business by a foreign person in which a national or subnational government of a single foreign state (other than an excepted foreign state) has a substantial interest, with the term “TID U.S. business” having the meaning set forth in 31 C.F.R. § 800.248 and the term “substantial interest” having the meaning set forth in 31 C.F.R. § 800.244; (ii) any Acquired Business and its Subsidiaries or such other Investment do not produce, design, test, manufacture, fabricate, or develop one or more “critical technologies”, with the term “critical technologies” having the meaning set forth in 31 C.F.R. § 800.215; (iii) no Loan Party or Subsidiary of any Loan Party produces, designs, tests, manufactures, fabricates, or develops one or more “critical technologies”, with the term “critical technologies” having the meaning set forth in 31 C.F.R. § 800.215; and (iv) therefore, that the submission of a declaration to the Committee on Foreign Investment in the United States is not required pursuant to 31 C.F.R. § 800.401. For the purpose of this </w:t>
      </w:r>
      <w:r>
        <w:rPr>
          <w:rFonts w:ascii="Times New Roman" w:cs="Times New Roman" w:eastAsia="Times New Roman" w:hAnsi="Times New Roman"/>
          <w:sz w:val="20"/>
          <w:szCs w:val="20"/>
          <w:u w:val="single" w:color="auto"/>
          <w:color w:val="auto"/>
        </w:rPr>
        <w:t>Section 5.26</w:t>
      </w:r>
      <w:r>
        <w:rPr>
          <w:rFonts w:ascii="Times New Roman" w:cs="Times New Roman" w:eastAsia="Times New Roman" w:hAnsi="Times New Roman"/>
          <w:sz w:val="20"/>
          <w:szCs w:val="20"/>
          <w:color w:val="auto"/>
        </w:rPr>
        <w:t>, the term “foreign person” has the meaning set forth in 31 C.F.R. § 800.224 and the term “foreign entity” (referred to in the definition of foreign person) has the meaning set forth in 31 C.F.R. § 800.220.</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  AFFIRMATIVE COVENANTS</w:t>
      </w:r>
    </w:p>
    <w:p>
      <w:pPr>
        <w:spacing w:after="0" w:line="22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Loan Parties, jointly and severally, covenant and agree that until Payment In Full of the Secured Obligations, the Loan Parties shall and shall cause each Restricted Subsidiary to comply at all times with the following covenants:</w:t>
      </w:r>
    </w:p>
    <w:p>
      <w:pPr>
        <w:spacing w:after="0" w:line="15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b w:val="1"/>
          <w:bCs w:val="1"/>
          <w:u w:val="single" w:color="auto"/>
          <w:color w:val="auto"/>
        </w:rPr>
        <w:t>Reporting Requirements</w:t>
      </w:r>
      <w:r>
        <w:rPr>
          <w:rFonts w:ascii="Times New Roman" w:cs="Times New Roman" w:eastAsia="Times New Roman" w:hAnsi="Times New Roman"/>
          <w:sz w:val="20"/>
          <w:szCs w:val="20"/>
          <w:color w:val="auto"/>
        </w:rPr>
        <w:t>. The Loan Parties will furnish or cause to be furnished to the Administrative Agent and each of the Lenders:</w:t>
      </w:r>
    </w:p>
    <w:p>
      <w:pPr>
        <w:spacing w:after="0" w:line="156" w:lineRule="exact"/>
        <w:rPr>
          <w:sz w:val="20"/>
          <w:szCs w:val="20"/>
          <w:color w:val="auto"/>
        </w:rPr>
      </w:pPr>
    </w:p>
    <w:p>
      <w:pPr>
        <w:jc w:val="both"/>
        <w:ind w:firstLine="1304"/>
        <w:spacing w:after="0" w:line="242" w:lineRule="auto"/>
        <w:tabs>
          <w:tab w:leader="none" w:pos="1944"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Financial Statements</w:t>
      </w:r>
      <w:r>
        <w:rPr>
          <w:rFonts w:ascii="Times New Roman" w:cs="Times New Roman" w:eastAsia="Times New Roman" w:hAnsi="Times New Roman"/>
          <w:sz w:val="20"/>
          <w:szCs w:val="20"/>
          <w:color w:val="auto"/>
        </w:rPr>
        <w:t>. Commencing with the fiscal quarter ending June 30, 2023, as soon as available and in any event no later than the earlier to occur of (i) ten (10) days after the date that the Borrower is required to file its quarterly report with the Securities and Exchange Commission (the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as part of its periodic reporting (if the Borrower is subject to such reporting requirements) and (ii) fifty-five (55) days after the end of the first three fiscal quarters of each fiscal year of Borrower, Borrower will deliver consolidated (and consolidating with respect to the Borrower’s separate lines of business, as reasonably requested by the Administrative Agent) balance sheets of Borrower and its Restricted Subsidiaries, as at the end of such fiscal quarter and the then elapsed portion of the applicable fiscal year, and the related consolidated (and consolidating with respect to the Borrower’s separate lines of business, as reasonably requested by the Administrative Agent) statements of income, shareholders’ equity and cash flows for such fiscal quarter and for the period from the beginning of the then current fiscal year of Borrower to the end of such quarter (which requirement shall be deemed satisfied by the delivery of Borrower’s quarterly report on Form 10-Q (or any successor form) for such quarter).</w:t>
      </w:r>
    </w:p>
    <w:p>
      <w:pPr>
        <w:spacing w:after="0" w:line="18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Commencing with the fiscal year ending December 31, 2023, as soon as available and in any event no later than the earlier to occur of (i) 10 days after the date that the Borrower is required to file its annual report with the SEC as part of its periodic reporting (if the Borrower is subject to such reporting requirements), and (ii) 100 days after the end of each fiscal year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5" w:name="page356"/>
    <w:bookmarkEnd w:id="355"/>
    <w:p>
      <w:pPr>
        <w:jc w:val="both"/>
        <w:spacing w:after="0" w:line="242" w:lineRule="auto"/>
        <w:rPr>
          <w:sz w:val="20"/>
          <w:szCs w:val="20"/>
          <w:color w:val="auto"/>
        </w:rPr>
      </w:pPr>
      <w:r>
        <w:rPr>
          <w:rFonts w:ascii="Times New Roman" w:cs="Times New Roman" w:eastAsia="Times New Roman" w:hAnsi="Times New Roman"/>
          <w:sz w:val="20"/>
          <w:szCs w:val="20"/>
          <w:color w:val="auto"/>
        </w:rPr>
        <w:t>the Borrower, the Borrower will deliver (a) consolidated (and consolidating with respect to the Borrower’s separate lines of business, as reasonably requested by the Administrative Agent) balance sheets of the Borrower and its Restricted Subsidiaries, as at the end of such year, and the related consolidated (and consolidating with respect to the Borrower’s separate lines of business, as reasonably requested by the Administrative Agent) statements of income, shareholders’ equity and cash flows for such fiscal year (which requirement shall be deemed satisfied by the delivery of the Borrower’s Annual Report on Form 10-K (or any successor form) for such year) and (b) a report with respect to the financial statements received pursuant to this Subsection from PricewaterhouseCoopers LLP or another firm of independent certified public accountants of recognized national standing selected by the Borrower and reasonably acceptable to Administrative Agent, which report shall be prepared in accordance with Statement of Auditing Standards No. 58 (the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as amended, entitled “Reports on Audited Financial Statements” and such report shall be without any material qualification or exception as to the scope of such audit or any “going concern” qualification.</w:t>
      </w:r>
    </w:p>
    <w:p>
      <w:pPr>
        <w:spacing w:after="0" w:line="190" w:lineRule="exact"/>
        <w:rPr>
          <w:sz w:val="20"/>
          <w:szCs w:val="20"/>
          <w:color w:val="auto"/>
        </w:rPr>
      </w:pPr>
    </w:p>
    <w:p>
      <w:pPr>
        <w:jc w:val="both"/>
        <w:ind w:firstLine="1304"/>
        <w:spacing w:after="0" w:line="249" w:lineRule="auto"/>
        <w:tabs>
          <w:tab w:leader="none" w:pos="1944"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 Certificate</w:t>
      </w:r>
      <w:r>
        <w:rPr>
          <w:rFonts w:ascii="Times New Roman" w:cs="Times New Roman" w:eastAsia="Times New Roman" w:hAnsi="Times New Roman"/>
          <w:sz w:val="20"/>
          <w:szCs w:val="20"/>
          <w:color w:val="auto"/>
        </w:rPr>
        <w:t xml:space="preserve">. Concurrently with the financial statements of the Borrower and Restricted Subsidiaries furnished to the Administrative Agent and to the Lenders pursuant to </w:t>
      </w:r>
      <w:r>
        <w:rPr>
          <w:rFonts w:ascii="Times New Roman" w:cs="Times New Roman" w:eastAsia="Times New Roman" w:hAnsi="Times New Roman"/>
          <w:sz w:val="20"/>
          <w:szCs w:val="20"/>
          <w:u w:val="single" w:color="auto"/>
          <w:color w:val="auto"/>
        </w:rPr>
        <w:t>Sections 6.1(a)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a Compliance Certificate duly executed by a Compliance Officer of the Borrower, together with any changes to the most recently delivered list of Excluded Subsidiaries and Unrestricted Subsidiaries.</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Reports.</w:t>
      </w:r>
    </w:p>
    <w:p>
      <w:pPr>
        <w:spacing w:after="0" w:line="211"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Annual Budget</w:t>
      </w:r>
      <w:r>
        <w:rPr>
          <w:rFonts w:ascii="Times New Roman" w:cs="Times New Roman" w:eastAsia="Times New Roman" w:hAnsi="Times New Roman"/>
          <w:sz w:val="20"/>
          <w:szCs w:val="20"/>
          <w:color w:val="auto"/>
        </w:rPr>
        <w:t>. Commencing with the fiscal year ending December 31, 2023, the annual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consolidated Budget and any forecasts or projections of the Borrower, to be supplied not later than sixty (60) days after the end of each fiscal year, with respect to the subsequent fiscal year.</w:t>
      </w:r>
    </w:p>
    <w:p>
      <w:pPr>
        <w:spacing w:after="0" w:line="168"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Accountants’ Reports. </w:t>
      </w:r>
      <w:r>
        <w:rPr>
          <w:rFonts w:ascii="Times New Roman" w:cs="Times New Roman" w:eastAsia="Times New Roman" w:hAnsi="Times New Roman"/>
          <w:sz w:val="20"/>
          <w:szCs w:val="20"/>
          <w:color w:val="auto"/>
        </w:rPr>
        <w:t>Promptly upon their becoming available to any Loan Party,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reports, including management letters submitted, to any Loan Party by independent accountants in connection with any annual, interim or special audit.</w:t>
      </w:r>
    </w:p>
    <w:p>
      <w:pPr>
        <w:spacing w:after="0" w:line="168"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Management Report</w:t>
      </w:r>
      <w:r>
        <w:rPr>
          <w:rFonts w:ascii="Times New Roman" w:cs="Times New Roman" w:eastAsia="Times New Roman" w:hAnsi="Times New Roman"/>
          <w:sz w:val="20"/>
          <w:szCs w:val="20"/>
          <w:color w:val="auto"/>
        </w:rPr>
        <w:t>. Concurrently with the quarterly financial statements furnished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Administrative Agent and to the Lenders pursuant to </w:t>
      </w:r>
      <w:r>
        <w:rPr>
          <w:rFonts w:ascii="Times New Roman" w:cs="Times New Roman" w:eastAsia="Times New Roman" w:hAnsi="Times New Roman"/>
          <w:sz w:val="20"/>
          <w:szCs w:val="20"/>
          <w:u w:val="single" w:color="auto"/>
          <w:color w:val="auto"/>
        </w:rPr>
        <w:t>Sections 6.1(a)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if Borrower is no longer subject to reporting requirements of the Act, reports in scope and content substantively similar to its present SEC reporting. The information above shall be presented in reasonable detail and shall be certified by a Compliance Officer of the Borrower to the effect that, to his or her knowledge after reasonable diligence, such information fairly presents in all material respects the results of operations and financial condition of the Loan Parties and their Subsidiaries as at the dates and for the periods indicated.</w:t>
      </w:r>
    </w:p>
    <w:p>
      <w:pPr>
        <w:spacing w:after="0" w:line="178"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92"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SEC Filings</w:t>
      </w:r>
      <w:r>
        <w:rPr>
          <w:rFonts w:ascii="Times New Roman" w:cs="Times New Roman" w:eastAsia="Times New Roman" w:hAnsi="Times New Roman"/>
          <w:sz w:val="20"/>
          <w:szCs w:val="20"/>
          <w:color w:val="auto"/>
        </w:rPr>
        <w:t>. Promptly upon their becoming available, the Borrower will deliver or cause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 delivered copies of (i) all financial statements, reports, notices and proxy statements sent or made available by any Loan Party or any Restricted Subsidiary to any of their security holders generally, and (ii) all regular and periodic reports and all registration statements and prospectuses, if any, filed by any Loan Party or any Restricted Subsidiary with the SEC.</w:t>
      </w:r>
    </w:p>
    <w:p>
      <w:pPr>
        <w:spacing w:after="0" w:line="17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w:t>
      </w:r>
    </w:p>
    <w:p>
      <w:pPr>
        <w:spacing w:after="0" w:line="211" w:lineRule="exact"/>
        <w:rPr>
          <w:rFonts w:ascii="Times New Roman" w:cs="Times New Roman" w:eastAsia="Times New Roman" w:hAnsi="Times New Roman"/>
          <w:sz w:val="20"/>
          <w:szCs w:val="20"/>
          <w:color w:val="auto"/>
        </w:rPr>
      </w:pPr>
    </w:p>
    <w:p>
      <w:pPr>
        <w:jc w:val="both"/>
        <w:ind w:right="20" w:firstLine="1952"/>
        <w:spacing w:after="0" w:line="256" w:lineRule="auto"/>
        <w:tabs>
          <w:tab w:leader="none" w:pos="2592" w:val="left"/>
        </w:tabs>
        <w:numPr>
          <w:ilvl w:val="1"/>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Default</w:t>
      </w:r>
      <w:r>
        <w:rPr>
          <w:rFonts w:ascii="Times New Roman" w:cs="Times New Roman" w:eastAsia="Times New Roman" w:hAnsi="Times New Roman"/>
          <w:sz w:val="20"/>
          <w:szCs w:val="20"/>
          <w:color w:val="auto"/>
        </w:rPr>
        <w:t>. Promptly after any officer of any Loan Party has learned of the occurrence of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Event of Default or Default, a certificate signed by an Authorized Officer setting forth the details of such Event of Default or Default and the action that such Loan Party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14" w:right="999" w:bottom="1440" w:gutter="0" w:footer="0" w:header="0"/>
        </w:sectPr>
      </w:pPr>
    </w:p>
    <w:bookmarkStart w:id="356" w:name="page357"/>
    <w:bookmarkEnd w:id="356"/>
    <w:p>
      <w:pPr>
        <w:jc w:val="both"/>
        <w:ind w:firstLine="1952"/>
        <w:spacing w:after="0" w:line="242" w:lineRule="auto"/>
        <w:tabs>
          <w:tab w:leader="none" w:pos="2592"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Regulatory and Other Notices</w:t>
      </w:r>
      <w:r>
        <w:rPr>
          <w:rFonts w:ascii="Times New Roman" w:cs="Times New Roman" w:eastAsia="Times New Roman" w:hAnsi="Times New Roman"/>
          <w:sz w:val="20"/>
          <w:szCs w:val="20"/>
          <w:color w:val="auto"/>
        </w:rPr>
        <w:t>. Promptly (A) after filing, receiving or becoming aware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thereof, the Loan Parties will deliver or cause to be delivered copies of any filings or communications sent to, or notices and other communications received by, any Loan Party or any of its respective Subsidiaries from any Governmental Authority, including the FCC and any PUC, relating to any noncompliance by any Loan Party or any of its Subsidiaries with any applicable Law, including the Communications Act and any applicable PUC Law, or with respect to any matter or proceeding, in each case, the effect of which would reasonably be expected to result in a Material Adverse Change; and (B) after any Loan Party or Restricted Subsidiary receiving a threat in writing of any non-routine pending audits or investigations by any Governmental Authority or Funding Agency regarding a Loan Party’s or a Restricted Subsidiary’s use of, or entitlement to, any funding received from any Funding Program, in each case, that could reasonably be expected to result in any default or event of default by such Loan Party or Restricted Subsidiary under such Funding Program, the Loan Parties will deliver or cause to be delivered copies of such communications.</w:t>
      </w:r>
    </w:p>
    <w:p>
      <w:pPr>
        <w:spacing w:after="0" w:line="188"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92"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Litigation</w:t>
      </w:r>
      <w:r>
        <w:rPr>
          <w:rFonts w:ascii="Times New Roman" w:cs="Times New Roman" w:eastAsia="Times New Roman" w:hAnsi="Times New Roman"/>
          <w:sz w:val="20"/>
          <w:szCs w:val="20"/>
          <w:color w:val="auto"/>
        </w:rPr>
        <w:t>. Promptly after the commencement thereof, notice of all actions, suits,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proceedings or investigations before or by any Governmental Authority or any other Person against any Loan Party or Subsidiary of any Loan Party that relate to the Collateral, involve a claim or series of claims that if adversely determined would reasonably be expected to result in a Material Adverse Change.</w:t>
      </w:r>
    </w:p>
    <w:p>
      <w:pPr>
        <w:spacing w:after="0" w:line="175"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ERISA Event</w:t>
      </w:r>
      <w:r>
        <w:rPr>
          <w:rFonts w:ascii="Times New Roman" w:cs="Times New Roman" w:eastAsia="Times New Roman" w:hAnsi="Times New Roman"/>
          <w:sz w:val="20"/>
          <w:szCs w:val="20"/>
          <w:color w:val="auto"/>
        </w:rPr>
        <w:t>. Promptly after becoming aware of any ERISA Event, accompanied by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materials required to be filed with the PBGC with respect thereto; promptly after any Loan Party’s or any of its respective Restricted Subsidiaries’ receipt of any notice concerning the institution of proceedings by the PBGC pursuant to Section 4042 of ERISA to promptly terminate any Pension Plan or to appoint a trustee to administer any Pension Plan; promptly upon the establishment of any Pension Plan not existing at the Closing Date or the commencement of contributions by any Loan Party or any of its respective Restricted Subsidiaries to any Pension Plan to which any Loan Party or any of its respective Restricted Subsidiaries was not contributing at the Closing Date; and promptly upon becoming aware of any other event or condition regarding a Plan or any Loan Party’s or any of its respective Restricted Subsidiaries’ or an ERISA Affiliate’s compliance with ERISA which, in each case, would reasonably be expected to result in a Material Adverse Change, Borrower will give notice to Administrative Agent and Lenders thereof and provide such other information as may be reasonably available to any Loan Party or any such Subsidiary to enable Administrative Agent and Lenders to reasonably evaluate such matter.</w:t>
      </w:r>
    </w:p>
    <w:p>
      <w:pPr>
        <w:spacing w:after="0" w:line="187"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92"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Material Adverse Change. </w:t>
      </w:r>
      <w:r>
        <w:rPr>
          <w:rFonts w:ascii="Times New Roman" w:cs="Times New Roman" w:eastAsia="Times New Roman" w:hAnsi="Times New Roman"/>
          <w:sz w:val="20"/>
          <w:szCs w:val="20"/>
          <w:color w:val="auto"/>
        </w:rPr>
        <w:t>Promptly after the Borrower becomes aware thereof,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Borrower will give notice of any change in events or changes in facts or circumstances affecting any Loan Party or any of their respective Restricted Subsidiaries which individually or in the aggregate have resulted in or would reasonably be expected to result in a Material Adverse Change.</w:t>
      </w:r>
    </w:p>
    <w:p>
      <w:pPr>
        <w:spacing w:after="0" w:line="175" w:lineRule="exact"/>
        <w:rPr>
          <w:rFonts w:ascii="Times New Roman" w:cs="Times New Roman" w:eastAsia="Times New Roman" w:hAnsi="Times New Roman"/>
          <w:sz w:val="20"/>
          <w:szCs w:val="20"/>
          <w:color w:val="auto"/>
        </w:rPr>
      </w:pPr>
    </w:p>
    <w:p>
      <w:pPr>
        <w:jc w:val="both"/>
        <w:ind w:firstLine="1952"/>
        <w:spacing w:after="0" w:line="245" w:lineRule="auto"/>
        <w:tabs>
          <w:tab w:leader="none" w:pos="2592"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Environmental Notices</w:t>
      </w:r>
      <w:r>
        <w:rPr>
          <w:rFonts w:ascii="Times New Roman" w:cs="Times New Roman" w:eastAsia="Times New Roman" w:hAnsi="Times New Roman"/>
          <w:sz w:val="20"/>
          <w:szCs w:val="20"/>
          <w:color w:val="auto"/>
        </w:rPr>
        <w:t>. Promptly after becoming aware of any violation by any Loan Party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any of its respective Subsidiaries of Environmental Laws or promptly upon receipt of any notice that a Governmental Authority or other Person has asserted that any Loan Party or any of its respective Subsidiaries is not in compliance with Environmental Laws or that its compliance is being investigated, and, in either case, the same would reasonably be expected to result in a Material Adverse Change, the Borrower will give notice thereof and provide such other information as may be reasonably available to any Loan Party or any of its respective Subsidiaries to enable the Administrative Agent and the Lenders to reasonably evaluate such matter.</w:t>
      </w:r>
    </w:p>
    <w:p>
      <w:pPr>
        <w:spacing w:after="0" w:line="179"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1"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Notices and Reports under Funding Programs</w:t>
      </w:r>
      <w:r>
        <w:rPr>
          <w:rFonts w:ascii="Times New Roman" w:cs="Times New Roman" w:eastAsia="Times New Roman" w:hAnsi="Times New Roman"/>
          <w:sz w:val="20"/>
          <w:szCs w:val="20"/>
          <w:color w:val="auto"/>
        </w:rPr>
        <w:t>. (x) Promptly upon the occurrence thereof,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Borrower will give notice of any material default or event of default under any Funding Program and (y) promptly upon request by the Administrative Agent, copies of all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57" w:name="page358"/>
    <w:bookmarkEnd w:id="357"/>
    <w:p>
      <w:pPr>
        <w:ind w:firstLine="1296"/>
        <w:spacing w:after="0" w:line="268" w:lineRule="auto"/>
        <w:rPr>
          <w:sz w:val="20"/>
          <w:szCs w:val="20"/>
          <w:color w:val="auto"/>
        </w:rPr>
      </w:pPr>
      <w:r>
        <w:rPr>
          <w:rFonts w:ascii="Times New Roman" w:cs="Times New Roman" w:eastAsia="Times New Roman" w:hAnsi="Times New Roman"/>
          <w:sz w:val="20"/>
          <w:szCs w:val="20"/>
          <w:color w:val="auto"/>
        </w:rPr>
        <w:t>material reports delivered to any Funding Agency as required under the applicable Funding Program during the applicable period.</w:t>
      </w:r>
    </w:p>
    <w:p>
      <w:pPr>
        <w:spacing w:after="0" w:line="161" w:lineRule="exact"/>
        <w:rPr>
          <w:sz w:val="20"/>
          <w:szCs w:val="20"/>
          <w:color w:val="auto"/>
        </w:rPr>
      </w:pPr>
    </w:p>
    <w:p>
      <w:pPr>
        <w:jc w:val="both"/>
        <w:ind w:firstLine="1304"/>
        <w:spacing w:after="0" w:line="254" w:lineRule="auto"/>
        <w:tabs>
          <w:tab w:leader="none" w:pos="1944"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Beneficial Ownership Certificate</w:t>
      </w:r>
      <w:r>
        <w:rPr>
          <w:rFonts w:ascii="Times New Roman" w:cs="Times New Roman" w:eastAsia="Times New Roman" w:hAnsi="Times New Roman"/>
          <w:sz w:val="20"/>
          <w:szCs w:val="20"/>
          <w:color w:val="auto"/>
        </w:rPr>
        <w:t>. Promptly after the occurrence thereof, a notice of any change in the information provided in the Beneficial Ownership Certification that would result in a change to the list of beneficial owners identified in such certification.</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Information</w:t>
      </w:r>
      <w:r>
        <w:rPr>
          <w:rFonts w:ascii="Times New Roman" w:cs="Times New Roman" w:eastAsia="Times New Roman" w:hAnsi="Times New Roman"/>
          <w:sz w:val="19"/>
          <w:szCs w:val="19"/>
          <w:color w:val="auto"/>
        </w:rPr>
        <w:t>. Such other reports and information as any of the Lenders may from time to time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reasonably request.</w:t>
      </w:r>
    </w:p>
    <w:p>
      <w:pPr>
        <w:spacing w:after="0" w:line="19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b w:val="1"/>
          <w:bCs w:val="1"/>
          <w:u w:val="single" w:color="auto"/>
          <w:color w:val="auto"/>
        </w:rPr>
        <w:t>Preservation of Existence, Etc</w:t>
      </w:r>
      <w:r>
        <w:rPr>
          <w:rFonts w:ascii="Times New Roman" w:cs="Times New Roman" w:eastAsia="Times New Roman" w:hAnsi="Times New Roman"/>
          <w:sz w:val="20"/>
          <w:szCs w:val="20"/>
          <w:color w:val="auto"/>
        </w:rPr>
        <w:t xml:space="preserve">. Each Loan Party shall, and shall cause each of its respective Restricted Subsidiaries (other than Immaterial Subsidiaries) to, maintain (a) its legal existence as a corporation, limited partnership or limited liability company or other entity, as the case may be as of the Closing Date or the date of formation or acquisition thereof and its license or qualification and good standing in each jurisdiction in which its ownership or lease of property or the nature of its business makes such license or qualification necessary, except as otherwise permitted in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and (b) all licenses, franchises, permits and other authorizations (including all Licenses) and Intellectual Property, the loss, revocation, termination, suspension or adverse modification of which would reasonably be expected to result in a Material Adverse Change or as otherwise permitted under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b w:val="1"/>
          <w:bCs w:val="1"/>
          <w:u w:val="single" w:color="auto"/>
          <w:color w:val="auto"/>
        </w:rPr>
        <w:t>Payment of Taxes</w:t>
      </w:r>
      <w:r>
        <w:rPr>
          <w:rFonts w:ascii="Times New Roman" w:cs="Times New Roman" w:eastAsia="Times New Roman" w:hAnsi="Times New Roman"/>
          <w:sz w:val="20"/>
          <w:szCs w:val="20"/>
          <w:color w:val="auto"/>
        </w:rPr>
        <w:t>. Each Loan Party shall, and shall cause each Restricted Subsidiary to, duly pay and discharge all taxes and other governmental charges upon it or any of its properties, assets, income or profits, prior to the date on which penalties attach thereto, except to the extent (i) that such taxes or governmental charges are being contested in good faith and by appropriate and lawful proceedings diligently conducted and for which such reserve or other appropriate provisions, if any, as shall be required by GAAP shall have been made or (ii) where the failure to pay such taxes would not, individually or in the aggregate, reasonably be expected to result in a Material Adverse Change.</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19"/>
          <w:szCs w:val="19"/>
          <w:b w:val="1"/>
          <w:bCs w:val="1"/>
          <w:u w:val="single" w:color="auto"/>
          <w:color w:val="auto"/>
        </w:rPr>
        <w:t>Maintenance of Insurance</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and shall cause each Restricted Subsidiary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 all as reasonably determined by the Administrative Agent. Such insurance policies shall contain additional insured, mortgagee and lender loss payable special endorsements in form and substance satisfactory to the Administrative Agent naming the Administrative Agent as additional insured, mortgagee and lender loss payee, as applicable, and providing the Administrative Agent with notice of cancellation reasonably acceptable to the Administrative Agent.</w:t>
      </w:r>
    </w:p>
    <w:p>
      <w:pPr>
        <w:spacing w:after="0" w:line="192"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to the extent required under the Flood Laws, obtain and maintain flood insurance for such structures and contents constituting Collateral located in a flood hazard zone, in such amounts as similar structures and contents are insured by prudent companies in similar circumstances carrying on similar businesses and otherwise satisfactory to the Administrative Agent (but, in any event, providing all flood insurance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8" w:name="page359"/>
    <w:bookmarkEnd w:id="358"/>
    <w:p>
      <w:pPr>
        <w:jc w:val="both"/>
        <w:ind w:firstLine="1304"/>
        <w:spacing w:after="0" w:line="245" w:lineRule="auto"/>
        <w:tabs>
          <w:tab w:leader="none" w:pos="1944"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each Loan Party shall deliver evidence of the insurance policies and endorsements described above to the Administrative Agent on or prior to the Closing Date. The Borrower will deliver to the Administrative Agent one or more certificates of insurance and endorsements evidencing renewal of the insurance coverage required hereunder within two (2) Business Days (or such later date as the Administrative Agent shall agree to in its reasonable discretion) after the completion of such renewal of the insurance coverage plus such other evidence of payment of premiums therefor as Administrative Agent may reasonably request in writing.</w:t>
      </w:r>
    </w:p>
    <w:p>
      <w:pPr>
        <w:spacing w:after="0" w:line="183"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Loan Party fails to, or fails to cause any Restricted Subsidiary to, obtain and maintain any of the policies of insurance required to be maintained pursuant to the provisions of this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or to pay any premium in whole or in part, the Administrative Agent may, without waiving or releasing any obligation or Default or Event of Default, at the Loan Parties’ expense, but without any obligation to do so, procure such policies or pay such premiums. All sums so disbursed by the Administrative Agent, including any reasonable and documented out-of-pocket expenses incurred by the Administrative Agent and reasonable fees, charges and disbursements of counsel for the Administrative Agent, shall be payable by the Loan Parties to the Administrative Agent on demand and shall be additional Obligations hereunder and under the other Loan Documents, secured by the Collateral.</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b w:val="1"/>
          <w:bCs w:val="1"/>
          <w:u w:val="single" w:color="auto"/>
          <w:color w:val="auto"/>
        </w:rPr>
        <w:t>Maintenance of Properties</w:t>
      </w:r>
      <w:r>
        <w:rPr>
          <w:rFonts w:ascii="Times New Roman" w:cs="Times New Roman" w:eastAsia="Times New Roman" w:hAnsi="Times New Roman"/>
          <w:sz w:val="20"/>
          <w:szCs w:val="20"/>
          <w:color w:val="auto"/>
        </w:rPr>
        <w:t>. Each Loan Party shall, and shall cause each Restricted Subsidiary to, maintain in good repair, working order and condition (ordinary wear and tear excepted) in accordance with the general practice of other businesses of similar character and size, all of those properties useful or necessary to its business, and from time to time, such Loan Party will make or cause to be made all appropriate repairs, renewals or replacements thereof, except as such action or inaction would not, individually or in the aggregate, reasonably be expected to result in a Material Adverse Change.</w:t>
      </w:r>
    </w:p>
    <w:p>
      <w:pPr>
        <w:spacing w:after="0" w:line="17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6.7 </w:t>
      </w:r>
      <w:r>
        <w:rPr>
          <w:rFonts w:ascii="Times New Roman" w:cs="Times New Roman" w:eastAsia="Times New Roman" w:hAnsi="Times New Roman"/>
          <w:sz w:val="20"/>
          <w:szCs w:val="20"/>
          <w:b w:val="1"/>
          <w:bCs w:val="1"/>
          <w:u w:val="single" w:color="auto"/>
          <w:color w:val="auto"/>
        </w:rPr>
        <w:t>Visitation Rights</w:t>
      </w:r>
      <w:r>
        <w:rPr>
          <w:rFonts w:ascii="Times New Roman" w:cs="Times New Roman" w:eastAsia="Times New Roman" w:hAnsi="Times New Roman"/>
          <w:sz w:val="20"/>
          <w:szCs w:val="20"/>
          <w:color w:val="auto"/>
        </w:rPr>
        <w:t xml:space="preserve">. Each Loan Party shall, and shall cause each Restricted Subsidiary to, permit any of the officers or authorized employees or representatives of the Administrative Agent to visit and inspect during normal business hours any of its properties and to examine and make excerpts from its books and records and discuss its business affairs, finances and accounts with its officers and to conduct reviews of each Loan Party’s Collateral, all in such detail and at such times and as often as the Required Lenders or the Administrative Agent may reasonably request, all at the Borrower’s expense,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prior to the occurrence and continuance of an Event of Default, (i) the Administrative Agent shall provide the Borrower with at least three (3) Business Days’ notice prior to any visit or inspection and (ii) the Administrative Agent shall not make more than one (1) such visit or inspection in any calendar year.</w:t>
      </w:r>
    </w:p>
    <w:p>
      <w:pPr>
        <w:spacing w:after="0" w:line="18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6.8 </w:t>
      </w:r>
      <w:r>
        <w:rPr>
          <w:rFonts w:ascii="Times New Roman" w:cs="Times New Roman" w:eastAsia="Times New Roman" w:hAnsi="Times New Roman"/>
          <w:sz w:val="20"/>
          <w:szCs w:val="20"/>
          <w:b w:val="1"/>
          <w:bCs w:val="1"/>
          <w:u w:val="single" w:color="auto"/>
          <w:color w:val="auto"/>
        </w:rPr>
        <w:t>Keeping of Records and Books of Account</w:t>
      </w:r>
      <w:r>
        <w:rPr>
          <w:rFonts w:ascii="Times New Roman" w:cs="Times New Roman" w:eastAsia="Times New Roman" w:hAnsi="Times New Roman"/>
          <w:sz w:val="20"/>
          <w:szCs w:val="20"/>
          <w:color w:val="auto"/>
        </w:rPr>
        <w:t>. The Loan Parties shall, and shall cause each Restricted Subsidiary of any Loan Party to, maintain and keep proper books of record and account that enable the Loan Parties and their Restricted Subsidiaries to issue financial statements in accordance with GAAP and as otherwise required by applicable Laws of any Governmental Authority having jurisdiction over any Loan Party or any Restricted Subsidiary of the Loan Parties, and in which full, true and correct entries shall be made in all material respects of all its dealings and business and financial affairs.</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6.9</w:t>
      </w:r>
      <w:r>
        <w:rPr>
          <w:sz w:val="20"/>
          <w:szCs w:val="20"/>
          <w:color w:val="auto"/>
        </w:rPr>
        <w:tab/>
      </w:r>
      <w:r>
        <w:rPr>
          <w:rFonts w:ascii="Times New Roman" w:cs="Times New Roman" w:eastAsia="Times New Roman" w:hAnsi="Times New Roman"/>
          <w:sz w:val="19"/>
          <w:szCs w:val="19"/>
          <w:b w:val="1"/>
          <w:bCs w:val="1"/>
          <w:u w:val="single" w:color="auto"/>
          <w:color w:val="auto"/>
        </w:rPr>
        <w:t>Compliance with Laws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9" w:lineRule="auto"/>
        <w:tabs>
          <w:tab w:leader="none" w:pos="1944"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shall, and shall cause each Restricted Subsidiary to, comply with all applicable Laws, except where failure to comply with any applicable Law would not result in fines, penalties, remediation costs, other similar liabilities or injunctive relief that, in the aggregate, would reasonably be expected to result in a Material Adverse Change.</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shall, and shall cause each of its Restricted Subsidiaries, Affiliates, officers, directors, employees and agents to, comply with all applicable (i) Anti-Corruption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59" w:name="page360"/>
    <w:bookmarkEnd w:id="359"/>
    <w:p>
      <w:pPr>
        <w:jc w:val="both"/>
        <w:spacing w:after="0" w:line="249" w:lineRule="auto"/>
        <w:rPr>
          <w:sz w:val="20"/>
          <w:szCs w:val="20"/>
          <w:color w:val="auto"/>
        </w:rPr>
      </w:pPr>
      <w:r>
        <w:rPr>
          <w:rFonts w:ascii="Times New Roman" w:cs="Times New Roman" w:eastAsia="Times New Roman" w:hAnsi="Times New Roman"/>
          <w:sz w:val="20"/>
          <w:szCs w:val="20"/>
          <w:color w:val="auto"/>
        </w:rPr>
        <w:t>Laws, (ii) Anti-Terrorism Laws and (iii) Sanctions. The Borrower shall implement and maintain in effect policies and procedures designed to ensure compliance by the Loan Parties and their respective Restricted Subsidiaries, Affiliates, officers, directors, employees and agents with all applicable (i) Anti-Corruption Laws, (ii) Anti-Terrorism Laws and (iii) Sanctions.</w:t>
      </w:r>
    </w:p>
    <w:p>
      <w:pPr>
        <w:spacing w:after="0" w:line="179" w:lineRule="exact"/>
        <w:rPr>
          <w:sz w:val="20"/>
          <w:szCs w:val="20"/>
          <w:color w:val="auto"/>
        </w:rPr>
      </w:pPr>
    </w:p>
    <w:p>
      <w:pPr>
        <w:jc w:val="both"/>
        <w:ind w:firstLine="1304"/>
        <w:spacing w:after="0" w:line="250" w:lineRule="auto"/>
        <w:tabs>
          <w:tab w:leader="none" w:pos="1944" w:val="left"/>
        </w:tabs>
        <w:numPr>
          <w:ilvl w:val="1"/>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Loan Parties shall, and shall cause each of the Restricted Subsidiaries to (i) conduct its operations and keep and maintain its real property in compliance with all Environmental Laws and environmental permits;</w:t>
      </w:r>
    </w:p>
    <w:p>
      <w:pPr>
        <w:spacing w:after="0" w:line="1" w:lineRule="exact"/>
        <w:rPr>
          <w:rFonts w:ascii="Times New Roman" w:cs="Times New Roman" w:eastAsia="Times New Roman" w:hAnsi="Times New Roman"/>
          <w:sz w:val="20"/>
          <w:szCs w:val="20"/>
          <w:color w:val="auto"/>
        </w:rPr>
      </w:pPr>
    </w:p>
    <w:p>
      <w:pPr>
        <w:jc w:val="both"/>
        <w:ind w:firstLine="8"/>
        <w:spacing w:after="0"/>
        <w:tabs>
          <w:tab w:leader="none" w:pos="304"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and renew all environmental permits necessary for its operations and properties; and (iii) implement any and all investigation, remediation, removal and response actions that are necessary to maintain the value and marketability of the real property or to otherwise comply with Environmental Laws pertaining to any of its real property, in each case, except as such action or inaction would not, individually or in the aggregate, reasonably be expected to result in a Material Adverse Change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neither a Loan Party nor any of its Restricted Subsidiaries shall be required to undertake any such investigation, remediation, removal, response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18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6.10</w:t>
      </w:r>
      <w:r>
        <w:rPr>
          <w:sz w:val="20"/>
          <w:szCs w:val="20"/>
          <w:color w:val="auto"/>
        </w:rPr>
        <w:tab/>
      </w:r>
      <w:r>
        <w:rPr>
          <w:rFonts w:ascii="Times New Roman" w:cs="Times New Roman" w:eastAsia="Times New Roman" w:hAnsi="Times New Roman"/>
          <w:sz w:val="19"/>
          <w:szCs w:val="19"/>
          <w:b w:val="1"/>
          <w:bCs w:val="1"/>
          <w:u w:val="single" w:color="auto"/>
          <w:color w:val="auto"/>
        </w:rPr>
        <w:t>Further Assurances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In each case, subject to the terms, conditions and limitations contained herein and in the other Loan Documents, each Loan Party shall, and shall cause each Restricted Subsidiary to, from time to time, at its expense, preserve and protect the Administrative Agent’s Lien on and Prior Security Interest in the Collateral whether now owned or hereafter acquired as a continuing Prior Security Interest therein, and shall do or make, or cause each Restricted Subsidiary to do or make, such other acts, deliveries and things as the Administrative Agent in its reasonable discretion may request in writing from time to time in order to consummate the transactions contemplated hereby, preserve, perfect and protect the Liens granted or purported to be granted under the Loan Documents and to exercise and enforce its rights and remedies thereunder with respect to the Collateral.</w:t>
      </w:r>
    </w:p>
    <w:p>
      <w:pPr>
        <w:spacing w:after="0" w:line="18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Additional Subsidiaries</w:t>
      </w:r>
      <w:r>
        <w:rPr>
          <w:rFonts w:ascii="Times New Roman" w:cs="Times New Roman" w:eastAsia="Times New Roman" w:hAnsi="Times New Roman"/>
          <w:sz w:val="19"/>
          <w:szCs w:val="19"/>
          <w:color w:val="auto"/>
        </w:rPr>
        <w:t xml:space="preserve">. In furtherance, and not in limitation, of </w:t>
      </w:r>
      <w:r>
        <w:rPr>
          <w:rFonts w:ascii="Times New Roman" w:cs="Times New Roman" w:eastAsia="Times New Roman" w:hAnsi="Times New Roman"/>
          <w:sz w:val="19"/>
          <w:szCs w:val="19"/>
          <w:u w:val="single" w:color="auto"/>
          <w:color w:val="auto"/>
        </w:rPr>
        <w:t>Section 6.10(a)</w:t>
      </w:r>
      <w:r>
        <w:rPr>
          <w:rFonts w:ascii="Times New Roman" w:cs="Times New Roman" w:eastAsia="Times New Roman" w:hAnsi="Times New Roman"/>
          <w:sz w:val="19"/>
          <w:szCs w:val="19"/>
          <w:color w:val="auto"/>
        </w:rPr>
        <w:t xml:space="preserve">, promptly upon (and in any event within forty-five (45) days after (or such later date as the Administrative Agent shall agree to in its sole discretion)) (I) the creation or acquisition of any direct or indirect Subsidiary (other than an Excluded Subsidiary, an Unrestricted Subsidiary or a Material Foreign Subsidiary) by any Loan Party or any Subsidiary (other than an Excluded Subsidiary, an Unrestricted Subsidiary or a Material Foreign Subsidiary) of any Loan Party, or (II) any existing Unrestricted Subsidiary becoming a Restricted Subsidiary (other than an Excluded Subsidiary or a Material Foreign Subsidiary) or (III) any existing Restricted Subsidiary that was an Excluded Subsidiary or a Material Foreign Subsidiary ceasing to be an Excluded Subsidiary or a Material Foreign Subsidiary, each such Subsidiary and the Loan Parties will execute and deliver to the Administrative Agent a duly executed Joinder Agreement in accordance with </w:t>
      </w:r>
      <w:r>
        <w:rPr>
          <w:rFonts w:ascii="Times New Roman" w:cs="Times New Roman" w:eastAsia="Times New Roman" w:hAnsi="Times New Roman"/>
          <w:sz w:val="19"/>
          <w:szCs w:val="19"/>
          <w:u w:val="single" w:color="auto"/>
          <w:color w:val="auto"/>
        </w:rPr>
        <w:t>Section 12.12</w:t>
      </w:r>
      <w:r>
        <w:rPr>
          <w:rFonts w:ascii="Times New Roman" w:cs="Times New Roman" w:eastAsia="Times New Roman" w:hAnsi="Times New Roman"/>
          <w:sz w:val="19"/>
          <w:szCs w:val="19"/>
          <w:color w:val="auto"/>
        </w:rPr>
        <w:t>, pursuant to which (i) such Subsidiary shall become a party hereto as a Guarantor and shall become a party to the Security Agreement as a Grantor (as defined therein), and (ii) the Equity Interests of such Subsidiary shall be pledged by the applicable Loan Party to the extent provided in the Collateral Documents. As promptly as reasonably possible, the Loan Parties and their respective Subsidiaries will deliver all certificates evidencing such Equity Interests, together with undated, executed transfer powers, and such other Collateral Documents and such other documents, certificates and opinions (including opinions of local counsel in the jurisdiction of organization of each such new Subsidiary) regarding such Subsidiary, in form, content and scope reasonably satisfactory to the Administrative Agent, as the Administrative Agent may reasonably request in connection therewith and will take such other action as the Administrative Agent may reasonably request to create in favor of the Administrative Agent a Prior Security Interest in the Collateral, to the extent provided in the Collateral Documents, for the 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0" w:name="page361"/>
    <w:bookmarkEnd w:id="360"/>
    <w:p>
      <w:pPr>
        <w:jc w:val="both"/>
        <w:spacing w:after="0" w:line="241" w:lineRule="auto"/>
        <w:rPr>
          <w:sz w:val="20"/>
          <w:szCs w:val="20"/>
          <w:color w:val="auto"/>
        </w:rPr>
      </w:pPr>
      <w:r>
        <w:rPr>
          <w:rFonts w:ascii="Times New Roman" w:cs="Times New Roman" w:eastAsia="Times New Roman" w:hAnsi="Times New Roman"/>
          <w:sz w:val="20"/>
          <w:szCs w:val="20"/>
          <w:color w:val="auto"/>
        </w:rPr>
        <w:t>Obligations. Notwithstanding anything herein to the contrary, in connection with a Limited Condition Acquisition, to the extent that any Collateral (including the creation or perfection of any security interest) is not or cannot be provided on the closing date of such Limited Condition Acquisition (other than (1) a Lien on Collateral that may be perfected solely by the filing of a financing statement under and in connection with the UCC, (2) a Lien on Collateral that may be perfected solely by the filing of a security agreement with either the United States Patent and Trademark Office or the United States Copyright Office and (3) a pledge of the Equity Interests of the Acquired Business with respect to which a lien may be perfected upon closing by the delivery of a stock or equivalent certificate together with a stock power or similar instrument of transfer endorsed in blank (unless the Administrative Agent agrees in its sole discretion to receive such certificate and such stock power or instrument of transfer on a date following such closing in its sole determination)) after the Borrower’s use of commercially reasonable efforts to do so, then the provision and/or perfection of such collateral shall not constitute a condition precedent to the availability and the funding of such Indebtedness on the closing date of such Limited Condition Acquisition but may instead be delivered and/or perfected within sixty (60) days (or such longer period as the Administrative Agent may reasonably agree in its sole discretion) after such closing date pursuant to arrangements to be mutually agreed by the Administrative Agent and the Borrower.</w:t>
      </w:r>
    </w:p>
    <w:p>
      <w:pPr>
        <w:spacing w:after="0" w:line="195" w:lineRule="exact"/>
        <w:rPr>
          <w:sz w:val="20"/>
          <w:szCs w:val="20"/>
          <w:color w:val="auto"/>
        </w:rPr>
      </w:pPr>
    </w:p>
    <w:p>
      <w:pPr>
        <w:ind w:left="1960" w:hanging="656"/>
        <w:spacing w:after="0"/>
        <w:tabs>
          <w:tab w:leader="none" w:pos="1960" w:val="left"/>
        </w:tabs>
        <w:numPr>
          <w:ilvl w:val="1"/>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64" w:lineRule="auto"/>
        <w:tabs>
          <w:tab w:leader="none" w:pos="1944" w:val="left"/>
        </w:tabs>
        <w:numPr>
          <w:ilvl w:val="1"/>
          <w:numId w:val="3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Other Property</w:t>
      </w:r>
      <w:r>
        <w:rPr>
          <w:rFonts w:ascii="Times New Roman" w:cs="Times New Roman" w:eastAsia="Times New Roman" w:hAnsi="Times New Roman"/>
          <w:sz w:val="19"/>
          <w:szCs w:val="19"/>
          <w:color w:val="auto"/>
        </w:rPr>
        <w:t xml:space="preserve">. Pursuant to the terms of this </w:t>
      </w:r>
      <w:r>
        <w:rPr>
          <w:rFonts w:ascii="Times New Roman" w:cs="Times New Roman" w:eastAsia="Times New Roman" w:hAnsi="Times New Roman"/>
          <w:sz w:val="19"/>
          <w:szCs w:val="19"/>
          <w:u w:val="single" w:color="auto"/>
          <w:color w:val="auto"/>
        </w:rPr>
        <w:t>Section 6.10</w:t>
      </w:r>
      <w:r>
        <w:rPr>
          <w:rFonts w:ascii="Times New Roman" w:cs="Times New Roman" w:eastAsia="Times New Roman" w:hAnsi="Times New Roman"/>
          <w:sz w:val="19"/>
          <w:szCs w:val="19"/>
          <w:color w:val="auto"/>
        </w:rPr>
        <w:t xml:space="preserve"> and of the Security Agreement, the Loan Parties will (i) promptly (and in any event on or before the earlier of (x) if applicable, the time required by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xml:space="preserve"> or</w:t>
      </w:r>
    </w:p>
    <w:p>
      <w:pPr>
        <w:jc w:val="both"/>
        <w:ind w:firstLine="8"/>
        <w:spacing w:after="0" w:line="252" w:lineRule="auto"/>
        <w:tabs>
          <w:tab w:leader="none" w:pos="284" w:val="left"/>
        </w:tabs>
        <w:numPr>
          <w:ilvl w:val="0"/>
          <w:numId w:val="3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Borrower’s next submission of a Compliance Certificate) notify the Administrative Agent of (A) any Equity Interest, and (B) any commercial tort claim known to any Loan Party (such that an officer of any Loan Party has actual knowledge of the existence of a tort cause of action and not merely of the existence of the facts giving rise to such cause of action) that such Loan Party knows to involve an amount in controversy, in the aggregate with any other known commercial tort claim of any Loan Party, in excess of the greater of (i) $20,000,000 and (ii) 25% of EBITDA of the Borrower and the Restricted Subsidiaries for the Test Period, and (ii) on or before the earlier of (x) if applicable, the time required by </w:t>
      </w:r>
      <w:r>
        <w:rPr>
          <w:rFonts w:ascii="Times New Roman" w:cs="Times New Roman" w:eastAsia="Times New Roman" w:hAnsi="Times New Roman"/>
          <w:sz w:val="19"/>
          <w:szCs w:val="19"/>
          <w:u w:val="single" w:color="auto"/>
          <w:color w:val="auto"/>
        </w:rPr>
        <w:t>Section 6.10(b)</w:t>
      </w:r>
      <w:r>
        <w:rPr>
          <w:rFonts w:ascii="Times New Roman" w:cs="Times New Roman" w:eastAsia="Times New Roman" w:hAnsi="Times New Roman"/>
          <w:sz w:val="19"/>
          <w:szCs w:val="19"/>
          <w:color w:val="auto"/>
        </w:rPr>
        <w:t xml:space="preserve"> or</w:t>
      </w:r>
    </w:p>
    <w:p>
      <w:pPr>
        <w:jc w:val="both"/>
        <w:ind w:firstLine="8"/>
        <w:spacing w:after="0" w:line="242" w:lineRule="auto"/>
        <w:tabs>
          <w:tab w:leader="none" w:pos="296"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next submission of a Compliance Certificate in connection with the financial statements required to be delivered pursuant to </w:t>
      </w:r>
      <w:r>
        <w:rPr>
          <w:rFonts w:ascii="Times New Roman" w:cs="Times New Roman" w:eastAsia="Times New Roman" w:hAnsi="Times New Roman"/>
          <w:sz w:val="20"/>
          <w:szCs w:val="20"/>
          <w:u w:val="single" w:color="auto"/>
          <w:color w:val="auto"/>
        </w:rPr>
        <w:t>Section 6.1(b)</w:t>
      </w:r>
      <w:r>
        <w:rPr>
          <w:rFonts w:ascii="Times New Roman" w:cs="Times New Roman" w:eastAsia="Times New Roman" w:hAnsi="Times New Roman"/>
          <w:sz w:val="20"/>
          <w:szCs w:val="20"/>
          <w:color w:val="auto"/>
        </w:rPr>
        <w:t>, deliver updated Annexes to the Security Agreement as and when required under the Security Agreement.</w:t>
      </w:r>
    </w:p>
    <w:p>
      <w:pPr>
        <w:spacing w:after="0" w:line="18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The Administrative Agent may elect not to request any documents, instruments, filings or opinions as contemplated by this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or the Security Agreement and the other Loan Documents if it determines in its reasonable discretion that the costs to the Loan Parties of perfecting a security interest or Lien in such property exceed the relative benefit of such security interest to the Secured Parties.</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6.11</w:t>
      </w:r>
      <w:r>
        <w:rPr>
          <w:sz w:val="20"/>
          <w:szCs w:val="20"/>
          <w:color w:val="auto"/>
        </w:rPr>
        <w:tab/>
      </w:r>
      <w:r>
        <w:rPr>
          <w:rFonts w:ascii="Times New Roman" w:cs="Times New Roman" w:eastAsia="Times New Roman" w:hAnsi="Times New Roman"/>
          <w:sz w:val="19"/>
          <w:szCs w:val="19"/>
          <w:b w:val="1"/>
          <w:bCs w:val="1"/>
          <w:u w:val="single" w:color="auto"/>
          <w:color w:val="auto"/>
        </w:rPr>
        <w:t>CoBank Equity and Securities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3" w:lineRule="auto"/>
        <w:tabs>
          <w:tab w:leader="none" w:pos="1944"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CoBank (or its affiliates) is a Lender hereunder, the Borrower shall (a) maintain its status as an entity eligible to borrow from CoBank (or its affiliates) and (b) acquire equity in CoBank in such amounts and at such times as CoBank may require in accordance with CoBank’s Bylaws and Capital Plan (as each may be amended from time to time), except that the maximum amount of equity that the Borrower may be required to purchase in CoBank in connection with the Loans made by CoBank (or its affiliates) may not exceed the maximum amount permitted by the Bylaws and the Capital Plan at the time this Agreement is entered into. The Borrower acknowledges receipt of a copy of (i) CoBank’s most recent annual report, and if more recent, CoBank’s latest quarterly report, (ii) CoBank’s Notice to Prospective Stockholders and (iii) CoBank’s Bylaws and Capital Plan, which describe the nature of all of the CoBank Equities as well as capitalization requirements, and agrees to be bound by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1" w:name="page362"/>
    <w:bookmarkEnd w:id="361"/>
    <w:p>
      <w:pPr>
        <w:jc w:val="both"/>
        <w:ind w:firstLine="1304"/>
        <w:spacing w:after="0" w:line="246" w:lineRule="auto"/>
        <w:tabs>
          <w:tab w:leader="none" w:pos="1944" w:val="left"/>
        </w:tabs>
        <w:numPr>
          <w:ilvl w:val="1"/>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acknowledges that CoBank’s Bylaws and Capital Plan (as each may be amended from time to time) shall govern (i) the rights and obligations of the parties with respect to the CoBank Equities and any patronage refunds or other distributions made on account thereof or on account of the Borrower’s patronage with CoBank,</w:t>
      </w:r>
    </w:p>
    <w:p>
      <w:pPr>
        <w:spacing w:after="0" w:line="2" w:lineRule="exact"/>
        <w:rPr>
          <w:rFonts w:ascii="Times New Roman" w:cs="Times New Roman" w:eastAsia="Times New Roman" w:hAnsi="Times New Roman"/>
          <w:sz w:val="20"/>
          <w:szCs w:val="20"/>
          <w:color w:val="auto"/>
        </w:rPr>
      </w:pPr>
    </w:p>
    <w:p>
      <w:pPr>
        <w:jc w:val="both"/>
        <w:ind w:firstLine="8"/>
        <w:spacing w:after="0" w:line="241" w:lineRule="auto"/>
        <w:tabs>
          <w:tab w:leader="none" w:pos="305"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eligibility for patronage distributions from CoBank (in the form of CoBank Equities and cash) and (iii) patronage distributions, if any, in the event of a sale of a participation interest. CoBank reserves the right to assign or sell participations in all or any part of its (or its affiliate’s) Commitments or outstanding Loans hereunder on a non-patronage basis.</w:t>
      </w:r>
    </w:p>
    <w:p>
      <w:pPr>
        <w:spacing w:after="0" w:line="188"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1"/>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or in any other Loan Document to the contrary, each party hereto acknowledges that: (i) CoBank has a statutory first Lien pursuant to the Farm Credit Act of 1971 (as amended from time to time) on all CoBank Equities that the Borrower may now own or hereafter acquire, which statutory Lien shall be for CoBank’s (or its affiliate’s) sole and exclusive benefit; (ii) during the existence of any Event of Default, CoBank may at its sole discretion, but shall not be required to, foreclose on its statutory first Lien on the CoBank Equities and/or set off the value thereof or of any cash patronage against the Secured Obligations; (iii) during the existence of any Event of Default, CoBank may at its sole discretion, but shall not be required to, without notice except as required by applicable Law, retire and cancel all or part of the CoBank Equities owned by or allocated to the Borrower in accordance with the Farm Credit Act of 1971 (as amended from time to time) and any regulations promulgated pursuant thereto in total or partial liquidation of the Secured Obligations for such value as may be required pursuant applicable Law and CoBank’s Bylaws and Capital Plan (as each may be amended from time to time); (iv) the CoBank Equities shall not constitute security for the Secured Obligations due to the Administrative Agent, any other Lender or any other Secured Party; (v) to the extent that any of the Loan Documents create a Lien on the CoBank Equities, such Lien shall be for CoBank’s (or its affiliate’s) sole and exclusive benefit and shall not be subject to pro rata sharing hereunder; (vi) any setoff effectuated pursuant to the preceding clauses (ii) or (iii) may be undertaken whether or not the Secured Obligations are currently due and payable; and (vii) CoBank shall have no obligation to retire the CoBank Equities upon any Event of Default, Default or any other default by the Borrower or any other Loan Party, or at any other time, either for application to the Obligations or otherwise. The Borrower acknowledges that any corresponding tax liability associated with CoBank’s application of the value of the CoBank Equities to any portion of the Obligations is the sole responsibility of the Borrower.</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6.12 </w:t>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color w:val="auto"/>
        </w:rPr>
        <w:t xml:space="preserve">. The proceeds of (i) the Term A-1 Loans shall be used to refinance the outstanding principal balance of the revolver loans advanced to the Borrower under that certain Fourth Amended and Restated Credit Agreement dated as of December 19, 2014, among the Borrower, CoBank, as administrative agent, the other loan parties party thereto, and the other lenders party thereto, and (ii) the Revolving A-1 Loans shall be used to provide working capital and Letters of Credit from time to time for the Borrower and its Subsidiaries and for other general corporate purposes. The Loan Parties will use the Letters of Credit and the proceeds of the Loans only in accordance with </w:t>
      </w:r>
      <w:r>
        <w:rPr>
          <w:rFonts w:ascii="Times New Roman" w:cs="Times New Roman" w:eastAsia="Times New Roman" w:hAnsi="Times New Roman"/>
          <w:sz w:val="20"/>
          <w:szCs w:val="20"/>
          <w:u w:val="single" w:color="auto"/>
          <w:color w:val="auto"/>
        </w:rPr>
        <w:t>Sections 5.11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5.24</w:t>
      </w:r>
      <w:r>
        <w:rPr>
          <w:rFonts w:ascii="Times New Roman" w:cs="Times New Roman" w:eastAsia="Times New Roman" w:hAnsi="Times New Roman"/>
          <w:sz w:val="20"/>
          <w:szCs w:val="20"/>
          <w:color w:val="auto"/>
        </w:rPr>
        <w:t xml:space="preserve"> and as permitted by applicable Law.</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6.13</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6.14</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6.15 </w:t>
      </w:r>
      <w:r>
        <w:rPr>
          <w:rFonts w:ascii="Times New Roman" w:cs="Times New Roman" w:eastAsia="Times New Roman" w:hAnsi="Times New Roman"/>
          <w:sz w:val="20"/>
          <w:szCs w:val="20"/>
          <w:b w:val="1"/>
          <w:bCs w:val="1"/>
          <w:u w:val="single" w:color="auto"/>
          <w:color w:val="auto"/>
        </w:rPr>
        <w:t>Compliance with ERISA and IRC</w:t>
      </w:r>
      <w:r>
        <w:rPr>
          <w:rFonts w:ascii="Times New Roman" w:cs="Times New Roman" w:eastAsia="Times New Roman" w:hAnsi="Times New Roman"/>
          <w:sz w:val="20"/>
          <w:szCs w:val="20"/>
          <w:color w:val="auto"/>
        </w:rPr>
        <w:t>. Each Loan Party will (a) comply in all material respects with applicable provisions of ERISA and the IRC with respect to all Plans, (b) without the prior written consent of Agent and the Required Lenders, not take any action or fail to take action the result of which could result in a Loan Party or ERISA Affiliate incurring a material liability to the PBGC or to a Multiemployer Plan (other than to pay contributions or premiums payable in the ordinary course), (c) not participate in any prohibited transaction that could result in other than a de minimis civil penalty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2" w:name="page363"/>
    <w:bookmarkEnd w:id="362"/>
    <w:p>
      <w:pPr>
        <w:ind w:right="20"/>
        <w:spacing w:after="0" w:line="268" w:lineRule="auto"/>
        <w:rPr>
          <w:sz w:val="20"/>
          <w:szCs w:val="20"/>
          <w:color w:val="auto"/>
        </w:rPr>
      </w:pPr>
      <w:r>
        <w:rPr>
          <w:rFonts w:ascii="Times New Roman" w:cs="Times New Roman" w:eastAsia="Times New Roman" w:hAnsi="Times New Roman"/>
          <w:sz w:val="20"/>
          <w:szCs w:val="20"/>
          <w:color w:val="auto"/>
        </w:rPr>
        <w:t>or correction obligation under ERISA or the IRC, and (d) operate each Plan in such a manner that will not incur any material tax liability under the IRC.</w:t>
      </w:r>
    </w:p>
    <w:p>
      <w:pPr>
        <w:spacing w:after="0" w:line="15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6.16</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6.17</w:t>
      </w:r>
      <w:r>
        <w:rPr>
          <w:sz w:val="20"/>
          <w:szCs w:val="20"/>
          <w:color w:val="auto"/>
        </w:rPr>
        <w:tab/>
      </w:r>
      <w:r>
        <w:rPr>
          <w:rFonts w:ascii="Times New Roman" w:cs="Times New Roman" w:eastAsia="Times New Roman" w:hAnsi="Times New Roman"/>
          <w:sz w:val="19"/>
          <w:szCs w:val="19"/>
          <w:b w:val="1"/>
          <w:bCs w:val="1"/>
          <w:u w:val="single" w:color="auto"/>
          <w:color w:val="auto"/>
        </w:rPr>
        <w:t>Designation of Subsidiaries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4" w:lineRule="auto"/>
        <w:tabs>
          <w:tab w:leader="none" w:pos="1944"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at any time and from time to time designate (or re-designate) any of its direct or indirect Subsidiaries (including any existing Subsidiary and any newly acquired or newly formed Subsidiary) to be an Unrestricted Subsidiary unless such Subsidiary or any of its Subsidiaries owns any Equity Interests or Indebtedness of, or owns or holds any Lien on, any property of, the Borrower or any Restricted Subsidiary of the Borrower;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no Event of Default shall have occurred and be continuing immediately before and immediately after giving effect to such designation, (ii) the Borrower shall be in compliance on a pro forma basis immediately after giving effect to such designation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 and (iii) such designation complies with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185"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Borrower may designate (or re-designate) any Unrestricted Subsidiary to be a Restricted Subsidiary;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(i) no Event of Default shall have occurred and be continuing immediately before and immediately after giving effect to such designation and (ii) Borrower shall be in compliance on a pro forma basis immediately after giving effect to such designation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 </w:t>
      </w:r>
      <w:r>
        <w:rPr>
          <w:rFonts w:ascii="Times New Roman" w:cs="Times New Roman" w:eastAsia="Times New Roman" w:hAnsi="Times New Roman"/>
          <w:sz w:val="20"/>
          <w:szCs w:val="20"/>
          <w:u w:val="single" w:color="auto"/>
          <w:color w:val="auto"/>
        </w:rPr>
        <w:t>provided further that</w:t>
      </w:r>
      <w:r>
        <w:rPr>
          <w:rFonts w:ascii="Times New Roman" w:cs="Times New Roman" w:eastAsia="Times New Roman" w:hAnsi="Times New Roman"/>
          <w:sz w:val="20"/>
          <w:szCs w:val="20"/>
          <w:color w:val="auto"/>
        </w:rPr>
        <w:t>, Indebtedness and Investments of the applicable Subsidiary and any Liens encumbering its property, in each case, existing as of the time of such designation shall be deemed incurred or established, as applicable, at the time of such designation.</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designating any Restricted Subsidiary as an Unrestricted Subsidiary, all outstanding Investments by the Borrower and its Restricted Subsidiaries (except to the extent repaid) in the Subsidiary so designated will be deemed to be Investments in an amount determined as set forth in the definition of Investment.</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such designation by the Borrower shall be notified by the Borrower to the Administrative Agent by promptly delivering to the Administrative Agent a certificate of an authorized officer of the Borrower certifying that such designation complies with the foregoing provisions of this </w:t>
      </w:r>
      <w:r>
        <w:rPr>
          <w:rFonts w:ascii="Times New Roman" w:cs="Times New Roman" w:eastAsia="Times New Roman" w:hAnsi="Times New Roman"/>
          <w:sz w:val="20"/>
          <w:szCs w:val="20"/>
          <w:u w:val="single" w:color="auto"/>
          <w:color w:val="auto"/>
        </w:rPr>
        <w:t>Section 6.17</w:t>
      </w:r>
      <w:r>
        <w:rPr>
          <w:rFonts w:ascii="Times New Roman" w:cs="Times New Roman" w:eastAsia="Times New Roman" w:hAnsi="Times New Roman"/>
          <w:sz w:val="20"/>
          <w:szCs w:val="20"/>
          <w:color w:val="auto"/>
        </w:rPr>
        <w:t>, whereupon such designation shall be immediately effective.</w:t>
      </w:r>
    </w:p>
    <w:p>
      <w:pPr>
        <w:spacing w:after="0" w:line="17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(i) if any Restricted Subsidiary owns or holds any Material Intellectual Property, such Restricted Subsidiary may not be designated as an Unrestricted Subsidiary and (ii) neither the Borrower nor any of its Restricted Subsidiaries shall make any Investment consisting of, or otherwise Dispose of, any Material Intellectual Property to, any Unrestricted Subsidiary.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9"/>
          <w:szCs w:val="19"/>
          <w:color w:val="auto"/>
        </w:rPr>
        <w:t xml:space="preserve">6.18 </w:t>
      </w:r>
      <w:r>
        <w:rPr>
          <w:rFonts w:ascii="Times New Roman" w:cs="Times New Roman" w:eastAsia="Times New Roman" w:hAnsi="Times New Roman"/>
          <w:sz w:val="19"/>
          <w:szCs w:val="19"/>
          <w:b w:val="1"/>
          <w:bCs w:val="1"/>
          <w:u w:val="single" w:color="auto"/>
          <w:color w:val="auto"/>
        </w:rPr>
        <w:t>Post-Closing Obligations</w:t>
      </w:r>
      <w:r>
        <w:rPr>
          <w:rFonts w:ascii="Times New Roman" w:cs="Times New Roman" w:eastAsia="Times New Roman" w:hAnsi="Times New Roman"/>
          <w:sz w:val="19"/>
          <w:szCs w:val="19"/>
          <w:color w:val="auto"/>
        </w:rPr>
        <w:t>. Each of the Loan Parties covenants and agrees that it shall, and shall cause each Restricted Subsidiary to, perform the obligations set forth on Schedule 6.18 on or before the date provided on Schedule 6.18 (as such date may be extended by the Administrative Agent in its reasonable discretion) with respect to each such obligation unless the Administrative Agent has agreed in its reasonable discretion in writing to waive such obligation in its entirety.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VII.  NEGATIVE COVENANTS</w:t>
      </w:r>
    </w:p>
    <w:p>
      <w:pPr>
        <w:spacing w:after="0" w:line="21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u w:val="single" w:color="auto"/>
          <w:color w:val="auto"/>
        </w:rPr>
        <w:t>Indebtedness</w:t>
      </w:r>
      <w:r>
        <w:rPr>
          <w:rFonts w:ascii="Times New Roman" w:cs="Times New Roman" w:eastAsia="Times New Roman" w:hAnsi="Times New Roman"/>
          <w:sz w:val="20"/>
          <w:szCs w:val="20"/>
          <w:color w:val="auto"/>
        </w:rPr>
        <w:t>. No Loan Party shall, nor shall any Loan Party permit any Restricted Subsidiary to, at any time create, incur, assume or suffer to exist any Indebtedness, except: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3" w:name="page364"/>
    <w:bookmarkEnd w:id="363"/>
    <w:p>
      <w:pPr>
        <w:ind w:left="1960" w:hanging="656"/>
        <w:spacing w:after="0"/>
        <w:tabs>
          <w:tab w:leader="none" w:pos="1960"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under this Agreement and the other Loan Documents;</w:t>
      </w:r>
    </w:p>
    <w:p>
      <w:pPr>
        <w:spacing w:after="0" w:line="21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returned items, netting services, employee credit cards (and related credit card processing services), debit cards, stored value cards, purchase cards (including so- called “procurement cards” or “P-cards”), overdraft protections and automatic clearinghouse arrangements and other cash management and similar arrangements incurred in the ordinary course of business;</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in each case, arising from agreements of Borrower or any Restricted Subsidiary providing for indemnification, adjustment of purchase price, deferred purchase price, earn-out payments or similar obligations;</w:t>
      </w:r>
    </w:p>
    <w:p>
      <w:pPr>
        <w:spacing w:after="0" w:line="174"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unpaid insurance premiums owing to insurance companies and insurance brokers incurred in connection with the financing of insurance premiums in the ordinary course of business;</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endorsements for collection, deposit or negotiation and warranties of products or services, in each case incurred in the ordinary course of business;</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arising under guaranties made in the ordinary course of business of obligations of any Loan Party, which obligations are otherwise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obligation is subordinated to the Obligations, such guaranty shall be subordinated to the same extent;</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existing Indebtedness as set forth on </w:t>
      </w:r>
      <w:r>
        <w:rPr>
          <w:rFonts w:ascii="Times New Roman" w:cs="Times New Roman" w:eastAsia="Times New Roman" w:hAnsi="Times New Roman"/>
          <w:sz w:val="20"/>
          <w:szCs w:val="20"/>
          <w:u w:val="single" w:color="auto"/>
          <w:color w:val="auto"/>
        </w:rPr>
        <w:t>Schedule 7.1(h)</w:t>
      </w:r>
      <w:r>
        <w:rPr>
          <w:rFonts w:ascii="Times New Roman" w:cs="Times New Roman" w:eastAsia="Times New Roman" w:hAnsi="Times New Roman"/>
          <w:sz w:val="20"/>
          <w:szCs w:val="20"/>
          <w:color w:val="auto"/>
        </w:rPr>
        <w:t xml:space="preserve"> (including any extensions or renewals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and (ii) the terms relating to principal amount, amortization, maturity, collateral (if any) and subordination (if any), and other material terms taken as a whole, of any such refinancing, refunding, renewing or extending Indebtedness, and of any agreement entered into and of any instrument issued in connection therewith, are no less favorable in any material respect to the Loan Parties or the Lenders than the terms of any agreement or instrument governing the Indebtedness being refinanced, refunded, renewed or extended and the interest rate applicable to any such refinancing, refunding, renewing or extending Indebtedness does not exceed the then applicable market interest rate;</w:t>
      </w:r>
    </w:p>
    <w:p>
      <w:pPr>
        <w:spacing w:after="0" w:line="192"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incurred (A) with respect to Purchase Money Security Interests, Synthetic Lease Obligations and Capital Leases for fixed or capital assets set forth on </w:t>
      </w:r>
      <w:r>
        <w:rPr>
          <w:rFonts w:ascii="Times New Roman" w:cs="Times New Roman" w:eastAsia="Times New Roman" w:hAnsi="Times New Roman"/>
          <w:sz w:val="20"/>
          <w:szCs w:val="20"/>
          <w:u w:val="single" w:color="auto"/>
          <w:color w:val="auto"/>
        </w:rPr>
        <w:t>Schedule 7.1(i)</w:t>
      </w:r>
      <w:r>
        <w:rPr>
          <w:rFonts w:ascii="Times New Roman" w:cs="Times New Roman" w:eastAsia="Times New Roman" w:hAnsi="Times New Roman"/>
          <w:sz w:val="20"/>
          <w:szCs w:val="20"/>
          <w:color w:val="auto"/>
        </w:rPr>
        <w:t>, and (B) Indebtedness incurred with respect to Purchase Money Security Interests, Synthetic Lease Obligations and Capital Leases for fixed or capital assets not to exceed in the aggregate amount at any time the greater of (i) $10,000,000 and (ii) 15% of EBITDA of the Borrower and the Restricted Subsidiaries for the Test Period;</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Unsecured Indebtedness solely among Loan Parties;</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(contingent or otherwise) of any Loan Party arising under (i) any Secured Hedge or</w:t>
      </w:r>
    </w:p>
    <w:p>
      <w:pPr>
        <w:spacing w:after="0" w:line="21" w:lineRule="exact"/>
        <w:rPr>
          <w:rFonts w:ascii="Times New Roman" w:cs="Times New Roman" w:eastAsia="Times New Roman" w:hAnsi="Times New Roman"/>
          <w:sz w:val="20"/>
          <w:szCs w:val="20"/>
          <w:color w:val="auto"/>
        </w:rPr>
      </w:pPr>
    </w:p>
    <w:p>
      <w:pPr>
        <w:jc w:val="both"/>
        <w:ind w:firstLine="8"/>
        <w:spacing w:after="0" w:line="241" w:lineRule="auto"/>
        <w:tabs>
          <w:tab w:leader="none" w:pos="291" w:val="left"/>
        </w:tabs>
        <w:numPr>
          <w:ilvl w:val="0"/>
          <w:numId w:val="3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under any Secured Bank Product entered into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no Loan Party shall enter into or incur any Secured Hedge that constitutes a Swap Obligation if at the time it enters into or incurs such Swap Obligation it does not constitute an “eligible contract participant” as defined in the Commodity Exchange Act, and (ii)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20"/>
          <w:szCs w:val="20"/>
          <w:color w:val="auto"/>
        </w:rPr>
        <w:t>Parties and their Subsidiaries shall enter into a Secured Hedge only for hedging (rather than speculative) purposes;</w:t>
      </w:r>
    </w:p>
    <w:p>
      <w:pPr>
        <w:spacing w:after="0" w:line="215" w:lineRule="exact"/>
        <w:rPr>
          <w:sz w:val="20"/>
          <w:szCs w:val="20"/>
          <w:color w:val="auto"/>
        </w:rPr>
      </w:pPr>
    </w:p>
    <w:p>
      <w:pPr>
        <w:ind w:left="1960" w:hanging="656"/>
        <w:spacing w:after="0"/>
        <w:tabs>
          <w:tab w:leader="none" w:pos="1960"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and other Contingent Obligations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44" w:val="left"/>
        </w:tabs>
        <w:numPr>
          <w:ilvl w:val="1"/>
          <w:numId w:val="3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of any Person (other than revolving credit facilities or commitments therefor) that becomes a Restricted Subsidiary that is assumed in connection with any Permitted Acquisition, in an aggregate amount at any time not to exceed 100% of EBITDA of the Borrower and the Restricted Subsidiaries for the Test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jc w:val="both"/>
        <w:ind w:firstLine="8"/>
        <w:spacing w:after="0" w:line="252" w:lineRule="auto"/>
        <w:tabs>
          <w:tab w:leader="none" w:pos="254" w:val="left"/>
        </w:tabs>
        <w:numPr>
          <w:ilvl w:val="0"/>
          <w:numId w:val="3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Indebtedness was existing at the time of closing such Permitted Acquisition and not incurred in contemplation of such Permitted Acquisition, (ii) no portion of such Indebtedness matures prior to the latest maturity date of any of the Loans,</w:t>
      </w:r>
    </w:p>
    <w:p>
      <w:pPr>
        <w:jc w:val="both"/>
        <w:ind w:firstLine="8"/>
        <w:spacing w:after="0" w:line="241" w:lineRule="auto"/>
        <w:tabs>
          <w:tab w:leader="none" w:pos="394" w:val="left"/>
        </w:tabs>
        <w:numPr>
          <w:ilvl w:val="0"/>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immediately before and immediately after giving effect to the incurrence or assumption thereof and any related transactions, no Default or Event of Default has occurred and is continuing and (iv) immediately after giving effect to the incurrence or assumption thereof and any related transactions, the Borrower shall be in compliance on a pro forma basis with the financial covenant set forth in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w:t>
      </w:r>
    </w:p>
    <w:p>
      <w:pPr>
        <w:spacing w:after="0" w:line="188"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with respect to cash management and similar arrangements in the ordinary course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w:t>
      </w:r>
    </w:p>
    <w:p>
      <w:pPr>
        <w:spacing w:after="0" w:line="193"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representing deferred compensation to officers or employees of the Borrower and its Restricted Subsidiaries incurred in the ordinary course of business;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Permitted Stimulus Indebtedness;</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Indebtedness of the Borrower in an aggregate amount at any time not to exceed the greater of</w:t>
      </w:r>
    </w:p>
    <w:p>
      <w:pPr>
        <w:spacing w:after="0" w:line="21" w:lineRule="exact"/>
        <w:rPr>
          <w:rFonts w:ascii="Times New Roman" w:cs="Times New Roman" w:eastAsia="Times New Roman" w:hAnsi="Times New Roman"/>
          <w:sz w:val="20"/>
          <w:szCs w:val="20"/>
          <w:color w:val="auto"/>
        </w:rPr>
      </w:pPr>
    </w:p>
    <w:p>
      <w:pPr>
        <w:jc w:val="both"/>
        <w:ind w:firstLine="8"/>
        <w:spacing w:after="0" w:line="241" w:lineRule="auto"/>
        <w:tabs>
          <w:tab w:leader="none" w:pos="245" w:val="left"/>
        </w:tabs>
        <w:numPr>
          <w:ilvl w:val="0"/>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$50,000,000 and (ii) 50% of EBITDA of the Borrower and the Restricted Subsidiaries for the Test Period; provided that no more than $10,000,000 of Indebtedness incurred pursuant to this clause (r) may be secured Indebtedness (and any such secured Indebtedness shall be subordinated in right of payment and remedies to the Obligations on terms reasonably acceptable to the Administrative Agent);</w:t>
      </w:r>
    </w:p>
    <w:p>
      <w:pPr>
        <w:spacing w:after="0" w:line="188"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by Foreign Restricted Subsidiaries (other than GTT and its Subsidiaries, One Communications and its Subsidiaries, and CAH Holdco and its Subsidiaries) in an aggregate amount at any time not to exceed the greater of (i) $10,000,000 and (ii) 10% of EBITDA of the Borrower and the Restricted Subsidiaries for the Test Period;</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RTFC Indebtedness and any refinancing Indebtedness therefor refinanced not to exceed an aggregate principal amount of $60,000,000 at any time; and</w:t>
      </w:r>
    </w:p>
    <w:p>
      <w:pPr>
        <w:spacing w:after="0" w:line="159"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1"/>
          <w:numId w:val="3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(i) incurred by GTT and its Subsidiaries, the aggregate amount of which shall not exceed at any time an amount equal to (w) EBITDA of GTT and its Subsidiaries on a consolidated basis for the then most recently completed four (4) fiscal quarters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(x) 1.5; and (ii) incurred by One Communications and its Subsidiaries, the aggregate amount of which shall not exceed at any time an amount equal to (y) EBITDA of One Communications and its Subsidiaries on a consolidated basis for the then most recently completed four (4) fiscal quarters </w:t>
      </w:r>
      <w:r>
        <w:rPr>
          <w:rFonts w:ascii="Times New Roman" w:cs="Times New Roman" w:eastAsia="Times New Roman" w:hAnsi="Times New Roman"/>
          <w:sz w:val="20"/>
          <w:szCs w:val="20"/>
          <w:u w:val="single" w:color="auto"/>
          <w:color w:val="auto"/>
        </w:rPr>
        <w:t>multiplied by</w:t>
      </w:r>
      <w:r>
        <w:rPr>
          <w:rFonts w:ascii="Times New Roman" w:cs="Times New Roman" w:eastAsia="Times New Roman" w:hAnsi="Times New Roman"/>
          <w:sz w:val="20"/>
          <w:szCs w:val="20"/>
          <w:color w:val="auto"/>
        </w:rPr>
        <w:t xml:space="preserve"> (z) (i) 1.5 or, (ii) to the extent One Communications or its Affiliates use all or any portion of such Indebtedness to redeem or repurchase, through a tender offer or otherwise, all or any portion of the outstanding shares of capital stock of One Communications not indirectly owned by Borrower,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5" w:name="page366"/>
    <w:bookmarkEnd w:id="365"/>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u w:val="single" w:color="auto"/>
          <w:color w:val="auto"/>
        </w:rPr>
        <w:t>Liens</w:t>
      </w:r>
      <w:r>
        <w:rPr>
          <w:rFonts w:ascii="Times New Roman" w:cs="Times New Roman" w:eastAsia="Times New Roman" w:hAnsi="Times New Roman"/>
          <w:sz w:val="20"/>
          <w:szCs w:val="20"/>
          <w:color w:val="auto"/>
        </w:rPr>
        <w:t>. No Loan Party shall, nor shall any Loan Party permit any Restricted Subsidiary to, at any time create, incur, assume or suffer to exist any Lien on any of its property or assets, tangible or intangible, now owned or hereafter acquired, or agree or become liable to do so, except Permitted Liens.</w:t>
      </w:r>
    </w:p>
    <w:p>
      <w:pPr>
        <w:spacing w:after="0" w:line="17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u w:val="single" w:color="auto"/>
          <w:color w:val="auto"/>
        </w:rPr>
        <w:t>Affiliate Transactions</w:t>
      </w:r>
      <w:r>
        <w:rPr>
          <w:rFonts w:ascii="Times New Roman" w:cs="Times New Roman" w:eastAsia="Times New Roman" w:hAnsi="Times New Roman"/>
          <w:sz w:val="20"/>
          <w:szCs w:val="20"/>
          <w:color w:val="auto"/>
        </w:rPr>
        <w:t xml:space="preserve">. No Loan Party shall, nor shall any Loan Party permit any Restricted Subsidiary to, enter into or carry out any transaction with any Affiliate of the Borrower on terms that are less favorable than those that might be obtained at the time from a Person who is not such an Affiliate unless such transaction (a) (i) is not otherwise prohibited by this Agreement, (ii) is in accordance with all applicable Law, and (iii) (A) is among the Loan Parties, (B) (x) is entered into in the ordinary course of business upon fair and reasonable arm’s-length terms and conditions no less favorable to such Loan Party or such Restricted Subsidiary than would be obtained in a comparable arm’s length transaction with a Person not an Affiliate of the Borrower and, to the extent such transaction or series of transactions involves an aggregate amount in excess of $2,500,000, is disclosed in advance in writing to the Administrative Agent, (C) relates to payment of directors’ fees and reimbursement of actual out-of-pocket expenses incurred in connection with attending board of director meetings, or (D) is intercompany Indebtedness permitted by </w:t>
      </w:r>
      <w:r>
        <w:rPr>
          <w:rFonts w:ascii="Times New Roman" w:cs="Times New Roman" w:eastAsia="Times New Roman" w:hAnsi="Times New Roman"/>
          <w:sz w:val="20"/>
          <w:szCs w:val="20"/>
          <w:u w:val="single" w:color="auto"/>
          <w:color w:val="auto"/>
        </w:rPr>
        <w:t>Section 7.1(k)</w:t>
      </w:r>
      <w:r>
        <w:rPr>
          <w:rFonts w:ascii="Times New Roman" w:cs="Times New Roman" w:eastAsia="Times New Roman" w:hAnsi="Times New Roman"/>
          <w:sz w:val="20"/>
          <w:szCs w:val="20"/>
          <w:color w:val="auto"/>
        </w:rPr>
        <w:t xml:space="preserve">, an advance permitted by </w:t>
      </w:r>
      <w:r>
        <w:rPr>
          <w:rFonts w:ascii="Times New Roman" w:cs="Times New Roman" w:eastAsia="Times New Roman" w:hAnsi="Times New Roman"/>
          <w:sz w:val="20"/>
          <w:szCs w:val="20"/>
          <w:u w:val="single" w:color="auto"/>
          <w:color w:val="auto"/>
        </w:rPr>
        <w:t>Section 7.5(b)</w:t>
      </w:r>
      <w:r>
        <w:rPr>
          <w:rFonts w:ascii="Times New Roman" w:cs="Times New Roman" w:eastAsia="Times New Roman" w:hAnsi="Times New Roman"/>
          <w:sz w:val="20"/>
          <w:szCs w:val="20"/>
          <w:color w:val="auto"/>
        </w:rPr>
        <w:t xml:space="preserve">, an intercompany loan, advance or other Investment permitted by </w:t>
      </w:r>
      <w:r>
        <w:rPr>
          <w:rFonts w:ascii="Times New Roman" w:cs="Times New Roman" w:eastAsia="Times New Roman" w:hAnsi="Times New Roman"/>
          <w:sz w:val="20"/>
          <w:szCs w:val="20"/>
          <w:u w:val="single" w:color="auto"/>
          <w:color w:val="auto"/>
        </w:rPr>
        <w:t>Section 7.5(b)</w:t>
      </w:r>
      <w:r>
        <w:rPr>
          <w:rFonts w:ascii="Times New Roman" w:cs="Times New Roman" w:eastAsia="Times New Roman" w:hAnsi="Times New Roman"/>
          <w:sz w:val="20"/>
          <w:szCs w:val="20"/>
          <w:color w:val="auto"/>
        </w:rPr>
        <w:t xml:space="preserve">, a Restricted Payment permitted by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or a management fee permitted by </w:t>
      </w:r>
      <w:r>
        <w:rPr>
          <w:rFonts w:ascii="Times New Roman" w:cs="Times New Roman" w:eastAsia="Times New Roman" w:hAnsi="Times New Roman"/>
          <w:sz w:val="20"/>
          <w:szCs w:val="20"/>
          <w:u w:val="single" w:color="auto"/>
          <w:color w:val="auto"/>
        </w:rPr>
        <w:t>Section 7.18</w:t>
      </w:r>
      <w:r>
        <w:rPr>
          <w:rFonts w:ascii="Times New Roman" w:cs="Times New Roman" w:eastAsia="Times New Roman" w:hAnsi="Times New Roman"/>
          <w:sz w:val="20"/>
          <w:szCs w:val="20"/>
          <w:color w:val="auto"/>
        </w:rPr>
        <w:t xml:space="preserve">, (b) is among the Excluded Subsidiaries, (c) is for payment of compensation to directors, officers and employees in the ordinary course of business for services actually rendered in their capacities as directors, officers and employee, or (d) is pursuant to a shared services agreements among the Loan Parties and their Restricted Subsidiaries entered into in the ordinary course of business;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with respect to any such shared services agreements under which any Loan Party has any monetary liability, the terms and conditions with respect to such monetary liability are not substantially less favorable to such Loan Party than would be obtained in a comparable arm’s length transaction with a Person that is not an Affiliate.</w:t>
      </w:r>
    </w:p>
    <w:p>
      <w:pPr>
        <w:spacing w:after="0" w:line="19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b w:val="1"/>
          <w:bCs w:val="1"/>
          <w:u w:val="single" w:color="auto"/>
          <w:color w:val="auto"/>
        </w:rPr>
        <w:t>Contingent Obligations</w:t>
      </w:r>
      <w:r>
        <w:rPr>
          <w:rFonts w:ascii="Times New Roman" w:cs="Times New Roman" w:eastAsia="Times New Roman" w:hAnsi="Times New Roman"/>
          <w:sz w:val="20"/>
          <w:szCs w:val="20"/>
          <w:color w:val="auto"/>
        </w:rPr>
        <w:t>. No Loan Party shall, nor shall any Loan Party permit any Restricted Subsidiary to, at any time, directly or indirectly, create or become or be liable with respect to any Contingent Obligation except for those:</w:t>
      </w:r>
    </w:p>
    <w:p>
      <w:pPr>
        <w:spacing w:after="0" w:line="156"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resulting from endorsement of negotiable instruments for collection in the ordinary course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w:t>
      </w:r>
    </w:p>
    <w:p>
      <w:pPr>
        <w:spacing w:after="0" w:line="194" w:lineRule="exact"/>
        <w:rPr>
          <w:sz w:val="20"/>
          <w:szCs w:val="20"/>
          <w:color w:val="auto"/>
        </w:rPr>
      </w:pPr>
    </w:p>
    <w:p>
      <w:pPr>
        <w:jc w:val="both"/>
        <w:ind w:firstLine="1304"/>
        <w:spacing w:after="0" w:line="246" w:lineRule="auto"/>
        <w:tabs>
          <w:tab w:leader="none" w:pos="1944"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arising in the ordinary course of business with respect to customary indemnification obligations incurred in the ordinary course of business and (ii) in connection with Permitted Acquisitions and Permitted Investments and permitted dispositions of assets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such obligations shall in no event exceed the amount of proceeds received in connection therewith, subject to carve outs from such limitation on such obligations for fraud and for other customary reasons);</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incurred in the ordinary course of business with respect to surety and appeal bonds, performance and return-of-money bonds and other similar obligations in an aggregate amount at any time not to exceed the greater of (i) $10,000,000 and (ii) 10% of EBITDA of the Borrower and the Restricted Subsidiaries for the Test Period;</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constituting Investments permitted pursuant to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3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by any Loan Party of Indebtedness permitted hereunder (other than Indebtedness of any Subsidiary that is not a Loan Party and Excluded Swap Obligations)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such guaranty obligation shall in no event exceed the amount of such Indebtedness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other related costs and expenses of collection as set forth in such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66" w:name="page367"/>
    <w:bookmarkEnd w:id="366"/>
    <w:p>
      <w:pPr>
        <w:ind w:right="20" w:firstLine="1304"/>
        <w:spacing w:after="0" w:line="268" w:lineRule="auto"/>
        <w:tabs>
          <w:tab w:leader="none" w:pos="1944"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with respect to deferred compensation to officers or employees of the Borrower and its Restricted Subsidiaries incurred in the ordinary course of business;</w:t>
      </w:r>
    </w:p>
    <w:p>
      <w:pPr>
        <w:spacing w:after="0" w:line="160"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arising under the Loan Documents and in connection with any Secured Hedge permitted hereunder;</w:t>
      </w:r>
    </w:p>
    <w:p>
      <w:pPr>
        <w:spacing w:after="0" w:line="227" w:lineRule="exact"/>
        <w:rPr>
          <w:rFonts w:ascii="Times New Roman" w:cs="Times New Roman" w:eastAsia="Times New Roman" w:hAnsi="Times New Roman"/>
          <w:sz w:val="19"/>
          <w:szCs w:val="19"/>
          <w:color w:val="auto"/>
        </w:rPr>
      </w:pPr>
    </w:p>
    <w:p>
      <w:pPr>
        <w:jc w:val="both"/>
        <w:ind w:firstLine="1304"/>
        <w:spacing w:after="0" w:line="244" w:lineRule="auto"/>
        <w:tabs>
          <w:tab w:leader="none" w:pos="1944"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arising with respect to Permitted Stimulus Indebtedness upon terms and conditions (including as to any proposed limitation on distributions or dividends to be made by any Loan Party or Restricted Subsidiary providing such Contingent Obligation) reasonably acceptable to Administrative Agent;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xml:space="preserve"> the aggregate outstanding amount of Investments in Stimulus Recipient Subsidiaries and the amount of Contingent Obligations entered into by the Borrower or any of its Restricted Subsidiaries (other than Stimulus Recipient Subsidiaries) in respect of Permitted Stimulus Indebtedness shall not exceed in the aggregate at any time the greater of (i) $30,000,000 and (ii) 35% of EBITDA of the Borrower and the Restricted Subsidiaries for the Test Period;</w:t>
      </w:r>
    </w:p>
    <w:p>
      <w:pPr>
        <w:spacing w:after="0" w:line="18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 by any Foreign Restricted Subsidiary of Indebtedness of a Foreign Restricted Subsidiary which is permitted hereunder, in an aggregate amount at any time not to exceed the greater of (i) $40,000,000 and (ii) 45% of EBITDA of the Borrower and the Restricted Subsidiaries for the Test Period;</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arising in the ordinary course of business with respect to customary indemnification obligations incurred in connection with liability insurance coverage;</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Contingent Obligations with respect to cash management; and</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3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of Loan Parties or Restricted Subsidiaries (i) in favor of Funding Agencies, and (ii) with respect to (A) any cash collateral provided to a Funding Agency or cash collateral securing letters of credit or similar instruments provided to a Funding Agency, or (B) letters of credit, escrow or similar arrangements, in each case, for the benefit of a Funding Agency and in connection with Funding Programs.</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u w:val="single" w:color="auto"/>
          <w:color w:val="auto"/>
        </w:rPr>
        <w:t>Loans and Investments</w:t>
      </w:r>
      <w:r>
        <w:rPr>
          <w:rFonts w:ascii="Times New Roman" w:cs="Times New Roman" w:eastAsia="Times New Roman" w:hAnsi="Times New Roman"/>
          <w:sz w:val="20"/>
          <w:szCs w:val="20"/>
          <w:color w:val="auto"/>
        </w:rPr>
        <w:t>. No Loan Party shall, nor shall any Loan Party permit any Restricted Subsidiary to, at any time make or suffer to remain outstanding any Investment or agree, become or remain liable to make any Investment, except:</w:t>
      </w:r>
    </w:p>
    <w:p>
      <w:pPr>
        <w:spacing w:after="0" w:line="173" w:lineRule="exact"/>
        <w:rPr>
          <w:sz w:val="20"/>
          <w:szCs w:val="20"/>
          <w:color w:val="auto"/>
        </w:rPr>
      </w:pPr>
    </w:p>
    <w:p>
      <w:pPr>
        <w:ind w:left="1960" w:hanging="656"/>
        <w:spacing w:after="0"/>
        <w:tabs>
          <w:tab w:leader="none" w:pos="1960"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arising and trade credit extended on usual and customary terms in the ordinary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course of business;</w:t>
      </w:r>
    </w:p>
    <w:p>
      <w:pPr>
        <w:spacing w:after="0" w:line="193"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to officers, directors and employees of Borrower or any Restricted Subsidiary (i) for reasonable and customary business-related travel, entertainment, relocation and analogous ordinary business purposes (including employee payroll advances), (ii) in connection with such Person’s purchase of equity interests of Borrower to the extent that the cash proceeds of such loans and advances are directly or indirectly contributed to Borrower in cash and (iii) for purposes not described in the foregoing subclauses (i) and (ii), in an aggregate principal amount outstanding pursuant to this subclause (iii) not to exceed $1,000,000 at any time outstanding;</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form of cash and Cash Equivalents;</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and other Investments solely among Loan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7" w:name="page368"/>
    <w:bookmarkEnd w:id="367"/>
    <w:p>
      <w:pPr>
        <w:jc w:val="both"/>
        <w:ind w:firstLine="1304"/>
        <w:spacing w:after="0" w:line="253" w:lineRule="auto"/>
        <w:tabs>
          <w:tab w:leader="none" w:pos="1944"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notes payable to, or equity interests issued by, account debtors to any Loan Party in good faith settlement of delinquent obligations and pursuant to any plan of reorganization or similar proceedings upon the bankruptcy or insolvency of any such account debtor;</w:t>
      </w:r>
    </w:p>
    <w:p>
      <w:pPr>
        <w:spacing w:after="0" w:line="17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set forth on </w:t>
      </w:r>
      <w:r>
        <w:rPr>
          <w:rFonts w:ascii="Times New Roman" w:cs="Times New Roman" w:eastAsia="Times New Roman" w:hAnsi="Times New Roman"/>
          <w:sz w:val="20"/>
          <w:szCs w:val="20"/>
          <w:u w:val="single" w:color="auto"/>
          <w:color w:val="auto"/>
        </w:rPr>
        <w:t>Schedule 7.5</w:t>
      </w:r>
      <w:r>
        <w:rPr>
          <w:rFonts w:ascii="Times New Roman" w:cs="Times New Roman" w:eastAsia="Times New Roman" w:hAnsi="Times New Roman"/>
          <w:sz w:val="20"/>
          <w:szCs w:val="20"/>
          <w:color w:val="auto"/>
        </w:rPr>
        <w:t xml:space="preserve"> hereto;</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Interests of any Subsidiary owned by the Borrower or any other Subsidiary on the Closing</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Date;</w:t>
      </w:r>
    </w:p>
    <w:p>
      <w:pPr>
        <w:spacing w:after="0" w:line="193"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CoBank Equities and any other stock or securities of, or Investments in, CoBank or its investment services or programs;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Guaranties and other Contingent Obligations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Secured Hedge permitted under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Permitted Acquisitions and Permitted Investments;</w:t>
      </w:r>
    </w:p>
    <w:p>
      <w:pPr>
        <w:spacing w:after="0" w:line="215"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 and customary trade arrangements with customers consistent with past practices;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advances of payroll payments to employees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3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held by a Person acquired, or Investments constituting part of the assets acquired (including, in each case, by way of merger or consolidation) to the extent that such Investments were not made in contemplation of or in connection with such acquisition, merger or consolidation and were in existence on the date of such acquisition, merger or consolidation;</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3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Investment not otherwise permitted by this Section 7.5 (including an Investment in an Unrestricted Subsidiary and/or designation of an existing Subsidiary as an Unrestricted Subsidiary),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xml:space="preserve"> (i) no Event of Default exists immediately before or will result immediately after giving effect to such Investment, (ii) the Borrower shall be in compliance on a pro forma basis immediately after giving effect to such Restricted Payment with Article VIII for the Test Period, and (iii) at the time any such Investment is made, (I) the sum of (1) the aggregate amount of such Investment and/or designation,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(2) any prior Investments or designations made pursuant to this Section 7.5(o) (excluding all such prior Investments made by the Borrower or its Subsidiaries in Unrestricted Subsidiaries which subsequent to the date of such Investments have been re-designated as (and at the time of such Investment are designated as) Restricted Subsidiaries), </w:t>
      </w:r>
      <w:r>
        <w:rPr>
          <w:rFonts w:ascii="Times New Roman" w:cs="Times New Roman" w:eastAsia="Times New Roman" w:hAnsi="Times New Roman"/>
          <w:sz w:val="19"/>
          <w:szCs w:val="19"/>
          <w:u w:val="single" w:color="auto"/>
          <w:color w:val="auto"/>
        </w:rPr>
        <w:t>plus</w:t>
      </w:r>
      <w:r>
        <w:rPr>
          <w:rFonts w:ascii="Times New Roman" w:cs="Times New Roman" w:eastAsia="Times New Roman" w:hAnsi="Times New Roman"/>
          <w:sz w:val="19"/>
          <w:szCs w:val="19"/>
          <w:color w:val="auto"/>
        </w:rPr>
        <w:t xml:space="preserve"> (3) any Restricted Payment made pursuant to Section 7.6(c), does not exceed (II) the greater of</w:t>
      </w:r>
    </w:p>
    <w:p>
      <w:pPr>
        <w:spacing w:after="0" w:line="6" w:lineRule="exact"/>
        <w:rPr>
          <w:rFonts w:ascii="Times New Roman" w:cs="Times New Roman" w:eastAsia="Times New Roman" w:hAnsi="Times New Roman"/>
          <w:sz w:val="19"/>
          <w:szCs w:val="19"/>
          <w:color w:val="auto"/>
        </w:rPr>
      </w:pPr>
    </w:p>
    <w:p>
      <w:pPr>
        <w:ind w:left="240" w:hanging="232"/>
        <w:spacing w:after="0"/>
        <w:tabs>
          <w:tab w:leader="none" w:pos="240" w:val="left"/>
        </w:tabs>
        <w:numPr>
          <w:ilvl w:val="0"/>
          <w:numId w:val="3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$30,000,000 and (ii) 35% of EBITDA of the Borrower and the Restricted Subsidiaries for the Test Period; and</w:t>
      </w:r>
    </w:p>
    <w:p>
      <w:pPr>
        <w:spacing w:after="0" w:line="193" w:lineRule="exact"/>
        <w:rPr>
          <w:rFonts w:ascii="Times New Roman" w:cs="Times New Roman" w:eastAsia="Times New Roman" w:hAnsi="Times New Roman"/>
          <w:sz w:val="20"/>
          <w:szCs w:val="20"/>
          <w:color w:val="auto"/>
        </w:rPr>
      </w:pPr>
    </w:p>
    <w:p>
      <w:pPr>
        <w:jc w:val="both"/>
        <w:ind w:firstLine="1304"/>
        <w:spacing w:after="0" w:line="260" w:lineRule="auto"/>
        <w:tabs>
          <w:tab w:leader="none" w:pos="1944" w:val="left"/>
        </w:tabs>
        <w:numPr>
          <w:ilvl w:val="1"/>
          <w:numId w:val="3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Investments in a Stimulus Recipient Subsidiary upon terms and conditions (including as to any proposed limitation on distributions or dividends to be made by such Stimulus Recipient Subsidiary) reasonably acceptable to Administrative Agent; </w:t>
      </w:r>
      <w:r>
        <w:rPr>
          <w:rFonts w:ascii="Times New Roman" w:cs="Times New Roman" w:eastAsia="Times New Roman" w:hAnsi="Times New Roman"/>
          <w:sz w:val="19"/>
          <w:szCs w:val="19"/>
          <w:u w:val="single" w:color="auto"/>
          <w:color w:val="auto"/>
        </w:rPr>
        <w:t>provided that</w:t>
      </w:r>
      <w:r>
        <w:rPr>
          <w:rFonts w:ascii="Times New Roman" w:cs="Times New Roman" w:eastAsia="Times New Roman" w:hAnsi="Times New Roman"/>
          <w:sz w:val="19"/>
          <w:szCs w:val="19"/>
          <w:color w:val="auto"/>
        </w:rPr>
        <w:t>, the aggregate outstanding amount of Investments in Stimulus Recipient Subsidiaries and the amount of Contingent Obligations entered into by the Borrower or any of its Restricted Subsidiaries (other than Stimulus Recipient Subsidiaries) in respect of Permitted Stimulus Indebtedness shall not exceed in the aggregate at any time the greater of (i) $30,000,000 and (ii) 35% of EBITDA of the Borrower and the Restricted Subsidiaries for the Test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68" w:name="page369"/>
    <w:bookmarkEnd w:id="368"/>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u w:val="single" w:color="auto"/>
          <w:color w:val="auto"/>
        </w:rPr>
        <w:t>Dividends and Related Distributions</w:t>
      </w:r>
      <w:r>
        <w:rPr>
          <w:rFonts w:ascii="Times New Roman" w:cs="Times New Roman" w:eastAsia="Times New Roman" w:hAnsi="Times New Roman"/>
          <w:sz w:val="20"/>
          <w:szCs w:val="20"/>
          <w:color w:val="auto"/>
        </w:rPr>
        <w:t>. No Loan Party shall, nor shall any Loan Party permit any Restricted Subsidiary to, declare or make, directly or indirectly, any Restricted Payment, or incur any obligation (contingent or otherwise) to do so, except that:</w:t>
      </w:r>
    </w:p>
    <w:p>
      <w:pPr>
        <w:spacing w:after="0" w:line="175" w:lineRule="exact"/>
        <w:rPr>
          <w:sz w:val="20"/>
          <w:szCs w:val="20"/>
          <w:color w:val="auto"/>
        </w:rPr>
      </w:pPr>
    </w:p>
    <w:p>
      <w:pPr>
        <w:jc w:val="both"/>
        <w:ind w:firstLine="1304"/>
        <w:spacing w:after="0" w:line="254" w:lineRule="auto"/>
        <w:tabs>
          <w:tab w:leader="none" w:pos="1944"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Party or Restricted Subsidiary may make Restricted Payments to any Loan Party that owns an Equity Interest in such Loan Party or Restricted Subsidiary, ratably according to their respective holdings of the type of Equity Interest in respect of which such Restricted Payment is being made;</w:t>
      </w:r>
    </w:p>
    <w:p>
      <w:pPr>
        <w:spacing w:after="0" w:line="174"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exists immediately before or will result immediately after giving effect to such Restricted Payment, the Borrower or any Restricted Subsidiaries may (i) declare or pay cash dividends to its members and (ii) purchase, redeem or otherwise acquire for cash Equity Interests issued by it, in each case, in connection with (x) the termination of an employee or pursuant to any board approved plan, or (y) the exercise of options to purchase the Borrower’s capital stock or the vesting of other equity awards if such Equity Interests represent a portion of the exercise price of such options or taxes payable in connection with the vesting of such awards, in each case to the extent that such declarations, payments, purchases, redemptions, or acquisition, together with all other declarations, payments, purchases, redemptions, or acquisition pursuant to this clause (b) in the preceding twelve months, do not exceed in the aggregate amount the greater of (i) $5,000,000 and (ii) 7.5% of EBITDA of the Borrower and the Restricted Subsidiaries for the Test Period;</w:t>
      </w:r>
    </w:p>
    <w:p>
      <w:pPr>
        <w:spacing w:after="0" w:line="192"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Payment not otherwise permitted by this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provided that, (i) no Event of Default exists immediately before or will result immediately after giving effect to such Restricted Payment, (ii) the Borrower shall be in compliance on a pro forma basis immediately after giving effect to such Restricted Payment with Article VIII, and (iii) at the time any such Restricted Payment is made, (I) the sum of (1) the aggregate amount of such Restricted Payment,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(2) any prior Restricted Payments made pursuant to this Section 7.6(c),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(3) any Investment made pursuant to Section 7.5(o) (excluding all such prior Investments made by the Borrower or its Subsidiaries in Unrestricted Subsidiaries which subsequent to the date of such Investments have been re-designated as (and at the time of such Restricted Payment are designated as) Restricted Subsidiaries), does not exceed (II) the greater of (i) $30,000,000 and (ii) 35% of EBITDA of the Borrower and the Restricted Subsidiaries for the Test Period;</w:t>
      </w:r>
    </w:p>
    <w:p>
      <w:pPr>
        <w:spacing w:after="0" w:line="185" w:lineRule="exact"/>
        <w:rPr>
          <w:rFonts w:ascii="Times New Roman" w:cs="Times New Roman" w:eastAsia="Times New Roman" w:hAnsi="Times New Roman"/>
          <w:sz w:val="20"/>
          <w:szCs w:val="20"/>
          <w:color w:val="auto"/>
        </w:rPr>
      </w:pPr>
    </w:p>
    <w:p>
      <w:pPr>
        <w:jc w:val="both"/>
        <w:ind w:firstLine="1304"/>
        <w:spacing w:after="0" w:line="274" w:lineRule="auto"/>
        <w:tabs>
          <w:tab w:leader="none" w:pos="1944" w:val="left"/>
        </w:tabs>
        <w:numPr>
          <w:ilvl w:val="0"/>
          <w:numId w:val="3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other Restricted Payment to the extent that such Restricted Payment, together with all other Restricted Payments pursuant to this clause (d) in the preceding twelve months, does not exceed in the aggregate amount the greater of (i) $30,000,000 and (ii) 35% of EBITDA of the Borrower and the Restricted Subsidiaries for the Test Period; and</w:t>
      </w:r>
    </w:p>
    <w:p>
      <w:pPr>
        <w:spacing w:after="0" w:line="156" w:lineRule="exact"/>
        <w:rPr>
          <w:rFonts w:ascii="Times New Roman" w:cs="Times New Roman" w:eastAsia="Times New Roman" w:hAnsi="Times New Roman"/>
          <w:sz w:val="19"/>
          <w:szCs w:val="19"/>
          <w:color w:val="auto"/>
        </w:rPr>
      </w:pPr>
    </w:p>
    <w:p>
      <w:pPr>
        <w:jc w:val="both"/>
        <w:ind w:firstLine="1304"/>
        <w:spacing w:after="0" w:line="249" w:lineRule="auto"/>
        <w:tabs>
          <w:tab w:leader="none" w:pos="1944" w:val="left"/>
        </w:tabs>
        <w:numPr>
          <w:ilvl w:val="0"/>
          <w:numId w:val="3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additional Restricted Payment (other than a Restricted Payment made by the Borrower) so long as (i) immediately before and immediately after giving effect to such Restricted Payment, no Default or Event of Default exists or will exist, and (ii) immediately after giving effect to such Restricted Payment, the Total Net Leverage Ratio for the Test Period does not exceed 2.25:1.00.</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b w:val="1"/>
          <w:bCs w:val="1"/>
          <w:u w:val="single" w:color="auto"/>
          <w:color w:val="auto"/>
        </w:rPr>
        <w:t>Liquidations, Mergers, Consolidations, Acquisitions</w:t>
      </w:r>
      <w:r>
        <w:rPr>
          <w:rFonts w:ascii="Times New Roman" w:cs="Times New Roman" w:eastAsia="Times New Roman" w:hAnsi="Times New Roman"/>
          <w:sz w:val="20"/>
          <w:szCs w:val="20"/>
          <w:color w:val="auto"/>
        </w:rPr>
        <w:t xml:space="preserve">. No Loan Party shall, nor shall any Loan Party permit any Restricted Subsidiary to, (i) dissolve, liquidate or wind-up its affairs, (ii) become a party to any merger or consolidation, or (iii) acquire by purchase, lease or otherwise all or substantially all of the assets or capital stock of any other Person or group of related Persons;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w:t>
      </w:r>
    </w:p>
    <w:p>
      <w:pPr>
        <w:spacing w:after="0" w:line="180" w:lineRule="exact"/>
        <w:rPr>
          <w:sz w:val="20"/>
          <w:szCs w:val="20"/>
          <w:color w:val="auto"/>
        </w:rPr>
      </w:pPr>
    </w:p>
    <w:p>
      <w:pPr>
        <w:jc w:val="both"/>
        <w:ind w:right="20" w:firstLine="1304"/>
        <w:spacing w:after="0" w:line="274" w:lineRule="auto"/>
        <w:tabs>
          <w:tab w:leader="none" w:pos="1944" w:val="left"/>
        </w:tabs>
        <w:numPr>
          <w:ilvl w:val="0"/>
          <w:numId w:val="38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Restricted Subsidiary may merge with (i)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Borrower shall be the continuing or surviving Person, or (ii) any one or more other Restricted Subsidiaries;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when any Loan Party is merging with another Subsidiary that is not a Loan Party, the Loan Party shall be the continuing or surviving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69" w:name="page370"/>
    <w:bookmarkEnd w:id="369"/>
    <w:p>
      <w:pPr>
        <w:jc w:val="both"/>
        <w:ind w:right="20" w:firstLine="1304"/>
        <w:spacing w:after="0" w:line="253" w:lineRule="auto"/>
        <w:tabs>
          <w:tab w:leader="none" w:pos="1944"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Restricted Subsidiary may Dispose of all or substantially all of its assets (upon voluntary liquidation or otherwise) to the Borrower or to another Restricted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transferor in such a transaction is a Loan Party, then the transferee must either be the Borrower or another Loan Party;</w:t>
      </w:r>
    </w:p>
    <w:p>
      <w:pPr>
        <w:spacing w:after="0" w:line="17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Excluded Subsidiary whose Equity Interests do not constitute Collateral may liquidate or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dissolve; and</w:t>
      </w:r>
    </w:p>
    <w:p>
      <w:pPr>
        <w:spacing w:after="0" w:line="193"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Loan Parties and Restricted Subsidiaries may consummate Permitted Acquisitions, Permitted Investments, and Dispositions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Loan Party or Subsidiary of Loan Party shall engage in, allow or be party to any Division without the written prior consent of the Administrative Agent in its sole discretion.</w:t>
      </w:r>
    </w:p>
    <w:p>
      <w:pPr>
        <w:spacing w:after="0" w:line="15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b w:val="1"/>
          <w:bCs w:val="1"/>
          <w:u w:val="single" w:color="auto"/>
          <w:color w:val="auto"/>
        </w:rPr>
        <w:t>Dispositions of Assets or Subsidiaries</w:t>
      </w:r>
      <w:r>
        <w:rPr>
          <w:rFonts w:ascii="Times New Roman" w:cs="Times New Roman" w:eastAsia="Times New Roman" w:hAnsi="Times New Roman"/>
          <w:sz w:val="20"/>
          <w:szCs w:val="20"/>
          <w:color w:val="auto"/>
        </w:rPr>
        <w:t>. No Loan Party shall, nor shall any Loan Party permit any Restricted Subsidiary to, Dispose of (including pursuant to any sale and leaseback transaction), voluntarily or involuntarily, any of its properties or assets, tangible or intangible (including sale, assignment, discount or other disposition of accounts, contract rights, chattel paper, equipment or general intangibles with or without recourse or of capital stock, shares of beneficial interest, partnership interests or limited liability company interests or other equity interests of a Subsidiary of such Loan Party), except:</w:t>
      </w:r>
    </w:p>
    <w:p>
      <w:pPr>
        <w:spacing w:after="0" w:line="183" w:lineRule="exact"/>
        <w:rPr>
          <w:sz w:val="20"/>
          <w:szCs w:val="20"/>
          <w:color w:val="auto"/>
        </w:rPr>
      </w:pPr>
    </w:p>
    <w:p>
      <w:pPr>
        <w:jc w:val="both"/>
        <w:ind w:firstLine="1304"/>
        <w:spacing w:after="0" w:line="254" w:lineRule="auto"/>
        <w:tabs>
          <w:tab w:leader="none" w:pos="1944"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assets in the ordinary course of business that are replaced by substitute assets acquired or leased as permitted in this Agreement, so long as such substitute assets are subject to the Administrative Agent’s Prior Security Interest therein;</w:t>
      </w:r>
    </w:p>
    <w:p>
      <w:pPr>
        <w:spacing w:after="0" w:line="17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involving the sale of inventory to customers in the ordinary course of business;</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obsolete or worn-out assets in the ordinary course of business that are no longer necessary or required in the conduct of such Loan Party’s or such Restricted Subsidiary’s business;</w:t>
      </w:r>
    </w:p>
    <w:p>
      <w:pPr>
        <w:spacing w:after="0" w:line="15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assets among Loan Parties, so long as such sold or transferred assets are subject to the Administrative Agent’s Prior Security Interest therein;</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Disposition (i) among Excluded Subsidiaries or (ii) by an Excluded Subsidiary to a Loan Party;</w:t>
      </w:r>
    </w:p>
    <w:p>
      <w:pPr>
        <w:spacing w:after="0" w:line="227" w:lineRule="exact"/>
        <w:rPr>
          <w:rFonts w:ascii="Times New Roman" w:cs="Times New Roman" w:eastAsia="Times New Roman" w:hAnsi="Times New Roman"/>
          <w:sz w:val="19"/>
          <w:szCs w:val="19"/>
          <w:color w:val="auto"/>
        </w:rPr>
      </w:pPr>
    </w:p>
    <w:p>
      <w:pPr>
        <w:ind w:left="1960" w:hanging="656"/>
        <w:spacing w:after="0"/>
        <w:tabs>
          <w:tab w:leader="none" w:pos="196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Disposition permitted by </w:t>
      </w:r>
      <w:r>
        <w:rPr>
          <w:rFonts w:ascii="Times New Roman" w:cs="Times New Roman" w:eastAsia="Times New Roman" w:hAnsi="Times New Roman"/>
          <w:sz w:val="20"/>
          <w:szCs w:val="20"/>
          <w:u w:val="single" w:color="auto"/>
          <w:color w:val="auto"/>
        </w:rPr>
        <w:t>Sections 7.5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7.7</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of Cash Equivalents;</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 of a Loan Party’s or Restricted Subsidiary’s interest in its respective property through leasing or subleasing of such property in the ordinary course of business;</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required by the applicable Law;</w:t>
      </w:r>
    </w:p>
    <w:p>
      <w:pPr>
        <w:spacing w:after="0" w:line="215"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 of non-core assets of any Person acquired pursuant to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that</w:t>
      </w:r>
      <w:r>
        <w:rPr>
          <w:rFonts w:ascii="Times New Roman" w:cs="Times New Roman" w:eastAsia="Times New Roman" w:hAnsi="Times New Roman"/>
          <w:sz w:val="20"/>
          <w:szCs w:val="20"/>
          <w:color w:val="auto"/>
        </w:rPr>
        <w:t>, such Disposition occurs within 18 months of such Permitted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0" w:name="page371"/>
    <w:bookmarkEnd w:id="370"/>
    <w:p>
      <w:pPr>
        <w:jc w:val="both"/>
        <w:ind w:firstLine="1304"/>
        <w:spacing w:after="0" w:line="244" w:lineRule="auto"/>
        <w:tabs>
          <w:tab w:leader="none" w:pos="1944"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issuance of up to 5% of the common equity interest of any Loan Party (other than Borrower) or Restricted Subsidiary to the management of such Loan Party or Restricted Subsidiary (to the extent such Loan Party’s or Restricted Subsidiary’s governing documents permit such Loan Party or Restricted Subsidiary to approve the sale of the assets or merger of such Loan Party or Restricted Subsidiary without the consent of such management shareholders, in each case, for so long as this Agreement is in effect and until Payment In Full and a certificate of an authorized officer of such Loan Party or Restricted Subsidiary certifying to the same is delivered to Administrative Agent and the Lenders in form and substance satisfactory to Administrative Agent);</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Disposition by a Loan Party or any Restricted Subsidiary of the capital stock or other equity interests in any (i) Unrestricted Subsidiary or (ii) any Excluded Subsidiary whose Equity Interests do not constitute Collateral; provided, that, with respect to the foregoing clause (ii), the Borrower shall be in compliance on a pro forma basis immediately after giving effect to such Disposition with Article VIII for the Test Period; provided further that upon the reasonable request of the Administrative Agent the Borrower shall deliver a certificate of a Compliance Officer of the Borrower (supported by reasonably detailed calculations) certifying as to the foregoing;</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leasing or subleasing of a Loan Party’s respective property in the ordinary course of business;</w:t>
      </w:r>
    </w:p>
    <w:p>
      <w:pPr>
        <w:spacing w:after="0" w:line="215"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not otherwise permitted so long as the fair market value of all assets Disposed of (including the proposed Disposition) would not exceed in the aggregate amount the greater of (i) $25,000,000 and (ii) 30% of EBITDA of the Borrower and the Restricted Subsidiaries for the Test Period;</w:t>
      </w:r>
    </w:p>
    <w:p>
      <w:pPr>
        <w:spacing w:after="0" w:line="17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other Dispositions of assets (but excluding any Disposition of any equity interest in any Loan Party or any Restricted Subsidiary) if all of the following conditions are met: (i) no Event of Default exists immediately before or will result immediately after such Disposition, (ii) Borrower shall be in compliance on a pro forma basis immediately after giving effect to such Disposition with Article VIII for the Test Period, and (iii) except as to Dispositions pursuant to call options existing on the Closing Date or Dispositions of assets acquired after the Closing Date pursuant to call options entered into after the Closing Date by Borrower or any of the Restricted Subsidiaries that are consistent with the practices of Borrower and the Restricted Subsidiaries on or prior to the Closing Date, at least 60% of the EBITDA of all Restricted Subsidiaries (excluding the Borrower) is attributable to Contributing Qualifying Subsidiaries, determined on a pro forma basis immediately after giving effect to any such Disposition pursuant to this clause (o); and</w:t>
      </w:r>
    </w:p>
    <w:p>
      <w:pPr>
        <w:spacing w:after="0" w:line="185" w:lineRule="exact"/>
        <w:rPr>
          <w:rFonts w:ascii="Times New Roman" w:cs="Times New Roman" w:eastAsia="Times New Roman" w:hAnsi="Times New Roman"/>
          <w:sz w:val="20"/>
          <w:szCs w:val="20"/>
          <w:color w:val="auto"/>
        </w:rPr>
      </w:pPr>
    </w:p>
    <w:p>
      <w:pPr>
        <w:jc w:val="both"/>
        <w:ind w:firstLine="1304"/>
        <w:spacing w:after="0" w:line="250" w:lineRule="auto"/>
        <w:tabs>
          <w:tab w:leader="none" w:pos="1944" w:val="left"/>
        </w:tabs>
        <w:numPr>
          <w:ilvl w:val="1"/>
          <w:numId w:val="3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asset swaps of domestic wireless assets in an aggregate market value amount not to exceed the greater of (i) $50,000,000 and (ii) 50% of EBITDA of the Borrower and the Restricted Subsidiaries for the Test Period and</w:t>
      </w:r>
    </w:p>
    <w:p>
      <w:pPr>
        <w:spacing w:after="0" w:line="1" w:lineRule="exact"/>
        <w:rPr>
          <w:rFonts w:ascii="Times New Roman" w:cs="Times New Roman" w:eastAsia="Times New Roman" w:hAnsi="Times New Roman"/>
          <w:sz w:val="20"/>
          <w:szCs w:val="20"/>
          <w:color w:val="auto"/>
        </w:rPr>
      </w:pPr>
    </w:p>
    <w:p>
      <w:pPr>
        <w:jc w:val="both"/>
        <w:ind w:firstLine="8"/>
        <w:spacing w:after="0" w:line="241" w:lineRule="auto"/>
        <w:tabs>
          <w:tab w:leader="none" w:pos="322" w:val="left"/>
        </w:tabs>
        <w:numPr>
          <w:ilvl w:val="0"/>
          <w:numId w:val="3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asset swaps of foreign wireless assets in an aggregate market value amount not to exceed the greater of (i) $15,000,000 and (ii) 20% of EBITDA of the Borrower and the Restricted Subsidiaries for the Test Period if, in each case, (i) immediately after giving effect to such asset swap, Borrower is in compliance on a pro forma basis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for the Test Period, and (ii) no Default or Event of Default then exists or shall result from such asset swap;</w:t>
      </w:r>
    </w:p>
    <w:p>
      <w:pPr>
        <w:spacing w:after="0" w:line="18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Loan Party or Restricted Subsidiary shall make any Disposition of any Funding Program Assets, any Funding Program Award Funds, Funding Program In-kind Assets, Funding Program Cash Assets, or any Funding Program Matching Funds to, or make any Investment using any Funding Program Assets, any Funding Program Award Funds, Funding Program In-kind Assets, Funding Program Cash Assets, or any Funding Program Matching Funds in, or enter into any transaction where any Funding Program Assets, any Funding Program Award Funds, Funding Program In-kind Assets,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1" w:name="page372"/>
    <w:bookmarkEnd w:id="371"/>
    <w:p>
      <w:pPr>
        <w:jc w:val="both"/>
        <w:spacing w:after="0" w:line="244" w:lineRule="auto"/>
        <w:rPr>
          <w:sz w:val="20"/>
          <w:szCs w:val="20"/>
          <w:color w:val="auto"/>
        </w:rPr>
      </w:pPr>
      <w:r>
        <w:rPr>
          <w:rFonts w:ascii="Times New Roman" w:cs="Times New Roman" w:eastAsia="Times New Roman" w:hAnsi="Times New Roman"/>
          <w:sz w:val="20"/>
          <w:szCs w:val="20"/>
          <w:color w:val="auto"/>
        </w:rPr>
        <w:t>Program Cash Assets, or any Funding Program Matching Funds are payable to, any other Loan Party or Restricted Subsidiary, except to the extent (a) (i) such transaction is (A) not in violation of the terms of the applicable Funding Program Agreement, (B) with another Loan Party or Restricted Subsidiary, and (C) appropriate and desirable, in the commercially reasonable discretion of the applicable Loan Party or Subsidiary of any Loan Party, to facilitate fulfillment of a grantee’s obligations under a Funding Program, and (ii) by no later than the date that the Borrower submits its next Compliance Certificate, the Borrower has provided notice of such transaction to the Administrative Agent, along with a reasonable description of such transaction, or (b) otherwise consented to by the Administrative Agent in its sole discretion.</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7.9 </w:t>
      </w:r>
      <w:r>
        <w:rPr>
          <w:rFonts w:ascii="Times New Roman" w:cs="Times New Roman" w:eastAsia="Times New Roman" w:hAnsi="Times New Roman"/>
          <w:sz w:val="20"/>
          <w:szCs w:val="20"/>
          <w:b w:val="1"/>
          <w:bCs w:val="1"/>
          <w:u w:val="single" w:color="auto"/>
          <w:color w:val="auto"/>
        </w:rPr>
        <w:t>Use of Proceeds</w:t>
      </w:r>
      <w:r>
        <w:rPr>
          <w:rFonts w:ascii="Times New Roman" w:cs="Times New Roman" w:eastAsia="Times New Roman" w:hAnsi="Times New Roman"/>
          <w:sz w:val="20"/>
          <w:szCs w:val="20"/>
          <w:color w:val="auto"/>
        </w:rPr>
        <w:t>. No Loan Party shall (a) use the proceeds of any Loan or other Credit Extension hereunder, whether directly or indirectly, and whether immediately, incidentally or ultimately, to purchase or carry margin stock (within the meaning of Regulation U of the Board) or to extend credit to others for the purpose of purchasing or carrying margin stock or to refund indebtedness originally incurred for such purpose or (b) request any Credit Extension or use (or permit the use by any of its Subsidiaries or its or their respective Affiliates, directors, officers, employees or agents) the proceeds of any Credit Extension, whether directly or indirectly, in violation of Anti-Corruption Laws, Anti-Terrorism Laws, Sanctions or other applicable Law.</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7.10</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0"/>
          <w:szCs w:val="20"/>
          <w:b w:val="1"/>
          <w:bCs w:val="1"/>
          <w:u w:val="single" w:color="auto"/>
          <w:color w:val="auto"/>
        </w:rPr>
        <w:t>Continuation of or Change in Business</w:t>
      </w:r>
      <w:r>
        <w:rPr>
          <w:rFonts w:ascii="Times New Roman" w:cs="Times New Roman" w:eastAsia="Times New Roman" w:hAnsi="Times New Roman"/>
          <w:sz w:val="20"/>
          <w:szCs w:val="20"/>
          <w:color w:val="auto"/>
        </w:rPr>
        <w:t>. No Loan Party shall, nor shall any Loan Party permit any Restricted Subsidiary to, engage in any business other than the business of owning, constructing, managing and operating Communications Systems, or other lines of business necessary or ancillary to the foregoing or consistent with advances in the Communications Systems industry, in each case, substantially as conducted and operated by such Loan Party or Restricted Subsidiary on the Closing Date, and such Loan Party or Restricted Subsidiary shall not permit any material change in such business.</w:t>
      </w:r>
    </w:p>
    <w:p>
      <w:pPr>
        <w:spacing w:after="0" w:line="179"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b w:val="1"/>
          <w:bCs w:val="1"/>
          <w:u w:val="single" w:color="auto"/>
          <w:color w:val="auto"/>
        </w:rPr>
        <w:t>Fiscal Year</w:t>
      </w:r>
      <w:r>
        <w:rPr>
          <w:rFonts w:ascii="Times New Roman" w:cs="Times New Roman" w:eastAsia="Times New Roman" w:hAnsi="Times New Roman"/>
          <w:sz w:val="20"/>
          <w:szCs w:val="20"/>
          <w:color w:val="auto"/>
        </w:rPr>
        <w:t>. The Borrower shall not, and shall not permit any Restricted Subsidiary to, change its fiscal year from the twelve-month period beginning January 1 and ending December 31.</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19"/>
          <w:szCs w:val="19"/>
          <w:b w:val="1"/>
          <w:bCs w:val="1"/>
          <w:u w:val="single" w:color="auto"/>
          <w:color w:val="auto"/>
        </w:rPr>
        <w:t>[Reserved]</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b w:val="1"/>
          <w:bCs w:val="1"/>
          <w:u w:val="single" w:color="auto"/>
          <w:color w:val="auto"/>
        </w:rPr>
        <w:t>Changes in Organizational Documents</w:t>
      </w:r>
      <w:r>
        <w:rPr>
          <w:rFonts w:ascii="Times New Roman" w:cs="Times New Roman" w:eastAsia="Times New Roman" w:hAnsi="Times New Roman"/>
          <w:sz w:val="20"/>
          <w:szCs w:val="20"/>
          <w:color w:val="auto"/>
        </w:rPr>
        <w:t xml:space="preserve">. No Loan Party shall, nor shall any Loan Party permit any Restricted Subsidiary to, amend in any respect its Organizational Documents in a manner that is materially adverse to the interests of the Lenders; </w:t>
      </w:r>
      <w:r>
        <w:rPr>
          <w:rFonts w:ascii="Times New Roman" w:cs="Times New Roman" w:eastAsia="Times New Roman" w:hAnsi="Times New Roman"/>
          <w:sz w:val="20"/>
          <w:szCs w:val="20"/>
          <w:u w:val="single" w:color="auto"/>
          <w:color w:val="auto"/>
        </w:rPr>
        <w:t>provided that</w:t>
      </w:r>
      <w:r>
        <w:rPr>
          <w:rFonts w:ascii="Times New Roman" w:cs="Times New Roman" w:eastAsia="Times New Roman" w:hAnsi="Times New Roman"/>
          <w:sz w:val="20"/>
          <w:szCs w:val="20"/>
          <w:color w:val="auto"/>
        </w:rPr>
        <w:t>, 10 days prior notice will be delivered to Administrative Agent of any modification that results in a Loan Party (or any entity whose equity interest is pledged by a Loan Party pursuant to the Pledge and Security Agreement opting into Article 8 of the UCC).</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7.15 </w:t>
      </w:r>
      <w:r>
        <w:rPr>
          <w:rFonts w:ascii="Times New Roman" w:cs="Times New Roman" w:eastAsia="Times New Roman" w:hAnsi="Times New Roman"/>
          <w:sz w:val="20"/>
          <w:szCs w:val="20"/>
          <w:b w:val="1"/>
          <w:bCs w:val="1"/>
          <w:u w:val="single" w:color="auto"/>
          <w:color w:val="auto"/>
        </w:rPr>
        <w:t>Negative Pledges; Other Inconsistent Agreements</w:t>
      </w:r>
      <w:r>
        <w:rPr>
          <w:rFonts w:ascii="Times New Roman" w:cs="Times New Roman" w:eastAsia="Times New Roman" w:hAnsi="Times New Roman"/>
          <w:sz w:val="20"/>
          <w:szCs w:val="20"/>
          <w:color w:val="auto"/>
        </w:rPr>
        <w:t>. Each of the Loan Parties covenants and agrees that it shall not, and shall not permit any Restricted Subsidiary to, enter into any agreement containing any provision which would</w:t>
      </w:r>
    </w:p>
    <w:p>
      <w:pPr>
        <w:jc w:val="both"/>
        <w:ind w:firstLine="8"/>
        <w:spacing w:after="0"/>
        <w:tabs>
          <w:tab w:leader="none" w:pos="298" w:val="left"/>
        </w:tabs>
        <w:numPr>
          <w:ilvl w:val="0"/>
          <w:numId w:val="3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be breached by any Borrowing by the Borrower hereunder or by the performance by the Loan Parties or Restricted Subsidiaries of any of their obligations hereunder or under any other Loan Document, (b) limit the ability of any Loan Party or any Restricted Subsidiary of any Loan Party to create, incur, assume or suffer to exist Liens on property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not prohibit restrictions on liens with respect to any Funding Program Assets, any Funding Program Award Funds, any Funding Program Matching Funds, any Funding Program Deposit Accounts, any Funding Program In-kind Assets and any Funding Program Cash Assets; (c) create or permit to exist or become effective any encumbrance or restriction on the ability of any Loan Party or Restricted Subsidiary of any Loan Party to (i) make Restricted Payments to any Loan Party, or pay any Indebtedness owed to any Loan Party, (ii) make loans or advances to any Loan Party, (iii) transfer any of its assets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2" w:name="page373"/>
    <w:bookmarkEnd w:id="372"/>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properties to any Loan Party, or (iv) Guarantee the Indebtedness of any Loan Party,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however, that this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shall not prohibit negative pledges incurred or provided in favor of any Funding Agency pursuant to any Funding Program; or (d) require the grant of a Lien to secure an obligation of such Person if a Lien is granted to secure another obligation of such Person;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clauses (b) and (c) shall not prohibit (v) restrictions and conditions imposed by applicable Law or by this Agreement, (w) any negative pledge incurred or provided in favor of any holder of Indebtedness permitted under Sections </w:t>
      </w:r>
      <w:r>
        <w:rPr>
          <w:rFonts w:ascii="Times New Roman" w:cs="Times New Roman" w:eastAsia="Times New Roman" w:hAnsi="Times New Roman"/>
          <w:sz w:val="20"/>
          <w:szCs w:val="20"/>
          <w:u w:val="single" w:color="auto"/>
          <w:color w:val="auto"/>
        </w:rPr>
        <w:t>7.1(a)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(u)</w:t>
      </w:r>
      <w:r>
        <w:rPr>
          <w:rFonts w:ascii="Times New Roman" w:cs="Times New Roman" w:eastAsia="Times New Roman" w:hAnsi="Times New Roman"/>
          <w:sz w:val="20"/>
          <w:szCs w:val="20"/>
          <w:color w:val="auto"/>
        </w:rPr>
        <w:t xml:space="preserve">, solely to the extent any such negative pledge relates to the property financed by or the subject of such Indebtedness, (x) any negative pledge incurred through customary non-assignment clauses in agreements entered into in the ordinary course of business, (y) any negative pledge incurred under contracts for the sale of assets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or (z) restrictions contained in loan and security documentation evidencing Indebtedness permitted under Section 7.1(p) or grant documentation evidencing a grant obtained from a Stimulus Source Agency, in each case, which only prohibit Liens upon the assets of the applicable Stimulus Recipient Subsidiary.</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b w:val="1"/>
          <w:bCs w:val="1"/>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20"/>
          <w:szCs w:val="20"/>
          <w:color w:val="auto"/>
        </w:rPr>
        <w:t xml:space="preserve">7.18 </w:t>
      </w:r>
      <w:r>
        <w:rPr>
          <w:rFonts w:ascii="Times New Roman" w:cs="Times New Roman" w:eastAsia="Times New Roman" w:hAnsi="Times New Roman"/>
          <w:sz w:val="20"/>
          <w:szCs w:val="20"/>
          <w:b w:val="1"/>
          <w:bCs w:val="1"/>
          <w:u w:val="single" w:color="auto"/>
          <w:color w:val="auto"/>
        </w:rPr>
        <w:t>Management Fees</w:t>
      </w:r>
      <w:r>
        <w:rPr>
          <w:rFonts w:ascii="Times New Roman" w:cs="Times New Roman" w:eastAsia="Times New Roman" w:hAnsi="Times New Roman"/>
          <w:sz w:val="20"/>
          <w:szCs w:val="20"/>
          <w:color w:val="auto"/>
        </w:rPr>
        <w:t>. Each of the Loan Parties covenants and agrees that it shall not, and shall not permit any Restricted Subsidiary to, directly or indirectly, pay any management or other similar fees to any Person, except management fees paid to a Loan Party.</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7.19</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7.20</w:t>
      </w:r>
      <w:r>
        <w:rPr>
          <w:sz w:val="20"/>
          <w:szCs w:val="20"/>
          <w:color w:val="auto"/>
        </w:rPr>
        <w:tab/>
      </w:r>
      <w:r>
        <w:rPr>
          <w:rFonts w:ascii="Times New Roman" w:cs="Times New Roman" w:eastAsia="Times New Roman" w:hAnsi="Times New Roman"/>
          <w:sz w:val="20"/>
          <w:szCs w:val="20"/>
          <w:b w:val="1"/>
          <w:bCs w:val="1"/>
          <w:u w:val="single" w:color="auto"/>
          <w:color w:val="auto"/>
        </w:rPr>
        <w:t>Reserved</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19"/>
          <w:szCs w:val="19"/>
          <w:b w:val="1"/>
          <w:bCs w:val="1"/>
          <w:u w:val="single" w:color="auto"/>
          <w:color w:val="auto"/>
        </w:rPr>
        <w:t>Anti-Corruption; Anti-Terrorism; Sanctions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4" w:lineRule="auto"/>
        <w:tabs>
          <w:tab w:leader="none" w:pos="1944"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Loan Parties or their respective Subsidiaries, Affiliates, officers, directors, employees or agents will engage in any dealings or transactions with any Sanctioned Person or in violation of any applicable Anti-Corruption Laws, Anti-Terrorism Laws or Sanctions.</w:t>
      </w:r>
    </w:p>
    <w:p>
      <w:pPr>
        <w:spacing w:after="0" w:line="17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will fund all or any part of any payment under this Agreement or any other Loan Document out of proceeds derived from transactions that violate Sanctions, or with any Sanctioned Person, or with or connected to any Sanctioned Country.</w:t>
      </w:r>
    </w:p>
    <w:p>
      <w:pPr>
        <w:spacing w:after="0" w:line="17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7.22 </w:t>
      </w:r>
      <w:r>
        <w:rPr>
          <w:rFonts w:ascii="Times New Roman" w:cs="Times New Roman" w:eastAsia="Times New Roman" w:hAnsi="Times New Roman"/>
          <w:sz w:val="20"/>
          <w:szCs w:val="20"/>
          <w:b w:val="1"/>
          <w:bCs w:val="1"/>
          <w:u w:val="single" w:color="auto"/>
          <w:color w:val="auto"/>
        </w:rPr>
        <w:t>Funding Program Deposit Accounts</w:t>
      </w:r>
      <w:r>
        <w:rPr>
          <w:rFonts w:ascii="Times New Roman" w:cs="Times New Roman" w:eastAsia="Times New Roman" w:hAnsi="Times New Roman"/>
          <w:sz w:val="20"/>
          <w:szCs w:val="20"/>
          <w:color w:val="auto"/>
        </w:rPr>
        <w:t xml:space="preserve">. Notwithstanding anything contained in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elsewhere in this Agreement or any other Loan Document, (a) no funds other than Funding Program Award Funds, Funding Program Matching Funds, Funding Program Cash Assets, proceeds of any Funding Program Asset or Funding Program In-kind Asset or other funds to be used solely with respect to any project in connection with any Funding Program (and required by such Funding Program to be deposited into a Funding Program Deposit Account) shall be deposited or held in any Funding Program Deposit Account at any time, and (b) a Loan Party or Restricted Subsidiary shall not be required to provide notice or obtain consent to classify an asset as a Funding Program In-kind Asset or Funding Program Cash Assets when doing so to satisfy a matching obligation required by a Funding Program.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VIII.  FINANCIAL COVENANTS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b w:val="1"/>
          <w:bCs w:val="1"/>
          <w:u w:val="single" w:color="auto"/>
          <w:color w:val="auto"/>
        </w:rPr>
        <w:t>Maximum Total Net Leverage Ratio</w:t>
      </w:r>
      <w:r>
        <w:rPr>
          <w:rFonts w:ascii="Times New Roman" w:cs="Times New Roman" w:eastAsia="Times New Roman" w:hAnsi="Times New Roman"/>
          <w:sz w:val="20"/>
          <w:szCs w:val="20"/>
          <w:color w:val="auto"/>
        </w:rPr>
        <w:t>. Commencing with the last day of the fiscal quarter ending June 30, 2023, the Borrower shall maintain at all times, measured at each such fiscal quarter end, a Total Net Leverage Ratio of less than or equal to 3.25:1.00; provided, however, upon the occurrence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3" w:name="page374"/>
    <w:bookmarkEnd w:id="373"/>
    <w:p>
      <w:pPr>
        <w:jc w:val="both"/>
        <w:spacing w:after="0" w:line="253" w:lineRule="auto"/>
        <w:rPr>
          <w:sz w:val="20"/>
          <w:szCs w:val="20"/>
          <w:color w:val="auto"/>
        </w:rPr>
      </w:pPr>
      <w:r>
        <w:rPr>
          <w:rFonts w:ascii="Times New Roman" w:cs="Times New Roman" w:eastAsia="Times New Roman" w:hAnsi="Times New Roman"/>
          <w:sz w:val="20"/>
          <w:szCs w:val="20"/>
          <w:color w:val="auto"/>
        </w:rPr>
        <w:t>Qualifying Acquisition, during the fiscal quarter in which such Qualifying Acquisition occurred and for the subsequent three fiscal quarters, the Borrower shall maintain at all times, measured at each such fiscal quarter end, a Total Net Leverage Ratio of less than or equal to 3.75:1.00.</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IX.  EVENTS OF DEFAULT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b w:val="1"/>
          <w:bCs w:val="1"/>
          <w:u w:val="single" w:color="auto"/>
          <w:color w:val="auto"/>
        </w:rPr>
        <w:t>Events of Default</w:t>
      </w:r>
      <w:r>
        <w:rPr>
          <w:rFonts w:ascii="Times New Roman" w:cs="Times New Roman" w:eastAsia="Times New Roman" w:hAnsi="Times New Roman"/>
          <w:sz w:val="20"/>
          <w:szCs w:val="20"/>
          <w:color w:val="auto"/>
        </w:rPr>
        <w:t>. An Event of Default means the occurrence or existence of any one or more of the following events or conditions (whatever the reason therefor and whether voluntary, involuntary or effected by operation of Law):</w:t>
      </w:r>
    </w:p>
    <w:p>
      <w:pPr>
        <w:spacing w:after="0" w:line="200" w:lineRule="exact"/>
        <w:rPr>
          <w:sz w:val="20"/>
          <w:szCs w:val="20"/>
          <w:color w:val="auto"/>
        </w:rPr>
      </w:pPr>
    </w:p>
    <w:p>
      <w:pPr>
        <w:spacing w:after="0" w:line="208" w:lineRule="exact"/>
        <w:rPr>
          <w:sz w:val="20"/>
          <w:szCs w:val="20"/>
          <w:color w:val="auto"/>
        </w:rPr>
      </w:pPr>
    </w:p>
    <w:p>
      <w:pPr>
        <w:jc w:val="both"/>
        <w:ind w:firstLine="1304"/>
        <w:spacing w:after="0" w:line="245" w:lineRule="auto"/>
        <w:tabs>
          <w:tab w:leader="none" w:pos="1944"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Under Loan Documents</w:t>
      </w:r>
      <w:r>
        <w:rPr>
          <w:rFonts w:ascii="Times New Roman" w:cs="Times New Roman" w:eastAsia="Times New Roman" w:hAnsi="Times New Roman"/>
          <w:sz w:val="20"/>
          <w:szCs w:val="20"/>
          <w:color w:val="auto"/>
        </w:rPr>
        <w:t>. Failure by the Borrower or any other Loan Party to pay, (i) on the date on which such payment becomes due in accordance with the terms of this Agreement or any other applicable Loan Document, any principal of any Loan (including scheduled installments, mandatory prepayments or the payment due at maturity), Reimbursement Obligation or Letter of Credit Borrowing or (ii) within three (3) Business Days after such amount is due, any interest on any Loan, Reimbursement Obligation or Letter of Credit Borrowing or any other amount owing hereunder or under the other Loan Documents, or any other Secured Obligation;</w:t>
      </w:r>
    </w:p>
    <w:p>
      <w:pPr>
        <w:spacing w:after="0" w:line="18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Warranty</w:t>
      </w:r>
      <w:r>
        <w:rPr>
          <w:rFonts w:ascii="Times New Roman" w:cs="Times New Roman" w:eastAsia="Times New Roman" w:hAnsi="Times New Roman"/>
          <w:sz w:val="20"/>
          <w:szCs w:val="20"/>
          <w:color w:val="auto"/>
        </w:rPr>
        <w:t>. Any representation, warranty, certification or statement of fact made or deemed made at any time by any of the Loan Parties or any Restricted Subsidiary herein or in any other Loan Document, or in any certificate or statement furnished in writing pursuant to the provisions hereof or thereof, shall have been false or misleading as of the time it was made or furnished (i) as stated if such representation or warranty contains an express materiality qualification or (ii) in any material respect if such representation or warranty does not contain such qualification (including all representations and warranties as of the closing date of any Limited Condition Acquisition, regardless of whether the accuracy thereof is a condition precedent to the initial funding or such other advance);</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Certain Covenants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right="20" w:firstLine="1952"/>
        <w:spacing w:after="0" w:line="254" w:lineRule="auto"/>
        <w:tabs>
          <w:tab w:leader="none" w:pos="2592"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 the Loan Parties or any of the Restricted Subsidiaries shall default in the observance or performance of any covenant contained in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(subject to the cure rights set forth in </w:t>
      </w:r>
      <w:r>
        <w:rPr>
          <w:rFonts w:ascii="Times New Roman" w:cs="Times New Roman" w:eastAsia="Times New Roman" w:hAnsi="Times New Roman"/>
          <w:sz w:val="20"/>
          <w:szCs w:val="20"/>
          <w:u w:val="single" w:color="auto"/>
          <w:color w:val="auto"/>
        </w:rPr>
        <w:t>Section 9.3</w:t>
      </w:r>
      <w:r>
        <w:rPr>
          <w:rFonts w:ascii="Times New Roman" w:cs="Times New Roman" w:eastAsia="Times New Roman" w:hAnsi="Times New Roman"/>
          <w:sz w:val="20"/>
          <w:szCs w:val="20"/>
          <w:color w:val="auto"/>
        </w:rPr>
        <w:t xml:space="preserve"> hereof);</w:t>
      </w:r>
    </w:p>
    <w:p>
      <w:pPr>
        <w:spacing w:after="0" w:line="174" w:lineRule="exact"/>
        <w:rPr>
          <w:rFonts w:ascii="Times New Roman" w:cs="Times New Roman" w:eastAsia="Times New Roman" w:hAnsi="Times New Roman"/>
          <w:sz w:val="20"/>
          <w:szCs w:val="20"/>
          <w:color w:val="auto"/>
        </w:rPr>
      </w:pPr>
    </w:p>
    <w:p>
      <w:pPr>
        <w:jc w:val="both"/>
        <w:ind w:firstLine="1952"/>
        <w:spacing w:after="0" w:line="246" w:lineRule="auto"/>
        <w:tabs>
          <w:tab w:leader="none" w:pos="2592" w:val="left"/>
        </w:tabs>
        <w:numPr>
          <w:ilvl w:val="1"/>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of the Loan Parties or any of the Restricted Subsidiaries shall default in the observance or performance of any covenant contained in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such default shall continue unremedied for a period of five (5) Business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the failure to observe or perform any covenant contained in </w:t>
      </w:r>
      <w:r>
        <w:rPr>
          <w:rFonts w:ascii="Times New Roman" w:cs="Times New Roman" w:eastAsia="Times New Roman" w:hAnsi="Times New Roman"/>
          <w:sz w:val="20"/>
          <w:szCs w:val="20"/>
          <w:u w:val="single" w:color="auto"/>
          <w:color w:val="auto"/>
        </w:rPr>
        <w:t>Section 6.1(e)</w:t>
      </w:r>
      <w:r>
        <w:rPr>
          <w:rFonts w:ascii="Times New Roman" w:cs="Times New Roman" w:eastAsia="Times New Roman" w:hAnsi="Times New Roman"/>
          <w:sz w:val="20"/>
          <w:szCs w:val="20"/>
          <w:color w:val="auto"/>
        </w:rPr>
        <w:t>, delivery of the applicable notice shall automatically cure the Default or Event of Default resulting from the failure to deliver such notice;</w:t>
      </w:r>
    </w:p>
    <w:p>
      <w:pPr>
        <w:spacing w:after="0" w:line="184"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Other Covenants</w:t>
      </w:r>
      <w:r>
        <w:rPr>
          <w:rFonts w:ascii="Times New Roman" w:cs="Times New Roman" w:eastAsia="Times New Roman" w:hAnsi="Times New Roman"/>
          <w:sz w:val="20"/>
          <w:szCs w:val="20"/>
          <w:color w:val="auto"/>
        </w:rPr>
        <w:t>. Any of the Loan Parties or any of the Restricted Subsidiaries shall default in the observance or performance of any other covenant, condition or provision hereof or of any other Loan Document, and such default shall continue unremedied for the specified cure period with respect thereto or, if no such cure period is specified, for a period of forty-five (45) days after the earlier of (i) the Administrative Agent’s delivery of written notice thereof to the Borrower and (ii) an Authorized Officer or any other executive officer of any Loan Party or Restricted Subsidiary having obtained knowledge thereof;</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3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Defaults in Other Agreements or Indebtedness</w:t>
      </w:r>
      <w:r>
        <w:rPr>
          <w:rFonts w:ascii="Times New Roman" w:cs="Times New Roman" w:eastAsia="Times New Roman" w:hAnsi="Times New Roman"/>
          <w:sz w:val="20"/>
          <w:szCs w:val="20"/>
          <w:color w:val="auto"/>
        </w:rPr>
        <w:t>. A default or event of default shall occur (unless waived) at any time under the terms of any other agreement with respect to Indebtedness or any other credit extension in an aggregate principal amount (including undrawn committed or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4" w:name="page375"/>
    <w:bookmarkEnd w:id="374"/>
    <w:p>
      <w:pPr>
        <w:jc w:val="both"/>
        <w:spacing w:after="0" w:line="243" w:lineRule="auto"/>
        <w:rPr>
          <w:sz w:val="20"/>
          <w:szCs w:val="20"/>
          <w:color w:val="auto"/>
        </w:rPr>
      </w:pPr>
      <w:r>
        <w:rPr>
          <w:rFonts w:ascii="Times New Roman" w:cs="Times New Roman" w:eastAsia="Times New Roman" w:hAnsi="Times New Roman"/>
          <w:sz w:val="20"/>
          <w:szCs w:val="20"/>
          <w:color w:val="auto"/>
        </w:rPr>
        <w:t>amounts) in excess of the greater of (i) $25,000,000 and (ii) 30% of EBITDA of the Borrower and the Restricted Subsidiaries for the Test Period, or with respect to any Hedge Agreement, the Hedge Termination Value of which is equal to or in excess of the greater of (i) $25,000,000 and (ii) 30% of EBITDA of the Borrower and the Restricted Subsidiaries for the Test Period, and, in each case, such breach, default or event of default (x) arises from the failure to pay (beyond any period of grace permitted with respect thereto) any related Indebtedness or other credit extensions when due (whether at stated maturity, by acceleration or otherwise) or (y) the effect of which is to cause, or to permit the holder or holders of such Indebtedness (or a trustee or agent on behalf of such holder or holders) to cause, with the giving of notice and/or lapse of time, if required, the acceleration of any related Indebtedness or other credit extensions (whether or not such right shall have been waived) or the termination of any commitment to lend;</w:t>
      </w:r>
    </w:p>
    <w:p>
      <w:pPr>
        <w:spacing w:after="0" w:line="185" w:lineRule="exact"/>
        <w:rPr>
          <w:sz w:val="20"/>
          <w:szCs w:val="20"/>
          <w:color w:val="auto"/>
        </w:rPr>
      </w:pPr>
    </w:p>
    <w:p>
      <w:pPr>
        <w:jc w:val="both"/>
        <w:ind w:firstLine="1304"/>
        <w:spacing w:after="0" w:line="256" w:lineRule="auto"/>
        <w:tabs>
          <w:tab w:leader="none" w:pos="1944" w:val="left"/>
        </w:tabs>
        <w:numPr>
          <w:ilvl w:val="1"/>
          <w:numId w:val="3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Final Judgments or Orders</w:t>
      </w:r>
      <w:r>
        <w:rPr>
          <w:rFonts w:ascii="Times New Roman" w:cs="Times New Roman" w:eastAsia="Times New Roman" w:hAnsi="Times New Roman"/>
          <w:sz w:val="19"/>
          <w:szCs w:val="19"/>
          <w:color w:val="auto"/>
        </w:rPr>
        <w:t>. Any final judgments or orders for the payment of money in an aggregate amount in excess of the greater of (i) $25,000,000 and (ii) 30% of EBITDA of the Borrower and the Restricted Subsidiaries for the Test Period shall be entered against any Loan Party or any Restricted Subsidiary by a court having jurisdiction in the premises (in any case to the extent not adequately covered by insurance as to which the insurance company has not denied coverage), which judgment is not discharged, satisfied, vacated, bonded or stayed pending appeal within a period of sixty</w:t>
      </w:r>
    </w:p>
    <w:p>
      <w:pPr>
        <w:spacing w:after="0" w:line="4" w:lineRule="exact"/>
        <w:rPr>
          <w:rFonts w:ascii="Times New Roman" w:cs="Times New Roman" w:eastAsia="Times New Roman" w:hAnsi="Times New Roman"/>
          <w:sz w:val="19"/>
          <w:szCs w:val="19"/>
          <w:color w:val="auto"/>
        </w:rPr>
      </w:pPr>
    </w:p>
    <w:p>
      <w:pPr>
        <w:ind w:left="380" w:hanging="372"/>
        <w:spacing w:after="0"/>
        <w:tabs>
          <w:tab w:leader="none" w:pos="380" w:val="left"/>
        </w:tabs>
        <w:numPr>
          <w:ilvl w:val="0"/>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from the date of entry so long as such judgment is uninsured;</w:t>
      </w:r>
    </w:p>
    <w:p>
      <w:pPr>
        <w:spacing w:after="0" w:line="193"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Loan Document Unenforceable</w:t>
      </w:r>
      <w:r>
        <w:rPr>
          <w:rFonts w:ascii="Times New Roman" w:cs="Times New Roman" w:eastAsia="Times New Roman" w:hAnsi="Times New Roman"/>
          <w:sz w:val="20"/>
          <w:szCs w:val="20"/>
          <w:color w:val="auto"/>
        </w:rPr>
        <w:t>.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by any party thereto (other than the Administrative Agent or any Lender) or cease to give or provide the respective Liens, security interests, rights, titles, interests, remedies, powers or privileges intended to be created thereby;</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Security Interests Unenforceable</w:t>
      </w:r>
      <w:r>
        <w:rPr>
          <w:rFonts w:ascii="Times New Roman" w:cs="Times New Roman" w:eastAsia="Times New Roman" w:hAnsi="Times New Roman"/>
          <w:sz w:val="20"/>
          <w:szCs w:val="20"/>
          <w:color w:val="auto"/>
        </w:rPr>
        <w:t xml:space="preserve">. Any Lien purported to be created under any Collateral Document shall cease to be, or shall be asserted by any Loan Party not to be, a valid or perfected Lien on any portion of the Collateral, with the priority required by the applicable Collateral Document, except (i) as a result of a release pursuant to </w:t>
      </w:r>
      <w:r>
        <w:rPr>
          <w:rFonts w:ascii="Times New Roman" w:cs="Times New Roman" w:eastAsia="Times New Roman" w:hAnsi="Times New Roman"/>
          <w:sz w:val="20"/>
          <w:szCs w:val="20"/>
          <w:u w:val="single" w:color="auto"/>
          <w:color w:val="auto"/>
        </w:rPr>
        <w:t>Section 11.1(f)</w:t>
      </w:r>
      <w:r>
        <w:rPr>
          <w:rFonts w:ascii="Times New Roman" w:cs="Times New Roman" w:eastAsia="Times New Roman" w:hAnsi="Times New Roman"/>
          <w:sz w:val="20"/>
          <w:szCs w:val="20"/>
          <w:color w:val="auto"/>
        </w:rPr>
        <w:t xml:space="preserve"> or (ii) as a result of the sale or other disposition of the applicable Collateral or the release of the applicable Loan Party or any of the Restricted Subsidiaries in a transaction permitted under the Loan Documents;</w:t>
      </w:r>
    </w:p>
    <w:p>
      <w:pPr>
        <w:spacing w:after="0" w:line="18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Uninsured Losses; Proceedings Against Assets</w:t>
      </w:r>
      <w:r>
        <w:rPr>
          <w:rFonts w:ascii="Times New Roman" w:cs="Times New Roman" w:eastAsia="Times New Roman" w:hAnsi="Times New Roman"/>
          <w:sz w:val="20"/>
          <w:szCs w:val="20"/>
          <w:color w:val="auto"/>
        </w:rPr>
        <w:t>. There shall occur any uninsured damage to or loss, theft or destruction of any portion of the Collateral with a fair market value in the aggregate in excess of the greater of (i) $25,000,000 and (ii) 30% of EBITDA of the Borrower and the Restricted Subsidiaries for the Test Period, or the Collateral or any other of the Restricted Subsidiaries’ assets with a fair market value in the aggregate in excess of the greater of $25,000,000 and 30% of EBITDA of the Borrower and the Restricted Subsidiaries for the Test Period is attached, seized, levied upon or subjected to a writ or distress warrant; or such come within the possession of any receiver, trustee, custodian or assignee for the benefit of creditors and the same is not cured within thirty (30) days thereafter;</w:t>
      </w:r>
    </w:p>
    <w:p>
      <w:pPr>
        <w:spacing w:after="0" w:line="185"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1"/>
          <w:numId w:val="3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Events Relating to Employee Benefit Plans</w:t>
      </w:r>
      <w:r>
        <w:rPr>
          <w:rFonts w:ascii="Times New Roman" w:cs="Times New Roman" w:eastAsia="Times New Roman" w:hAnsi="Times New Roman"/>
          <w:sz w:val="20"/>
          <w:szCs w:val="20"/>
          <w:color w:val="auto"/>
        </w:rPr>
        <w:t>. (i) Any Loan Party or any of its respective Restricted Subsidiaries fails to make full payment when due of all amounts which, under the provisions of any Plans or any applicable provisions of the IRC or ERISA, any such Person is required to pay as contributions thereto and such failure results in or would reasonably be expected to result in a Material Adverse Change; or (ii) an accumulated funding deficiency occurs or exists, whether or not waived, with respect to any such Plans which would reasonably be expected to result in a Material Adverse Change; or (iii) any Plan of any Loan Party or any of its respective Restricted Subsidiaries loses its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5" w:name="page376"/>
    <w:bookmarkEnd w:id="375"/>
    <w:p>
      <w:pPr>
        <w:ind w:right="20"/>
        <w:spacing w:after="0" w:line="268" w:lineRule="auto"/>
        <w:rPr>
          <w:sz w:val="20"/>
          <w:szCs w:val="20"/>
          <w:color w:val="auto"/>
        </w:rPr>
      </w:pPr>
      <w:r>
        <w:rPr>
          <w:rFonts w:ascii="Times New Roman" w:cs="Times New Roman" w:eastAsia="Times New Roman" w:hAnsi="Times New Roman"/>
          <w:sz w:val="20"/>
          <w:szCs w:val="20"/>
          <w:color w:val="auto"/>
        </w:rPr>
        <w:t>as a qualified plan under the IRC and such loss results in or would reasonably be expected to result in a Material Adverse Change;</w:t>
      </w:r>
    </w:p>
    <w:p>
      <w:pPr>
        <w:spacing w:after="0" w:line="161" w:lineRule="exact"/>
        <w:rPr>
          <w:sz w:val="20"/>
          <w:szCs w:val="20"/>
          <w:color w:val="auto"/>
        </w:rPr>
      </w:pPr>
    </w:p>
    <w:p>
      <w:pPr>
        <w:ind w:left="1960" w:hanging="656"/>
        <w:spacing w:after="0"/>
        <w:tabs>
          <w:tab w:leader="none" w:pos="1960"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Control</w:t>
      </w:r>
      <w:r>
        <w:rPr>
          <w:rFonts w:ascii="Times New Roman" w:cs="Times New Roman" w:eastAsia="Times New Roman" w:hAnsi="Times New Roman"/>
          <w:sz w:val="20"/>
          <w:szCs w:val="20"/>
          <w:color w:val="auto"/>
        </w:rPr>
        <w:t>. A Change of Control shall have occurred;</w:t>
      </w:r>
    </w:p>
    <w:p>
      <w:pPr>
        <w:spacing w:after="0" w:line="215" w:lineRule="exact"/>
        <w:rPr>
          <w:rFonts w:ascii="Times New Roman" w:cs="Times New Roman" w:eastAsia="Times New Roman" w:hAnsi="Times New Roman"/>
          <w:sz w:val="20"/>
          <w:szCs w:val="20"/>
          <w:color w:val="auto"/>
        </w:rPr>
      </w:pPr>
    </w:p>
    <w:p>
      <w:pPr>
        <w:jc w:val="both"/>
        <w:ind w:firstLine="1304"/>
        <w:spacing w:after="0" w:line="241" w:lineRule="auto"/>
        <w:tabs>
          <w:tab w:leader="none" w:pos="1944"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Insolvency Proceedings</w:t>
      </w:r>
      <w:r>
        <w:rPr>
          <w:rFonts w:ascii="Times New Roman" w:cs="Times New Roman" w:eastAsia="Times New Roman" w:hAnsi="Times New Roman"/>
          <w:sz w:val="20"/>
          <w:szCs w:val="20"/>
          <w:color w:val="auto"/>
        </w:rPr>
        <w:t>. (i) An Insolvency Proceeding shall have been instituted against any Loan Party or Restricted Subsidiary and such Insolvency Proceeding shall remain undismissed or unstayed and in effect for a period of sixty (60) consecutive days or such court shall enter a decree or order granting any of the relief sought in such Insolvency Proceeding, (ii) any Loan Party or Restricted Subsidiary institutes, or takes any action in furtherance of, an Insolvency Proceeding, (iii) an order granting the relief requested in any Insolvency Proceeding (including, but not limited to, an order for relief under federal bankruptcy laws) shall be entered, (iv) any Loan Party or Restricted Subsidiary shall commence a voluntary case under, file a petition seeking to take advantage of, any bankruptcy, insolvency, reorganization or other similar law, domestic or foreign, (v) any Loan Party or Restricted Subsidiary shall consent to or fail to contest in a timely and appropriate manner any petition filed against it in any Insolvency Proceeding, (vi) any Loan Party or Restricted Subsidiary shall apply for or consent to, or fail to contest in a timely and appropriate manner, the appointment of, or the taking of possession by, a receiver, custodian, trustee, or liquidator of itself or of a substantial part of its property, domestic or foreign, (vii) any Loan Party or Restricted Subsidiary shall take any action to approve or authorize any of the foregoing, or (viii) any Loan Party or any Restricted Subsidiary ceases to be Solvent or admits in writing its inability to pay its debts as they mature;</w:t>
      </w:r>
    </w:p>
    <w:p>
      <w:pPr>
        <w:spacing w:after="0" w:line="195"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FCC and PUC Matters</w:t>
      </w:r>
      <w:r>
        <w:rPr>
          <w:rFonts w:ascii="Times New Roman" w:cs="Times New Roman" w:eastAsia="Times New Roman" w:hAnsi="Times New Roman"/>
          <w:sz w:val="20"/>
          <w:szCs w:val="20"/>
          <w:color w:val="auto"/>
        </w:rPr>
        <w:t>. Any Material License shall be cancelled, expired, revoked, terminated, rescinded, annulled, suspended or modified in an adverse manner (other than any modification imposed generally upon licenses in the same service), the effect of which has resulted in, or would reasonably be expected to result in, a Material Adverse Change; or</w:t>
      </w:r>
    </w:p>
    <w:p>
      <w:pPr>
        <w:spacing w:after="0" w:line="179"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3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Expropriation</w:t>
      </w:r>
      <w:r>
        <w:rPr>
          <w:rFonts w:ascii="Times New Roman" w:cs="Times New Roman" w:eastAsia="Times New Roman" w:hAnsi="Times New Roman"/>
          <w:sz w:val="20"/>
          <w:szCs w:val="20"/>
          <w:color w:val="auto"/>
        </w:rPr>
        <w:t>. Any federal, state or local Governmental Authority takes any action which would reasonably be expected to result in the expropriation or condemnation of all or any substantial portion of the assets of the Borrower or any of its Restricted Subsidiaries, if the assets subject to (or reasonably expected to be subject to) such expropriation or condemnation, individually or in the aggregate, account for 25% or more of EBITDA of the Borrower and the Restricted Subsidiaries for the Test Period.</w:t>
      </w:r>
    </w:p>
    <w:p>
      <w:pPr>
        <w:spacing w:after="0" w:line="18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b w:val="1"/>
          <w:bCs w:val="1"/>
          <w:u w:val="single" w:color="auto"/>
          <w:color w:val="auto"/>
        </w:rPr>
        <w:t>Consequences of Event of Default</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Events of Default Other Than Bankruptcy, Insolvency or Reorganization Proceedings</w:t>
      </w:r>
      <w:r>
        <w:rPr>
          <w:rFonts w:ascii="Times New Roman" w:cs="Times New Roman" w:eastAsia="Times New Roman" w:hAnsi="Times New Roman"/>
          <w:sz w:val="20"/>
          <w:szCs w:val="20"/>
          <w:color w:val="auto"/>
        </w:rPr>
        <w:t xml:space="preserve">. If an Event of Default specified under </w:t>
      </w:r>
      <w:r>
        <w:rPr>
          <w:rFonts w:ascii="Times New Roman" w:cs="Times New Roman" w:eastAsia="Times New Roman" w:hAnsi="Times New Roman"/>
          <w:sz w:val="20"/>
          <w:szCs w:val="20"/>
          <w:u w:val="single" w:color="auto"/>
          <w:color w:val="auto"/>
        </w:rPr>
        <w:t>Section 9.1</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9.1(l)</w:t>
      </w:r>
      <w:r>
        <w:rPr>
          <w:rFonts w:ascii="Times New Roman" w:cs="Times New Roman" w:eastAsia="Times New Roman" w:hAnsi="Times New Roman"/>
          <w:sz w:val="20"/>
          <w:szCs w:val="20"/>
          <w:color w:val="auto"/>
        </w:rPr>
        <w:t>) 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(i) by written notice to the Borrower, declare the unpaid principal amount of the Loans then outstanding and all interest accrued thereon, any unpaid fees and all other Indebtedness of the Borrower to the Lenders hereunder and thereunder to be forthwith due and payable, and the same shall thereupon become and be immediately due and payable to the Administrative Agent for the benefit of each Lender without presentment, demand, protest or any other notice of any kind, all of which are hereby waived, and (ii) require the Borrower to, and the Borrower shall thereupon, Cash Collateralize all outstanding Letters of Credit, and the Borrower hereby pledges to the Administrative Agent and the Lenders, and grants to the Administrative Agent and the Lenders a security interest in, all such cash as security for such Secured Obligations; and</w:t>
      </w:r>
    </w:p>
    <w:p>
      <w:pPr>
        <w:spacing w:after="0" w:line="18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3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Bankruptcy, Insolvency or Reorganization Proceedings</w:t>
      </w:r>
      <w:r>
        <w:rPr>
          <w:rFonts w:ascii="Times New Roman" w:cs="Times New Roman" w:eastAsia="Times New Roman" w:hAnsi="Times New Roman"/>
          <w:sz w:val="20"/>
          <w:szCs w:val="20"/>
          <w:color w:val="auto"/>
        </w:rPr>
        <w:t xml:space="preserve">. If an Event of Default specified under </w:t>
      </w:r>
      <w:r>
        <w:rPr>
          <w:rFonts w:ascii="Times New Roman" w:cs="Times New Roman" w:eastAsia="Times New Roman" w:hAnsi="Times New Roman"/>
          <w:sz w:val="20"/>
          <w:szCs w:val="20"/>
          <w:u w:val="single" w:color="auto"/>
          <w:color w:val="auto"/>
        </w:rPr>
        <w:t>Section 9.1(l)</w:t>
      </w:r>
      <w:r>
        <w:rPr>
          <w:rFonts w:ascii="Times New Roman" w:cs="Times New Roman" w:eastAsia="Times New Roman" w:hAnsi="Times New Roman"/>
          <w:sz w:val="20"/>
          <w:szCs w:val="20"/>
          <w:color w:val="auto"/>
        </w:rPr>
        <w:t xml:space="preserve"> shall occur, the Lenders shall be under no further obligations to make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6" w:name="page377"/>
    <w:bookmarkEnd w:id="376"/>
    <w:p>
      <w:pPr>
        <w:jc w:val="both"/>
        <w:spacing w:after="0" w:line="246" w:lineRule="auto"/>
        <w:rPr>
          <w:sz w:val="20"/>
          <w:szCs w:val="20"/>
          <w:color w:val="auto"/>
        </w:rPr>
      </w:pPr>
      <w:r>
        <w:rPr>
          <w:rFonts w:ascii="Times New Roman" w:cs="Times New Roman" w:eastAsia="Times New Roman" w:hAnsi="Times New Roman"/>
          <w:sz w:val="20"/>
          <w:szCs w:val="20"/>
          <w:color w:val="auto"/>
        </w:rPr>
        <w:t>hereunder and the Issuing Lender shall be under no obligation to issue Letters of Credit and the unpaid principal amount of the Loans then outstanding and all interest accrued thereon, any unpaid fees and all other Indebtedness of the Borrower to the Lenders hereunder and thereunder automatically shall be immediately due and payable, and the obligation of the Borrower to Cash Collateralize all outstanding Letters of Credit shall automatically become effective, in each case, without presentment, demand, protest or notice of any kind, all of which are hereby expressly waived; and</w:t>
      </w:r>
    </w:p>
    <w:p>
      <w:pPr>
        <w:spacing w:after="0" w:line="184" w:lineRule="exact"/>
        <w:rPr>
          <w:sz w:val="20"/>
          <w:szCs w:val="20"/>
          <w:color w:val="auto"/>
        </w:rPr>
      </w:pPr>
    </w:p>
    <w:p>
      <w:pPr>
        <w:jc w:val="both"/>
        <w:ind w:firstLine="1304"/>
        <w:spacing w:after="0" w:line="254" w:lineRule="auto"/>
        <w:tabs>
          <w:tab w:leader="none" w:pos="1944" w:val="left"/>
        </w:tabs>
        <w:numPr>
          <w:ilvl w:val="1"/>
          <w:numId w:val="3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Set-off</w:t>
      </w:r>
      <w:r>
        <w:rPr>
          <w:rFonts w:ascii="Times New Roman" w:cs="Times New Roman" w:eastAsia="Times New Roman" w:hAnsi="Times New Roman"/>
          <w:sz w:val="19"/>
          <w:szCs w:val="19"/>
          <w:color w:val="auto"/>
        </w:rPr>
        <w:t xml:space="preserve">. If an Event of Default shall have occurred and be continuing, each Lender, the Issuing Lender,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to or for the credit or the account of the Borrower or any other Loan Party against any and all of the obligations of the Borrower or such Loan Party now or hereafter existing under this Agreement or any other Loan Document to such Lender or the Issuing Lender or their respective Affiliates, irrespective of whether or not such Lender, Issuing Lender or Affiliate shall have made any demand under this Agreement or any other Loan Document and although such obligations of the Borrower or such Loan Party may be contingent or unmatured or are owed to a branch, office or Affiliate of such Lender or the Issuing Lender different from the branch, office or Affiliate holding such deposit or obligated on such indebtedness;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in the event that any Defaulting Lender shall exercise any such right of setoff,</w:t>
      </w:r>
    </w:p>
    <w:p>
      <w:pPr>
        <w:spacing w:after="0" w:line="3" w:lineRule="exact"/>
        <w:rPr>
          <w:rFonts w:ascii="Times New Roman" w:cs="Times New Roman" w:eastAsia="Times New Roman" w:hAnsi="Times New Roman"/>
          <w:sz w:val="19"/>
          <w:szCs w:val="19"/>
          <w:color w:val="auto"/>
        </w:rPr>
      </w:pPr>
    </w:p>
    <w:p>
      <w:pPr>
        <w:jc w:val="both"/>
        <w:ind w:firstLine="8"/>
        <w:spacing w:after="0"/>
        <w:tabs>
          <w:tab w:leader="none" w:pos="293" w:val="left"/>
        </w:tabs>
        <w:numPr>
          <w:ilvl w:val="0"/>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and, pending such payment, shall be segregated by such Defaulting Lender from its other funds and deemed held in trust for the benefit of the Administrative Agent, the Issuing Lender, and the Lenders, and (y) the Defaulting Lender shall provide promptly to the Administrative Agent a statement describing in reasonable detail the Obligations owing to such Defaulting Lender as to which it exercised such right of setoff. The rights of each Lender, the Issuing Lender and their respective Affiliates under this Section are in addition to other rights and remedies (including other rights of setoff) that such Lender, the Issuing Lender or their respective Affiliates may have. Each Lender and the Issuing Lender agrees to notify the Borrower and the Administrative Agent promptly after any such setoff and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w:t>
      </w:r>
    </w:p>
    <w:p>
      <w:pPr>
        <w:spacing w:after="0" w:line="18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1"/>
          <w:numId w:val="3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Application of Proceeds</w:t>
      </w:r>
      <w:r>
        <w:rPr>
          <w:rFonts w:ascii="Times New Roman" w:cs="Times New Roman" w:eastAsia="Times New Roman" w:hAnsi="Times New Roman"/>
          <w:sz w:val="20"/>
          <w:szCs w:val="20"/>
          <w:color w:val="auto"/>
        </w:rPr>
        <w:t xml:space="preserve">. After the exercise of remedies provided for in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(or after the Loans have automatically become immediately due and payable and the Letter of Credit Obligations have automatically been required to be Cash Collateralized as set forth in the proviso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any amounts received on account of the Secured Obligations shall be applied by the Administrative Agent in the following order:</w:t>
      </w:r>
    </w:p>
    <w:p>
      <w:pPr>
        <w:spacing w:after="0" w:line="176"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20"/>
          <w:szCs w:val="20"/>
          <w:i w:val="1"/>
          <w:iCs w:val="1"/>
          <w:color w:val="auto"/>
        </w:rPr>
        <w:t>First</w:t>
      </w:r>
      <w:r>
        <w:rPr>
          <w:rFonts w:ascii="Times New Roman" w:cs="Times New Roman" w:eastAsia="Times New Roman" w:hAnsi="Times New Roman"/>
          <w:sz w:val="20"/>
          <w:szCs w:val="20"/>
          <w:color w:val="auto"/>
        </w:rPr>
        <w:t>, to payment of that portion of the Obligations constituting fees, indemnities, expenses and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amounts (including fees, charges and disbursements of counsel to the Administrative Agent) payable to the Administrative Agent in its capacity as such;</w:t>
      </w:r>
    </w:p>
    <w:p>
      <w:pPr>
        <w:spacing w:after="0" w:line="169"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to payment of that portion of the Obligations constituting indemnities, expenses, and other amounts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(other than principal, interest and fees) payable to the Lenders and the Issuing Lender (including fees, charges and disbursements of counsel to the respective Lenders and the Issuing Lender and amounts payable under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ratably among them in proportion to the amounts described in this clause </w:t>
      </w:r>
      <w:r>
        <w:rPr>
          <w:rFonts w:ascii="Times New Roman" w:cs="Times New Roman" w:eastAsia="Times New Roman" w:hAnsi="Times New Roman"/>
          <w:sz w:val="20"/>
          <w:szCs w:val="20"/>
          <w:i w:val="1"/>
          <w:iCs w:val="1"/>
          <w:color w:val="auto"/>
        </w:rPr>
        <w:t>Second</w:t>
      </w:r>
      <w:r>
        <w:rPr>
          <w:rFonts w:ascii="Times New Roman" w:cs="Times New Roman" w:eastAsia="Times New Roman" w:hAnsi="Times New Roman"/>
          <w:sz w:val="20"/>
          <w:szCs w:val="20"/>
          <w:color w:val="auto"/>
        </w:rPr>
        <w:t xml:space="preserve"> payable to them;</w:t>
      </w:r>
    </w:p>
    <w:p>
      <w:pPr>
        <w:spacing w:after="0" w:line="176"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to payment of that portion of the Obligations constituting accrued and unpaid interest on the Loans,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Letter of Credit Borrowings and other Obligations, and fees (including Letter of Credit Fees and Unused Commitment Fees), ratably among the Lenders and the Issuing Lender in proportion to the respective amounts described in this clause </w:t>
      </w:r>
      <w:r>
        <w:rPr>
          <w:rFonts w:ascii="Times New Roman" w:cs="Times New Roman" w:eastAsia="Times New Roman" w:hAnsi="Times New Roman"/>
          <w:sz w:val="20"/>
          <w:szCs w:val="20"/>
          <w:i w:val="1"/>
          <w:iCs w:val="1"/>
          <w:color w:val="auto"/>
        </w:rPr>
        <w:t>Third</w:t>
      </w:r>
      <w:r>
        <w:rPr>
          <w:rFonts w:ascii="Times New Roman" w:cs="Times New Roman" w:eastAsia="Times New Roman" w:hAnsi="Times New Roman"/>
          <w:sz w:val="20"/>
          <w:szCs w:val="20"/>
          <w:color w:val="auto"/>
        </w:rPr>
        <w:t xml:space="preserve"> payable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7" w:name="page378"/>
    <w:bookmarkEnd w:id="377"/>
    <w:p>
      <w:pPr>
        <w:jc w:val="both"/>
        <w:ind w:left="660" w:firstLine="648"/>
        <w:spacing w:after="0" w:line="255" w:lineRule="auto"/>
        <w:rPr>
          <w:sz w:val="20"/>
          <w:szCs w:val="20"/>
          <w:color w:val="auto"/>
        </w:rPr>
      </w:pP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to payment of that portion of the Obligations constituting unpaid principal of the Loans and Letter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Credit Borrowings, ratably among the Lenders and the Issuing Lender in proportion to the respective amounts described in this clause </w:t>
      </w:r>
      <w:r>
        <w:rPr>
          <w:rFonts w:ascii="Times New Roman" w:cs="Times New Roman" w:eastAsia="Times New Roman" w:hAnsi="Times New Roman"/>
          <w:sz w:val="20"/>
          <w:szCs w:val="20"/>
          <w:i w:val="1"/>
          <w:iCs w:val="1"/>
          <w:color w:val="auto"/>
        </w:rPr>
        <w:t>Fourth</w:t>
      </w:r>
      <w:r>
        <w:rPr>
          <w:rFonts w:ascii="Times New Roman" w:cs="Times New Roman" w:eastAsia="Times New Roman" w:hAnsi="Times New Roman"/>
          <w:sz w:val="20"/>
          <w:szCs w:val="20"/>
          <w:color w:val="auto"/>
        </w:rPr>
        <w:t xml:space="preserve"> held by them;</w:t>
      </w:r>
    </w:p>
    <w:p>
      <w:pPr>
        <w:spacing w:after="0" w:line="171"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to the Administrative Agent for the account of the Issuing Lender, to Cash Collateralize that portion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Letter of Credit Obligations comprised of the aggregate undrawn amount of Letters of Credit;</w:t>
      </w:r>
    </w:p>
    <w:p>
      <w:pPr>
        <w:spacing w:after="0" w:line="152" w:lineRule="exact"/>
        <w:rPr>
          <w:sz w:val="20"/>
          <w:szCs w:val="20"/>
          <w:color w:val="auto"/>
        </w:rPr>
      </w:pPr>
    </w:p>
    <w:p>
      <w:pPr>
        <w:jc w:val="both"/>
        <w:ind w:left="66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to payment of all other Obligations, ratably among the Secured Parties in proportion to the respective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amounts described in this clause </w:t>
      </w:r>
      <w:r>
        <w:rPr>
          <w:rFonts w:ascii="Times New Roman" w:cs="Times New Roman" w:eastAsia="Times New Roman" w:hAnsi="Times New Roman"/>
          <w:sz w:val="20"/>
          <w:szCs w:val="20"/>
          <w:i w:val="1"/>
          <w:iCs w:val="1"/>
          <w:color w:val="auto"/>
        </w:rPr>
        <w:t>Sixth</w:t>
      </w:r>
      <w:r>
        <w:rPr>
          <w:rFonts w:ascii="Times New Roman" w:cs="Times New Roman" w:eastAsia="Times New Roman" w:hAnsi="Times New Roman"/>
          <w:sz w:val="20"/>
          <w:szCs w:val="20"/>
          <w:color w:val="auto"/>
        </w:rPr>
        <w:t xml:space="preserve"> held by them;</w:t>
      </w:r>
    </w:p>
    <w:p>
      <w:pPr>
        <w:spacing w:after="0" w:line="152" w:lineRule="exact"/>
        <w:rPr>
          <w:sz w:val="20"/>
          <w:szCs w:val="20"/>
          <w:color w:val="auto"/>
        </w:rPr>
      </w:pPr>
    </w:p>
    <w:p>
      <w:pPr>
        <w:jc w:val="both"/>
        <w:ind w:left="660" w:firstLine="648"/>
        <w:spacing w:after="0" w:line="250" w:lineRule="auto"/>
        <w:rPr>
          <w:sz w:val="20"/>
          <w:szCs w:val="20"/>
          <w:color w:val="auto"/>
        </w:rPr>
      </w:pP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to payment or Cash Collateralization (if agreed by the applicable Loan Parties and any a provider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of any Secured Bank Product or Secured Hedge, as applicable) of that portion of Other Liabilities then outstanding, ratably among the Secured Parties providing the Secured Bank Products and Secured Hedges giving rise to such Other Liabilities in proportion to the respective amounts described in this clause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held by them; and</w:t>
      </w:r>
    </w:p>
    <w:p>
      <w:pPr>
        <w:spacing w:after="0" w:line="176" w:lineRule="exact"/>
        <w:rPr>
          <w:sz w:val="20"/>
          <w:szCs w:val="20"/>
          <w:color w:val="auto"/>
        </w:rPr>
      </w:pPr>
    </w:p>
    <w:p>
      <w:pPr>
        <w:jc w:val="both"/>
        <w:ind w:left="660"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Last</w:t>
      </w:r>
      <w:r>
        <w:rPr>
          <w:rFonts w:ascii="Times New Roman" w:cs="Times New Roman" w:eastAsia="Times New Roman" w:hAnsi="Times New Roman"/>
          <w:sz w:val="20"/>
          <w:szCs w:val="20"/>
          <w:color w:val="auto"/>
        </w:rPr>
        <w:t>, the balance, if any, after Payment In Full of all of the Secured Obligations, to the Loan Parties or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otherwise required by Law.</w:t>
      </w:r>
    </w:p>
    <w:p>
      <w:pPr>
        <w:spacing w:after="0" w:line="15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Amounts used to Cash Collateralize Secured Obligations pursuant to clause </w:t>
      </w:r>
      <w:r>
        <w:rPr>
          <w:rFonts w:ascii="Times New Roman" w:cs="Times New Roman" w:eastAsia="Times New Roman" w:hAnsi="Times New Roman"/>
          <w:sz w:val="20"/>
          <w:szCs w:val="20"/>
          <w:i w:val="1"/>
          <w:iCs w:val="1"/>
          <w:color w:val="auto"/>
        </w:rPr>
        <w:t>Fifth</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i w:val="1"/>
          <w:iCs w:val="1"/>
          <w:color w:val="auto"/>
        </w:rPr>
        <w:t>Seventh</w:t>
      </w:r>
      <w:r>
        <w:rPr>
          <w:rFonts w:ascii="Times New Roman" w:cs="Times New Roman" w:eastAsia="Times New Roman" w:hAnsi="Times New Roman"/>
          <w:sz w:val="20"/>
          <w:szCs w:val="20"/>
          <w:color w:val="auto"/>
        </w:rPr>
        <w:t xml:space="preserve"> above shall be applied to satisfy drawings under such Letters of Credit as they occur or to pay such Other Liabilities as they come due, as the case may be. If any amount remains on deposit as Cash Collateral after all Letters of Credit have either been fully drawn or expired and/or after Payment In Full of the Other Liabilities, such remaining amount shall be applied to the other Secured Obligations, if any, and/or to the Loan Parties or as otherwise required by Law, in the order set forth above.</w:t>
      </w:r>
    </w:p>
    <w:p>
      <w:pPr>
        <w:spacing w:after="0" w:line="18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Amounts distributed with respect to any Secured Obligations attributable to Other Liabilities shall be equal to the lesser of (a) the applicable amount of such Other Liabilities last reported to the Administrative Agent or (b) the actual amount of such Other Liabilities as calculated by the methodology reported to the Administrative Agent for determining the amount due. The Administrative Agent shall have no obligation to calculate the amount to be distributed with respect to any such Other Liabilities, but may rely upon written notice of the amount (setting forth a reasonably detailed calculation) from the applicable Lender or its Affiliate providing such Secured Bank Products or Secured Hedge. In the absence of such notice, the Administrative Agent may assume the amount to be distributed is the amount of such obligations last reported to it.</w:t>
      </w:r>
    </w:p>
    <w:p>
      <w:pPr>
        <w:spacing w:after="0" w:line="18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If and to the extent the Administrative Agent has received notice or other evidence that any amount claimed as a Secured Obligation is or could reasonably be determined to be an Excluded Swap Obligation with respect to any Loan Party, amounts received from such Loan Party or its assets shall not be applied to such Excluded Swap Obligations with respect to such Loan Party, and adjustments shall be made with respect to amounts received from other Loan Parties and their assets as the Administrative Agent may determine, in consultation with or at the direction of, the Lenders to be equitable (which may include the purchase and sale of participation interests) so that, to the maximum extent practical, the benefit of all amounts received from the Loan Parties and their assets are shared in accordance with the allocation of recoveries set forth above that would apply if the applicable Swap Obligations were not Excluded Swap Obligations. Each Loan Party acknowledges and consents to the foregoing.</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9.3</w:t>
      </w:r>
      <w:r>
        <w:rPr>
          <w:sz w:val="20"/>
          <w:szCs w:val="20"/>
          <w:color w:val="auto"/>
        </w:rPr>
        <w:tab/>
      </w:r>
      <w:r>
        <w:rPr>
          <w:rFonts w:ascii="Times New Roman" w:cs="Times New Roman" w:eastAsia="Times New Roman" w:hAnsi="Times New Roman"/>
          <w:sz w:val="19"/>
          <w:szCs w:val="19"/>
          <w:b w:val="1"/>
          <w:bCs w:val="1"/>
          <w:u w:val="single" w:color="auto"/>
          <w:color w:val="auto"/>
        </w:rPr>
        <w:t>Right to Cure</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78" w:name="page379"/>
    <w:bookmarkEnd w:id="378"/>
    <w:p>
      <w:pPr>
        <w:jc w:val="both"/>
        <w:ind w:firstLine="1304"/>
        <w:spacing w:after="0" w:line="246" w:lineRule="auto"/>
        <w:tabs>
          <w:tab w:leader="none" w:pos="1944" w:val="left"/>
        </w:tabs>
        <w:numPr>
          <w:ilvl w:val="1"/>
          <w:numId w:val="3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to the contrary, in the event that the Loan Parties fail to comply with the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any cash received by the Borrower in connection with an Equity Issuance constituting or in respect of Qualified Equity Interests of the Borrower on or before the date that is twenty</w:t>
      </w:r>
    </w:p>
    <w:p>
      <w:pPr>
        <w:spacing w:after="0" w:line="2" w:lineRule="exact"/>
        <w:rPr>
          <w:rFonts w:ascii="Times New Roman" w:cs="Times New Roman" w:eastAsia="Times New Roman" w:hAnsi="Times New Roman"/>
          <w:sz w:val="20"/>
          <w:szCs w:val="20"/>
          <w:color w:val="auto"/>
        </w:rPr>
      </w:pPr>
    </w:p>
    <w:p>
      <w:pPr>
        <w:jc w:val="both"/>
        <w:ind w:firstLine="8"/>
        <w:spacing w:after="0" w:line="239" w:lineRule="auto"/>
        <w:tabs>
          <w:tab w:leader="none" w:pos="425" w:val="left"/>
        </w:tabs>
        <w:numPr>
          <w:ilvl w:val="0"/>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calendar days after the earlier of (i) the date on which the related Compliance Certificate was delivered to the Administrative Agent and (ii) the date on which the related Compliance Certificate was due under </w:t>
      </w:r>
      <w:r>
        <w:rPr>
          <w:rFonts w:ascii="Times New Roman" w:cs="Times New Roman" w:eastAsia="Times New Roman" w:hAnsi="Times New Roman"/>
          <w:sz w:val="20"/>
          <w:szCs w:val="20"/>
          <w:u w:val="single" w:color="auto"/>
          <w:color w:val="auto"/>
        </w:rPr>
        <w:t>Section 6.1(c)</w:t>
      </w:r>
      <w:r>
        <w:rPr>
          <w:rFonts w:ascii="Times New Roman" w:cs="Times New Roman" w:eastAsia="Times New Roman" w:hAnsi="Times New Roman"/>
          <w:sz w:val="20"/>
          <w:szCs w:val="20"/>
          <w:color w:val="auto"/>
        </w:rPr>
        <w:t xml:space="preserve"> (such date, the “</w:t>
      </w:r>
      <w:r>
        <w:rPr>
          <w:rFonts w:ascii="Times New Roman" w:cs="Times New Roman" w:eastAsia="Times New Roman" w:hAnsi="Times New Roman"/>
          <w:sz w:val="20"/>
          <w:szCs w:val="20"/>
          <w:b w:val="1"/>
          <w:bCs w:val="1"/>
          <w:color w:val="auto"/>
        </w:rPr>
        <w:t>Cure Deadline</w:t>
      </w:r>
      <w:r>
        <w:rPr>
          <w:rFonts w:ascii="Times New Roman" w:cs="Times New Roman" w:eastAsia="Times New Roman" w:hAnsi="Times New Roman"/>
          <w:sz w:val="20"/>
          <w:szCs w:val="20"/>
          <w:color w:val="auto"/>
        </w:rPr>
        <w:t xml:space="preserve">”) shall, at the option of the Borrower, be included in the calculation of, and increase on a dollar-for-dollar basis, EBITDA of the Borrower and the Restricted Subsidiaries for such fiscal quarter and each subsequent Test Period that includes such fiscal quarter, solely for the purposes of determining compliance with the applicable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not for any other purpose under this Agreement (including to determine pricing, financial ratio-based conditions, the availability or the amount of any covenant baskets, carve-outs, unrestricted cash or other items governed by a reference to EBITDA) (any such contribution so included in the calculation of EBITDA, a “</w:t>
      </w:r>
      <w:r>
        <w:rPr>
          <w:rFonts w:ascii="Times New Roman" w:cs="Times New Roman" w:eastAsia="Times New Roman" w:hAnsi="Times New Roman"/>
          <w:sz w:val="20"/>
          <w:szCs w:val="20"/>
          <w:b w:val="1"/>
          <w:bCs w:val="1"/>
          <w:color w:val="auto"/>
        </w:rPr>
        <w:t>Specified Equity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Contribution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 no more than two (2) Specified Equity Contributions may be made in any consecutive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four fiscal quarter period and no more than five (5) Specified Equity Contributions may be made during the term of the Facilities, (b) a Specified Equity Contribution shall not be greater than the amount required to cause the Loan Parties to be in compliance with the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shall not be required to be used to repay the Loans and (c) there shall be no effect given to any reduction of Indebtedness with the proceeds of any Specified Equity Contribution for purposes of determining compliance with the applicable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If, after giving effect to the foregoing pro forma adjustment (but not, for the avoidance of doubt, giving pro forma effect to any repayment of Indebtedness in connection therewith), the Loan Parties are in compliance with the applicable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the Loan Parties shall be deemed to have satisfied the requirements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as of the relevant date of determination with the same effect as though there had been no failure to comply on such date, and the applicable breach or default of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that had occurred shall be deemed cured solely for the purposes of determining compliance with the applicable financial covenant under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not for any other purpose under this Agreement (including to determine pricing, financial ratio-based conditions, the availability or the amount of any covenant baskets, carve-outs, unrestricted cash or other items governed by a reference to EBITDA).</w:t>
      </w:r>
    </w:p>
    <w:p>
      <w:pPr>
        <w:spacing w:after="0" w:line="204"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1"/>
          <w:numId w:val="3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anything in </w:t>
      </w:r>
      <w:r>
        <w:rPr>
          <w:rFonts w:ascii="Times New Roman" w:cs="Times New Roman" w:eastAsia="Times New Roman" w:hAnsi="Times New Roman"/>
          <w:sz w:val="20"/>
          <w:szCs w:val="20"/>
          <w:u w:val="single" w:color="auto"/>
          <w:color w:val="auto"/>
        </w:rPr>
        <w:t>Sections 9.1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xml:space="preserve"> to the contrary, until the expiration of the applicable Cure Deadline, the Lenders shall not be permitted to (and shall not) accelerate the Loans held by them or exercise any rights or remedies against any Loan Party or any of the Collateral on the basis of a failure to comply with </w:t>
      </w:r>
      <w:r>
        <w:rPr>
          <w:rFonts w:ascii="Times New Roman" w:cs="Times New Roman" w:eastAsia="Times New Roman" w:hAnsi="Times New Roman"/>
          <w:sz w:val="20"/>
          <w:szCs w:val="20"/>
          <w:u w:val="single" w:color="auto"/>
          <w:color w:val="auto"/>
        </w:rPr>
        <w:t>Article VIII</w:t>
      </w:r>
      <w:r>
        <w:rPr>
          <w:rFonts w:ascii="Times New Roman" w:cs="Times New Roman" w:eastAsia="Times New Roman" w:hAnsi="Times New Roman"/>
          <w:sz w:val="20"/>
          <w:szCs w:val="20"/>
          <w:color w:val="auto"/>
        </w:rPr>
        <w:t xml:space="preserve">, and thereafter;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until the Borrower has exercised its cure right set forth in the foregoing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(i) the Borrower shall not be permitted (and shall not) to borrow Revolving Loans or Swing Line Loans or obtain Letters of Credit and (ii) the Loan Parties and their Subsidiaries shall not be permitted (and shall not) take any action hereunder pursuant to which the ability of such Loan Party or Subsidiary to take such action is subject to the absence of a Default or Event of Default, as applicable.</w:t>
      </w:r>
    </w:p>
    <w:p>
      <w:pPr>
        <w:spacing w:after="0" w:line="185" w:lineRule="exact"/>
        <w:rPr>
          <w:rFonts w:ascii="Times New Roman" w:cs="Times New Roman" w:eastAsia="Times New Roman" w:hAnsi="Times New Roman"/>
          <w:sz w:val="20"/>
          <w:szCs w:val="20"/>
          <w:color w:val="auto"/>
        </w:rPr>
      </w:pPr>
    </w:p>
    <w:p>
      <w:pPr>
        <w:ind w:left="3640" w:hanging="338"/>
        <w:spacing w:after="0"/>
        <w:tabs>
          <w:tab w:leader="none" w:pos="3640" w:val="left"/>
        </w:tabs>
        <w:numPr>
          <w:ilvl w:val="2"/>
          <w:numId w:val="3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THE ADMINISTRATIVE AGENT</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10.1 </w:t>
      </w:r>
      <w:r>
        <w:rPr>
          <w:rFonts w:ascii="Times New Roman" w:cs="Times New Roman" w:eastAsia="Times New Roman" w:hAnsi="Times New Roman"/>
          <w:sz w:val="20"/>
          <w:szCs w:val="20"/>
          <w:b w:val="1"/>
          <w:bCs w:val="1"/>
          <w:u w:val="single" w:color="auto"/>
          <w:color w:val="auto"/>
        </w:rPr>
        <w:t>Appointment and Authority</w:t>
      </w:r>
      <w:r>
        <w:rPr>
          <w:rFonts w:ascii="Times New Roman" w:cs="Times New Roman" w:eastAsia="Times New Roman" w:hAnsi="Times New Roman"/>
          <w:sz w:val="20"/>
          <w:szCs w:val="20"/>
          <w:color w:val="auto"/>
        </w:rPr>
        <w:t xml:space="preserve">. Each of the Lenders and the Issuing Lender (on behalf of itself and each of its Affiliates) hereby irrevocably appoints CoBank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are solely for the benefit of the Administrative Agent, the Lenders, the Affiliates of the Lenders who are Secured Parties and the Issuing Lender, and none of the Borrower, any other Loan Party or any Subsidiary of any Loan Party shall have rights as a third party beneficiary of any of such provisions. It is understood and agreed that the use of the term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herein or in any other Loan Documents (or any other similar term) with reference to the Administrative Agent is not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79" w:name="page380"/>
    <w:bookmarkEnd w:id="379"/>
    <w:p>
      <w:pPr>
        <w:jc w:val="both"/>
        <w:spacing w:after="0" w:line="253" w:lineRule="auto"/>
        <w:rPr>
          <w:sz w:val="20"/>
          <w:szCs w:val="20"/>
          <w:color w:val="auto"/>
        </w:rPr>
      </w:pPr>
      <w:r>
        <w:rPr>
          <w:rFonts w:ascii="Times New Roman" w:cs="Times New Roman" w:eastAsia="Times New Roman" w:hAnsi="Times New Roman"/>
          <w:sz w:val="20"/>
          <w:szCs w:val="20"/>
          <w:color w:val="auto"/>
        </w:rPr>
        <w:t>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b w:val="1"/>
          <w:bCs w:val="1"/>
          <w:u w:val="single" w:color="auto"/>
          <w:color w:val="auto"/>
        </w:rPr>
        <w:t>Rights as a Lender</w:t>
      </w:r>
      <w:r>
        <w:rPr>
          <w:rFonts w:ascii="Times New Roman" w:cs="Times New Roman" w:eastAsia="Times New Roman" w:hAnsi="Times New Roman"/>
          <w:sz w:val="20"/>
          <w:szCs w:val="20"/>
          <w:color w:val="auto"/>
        </w:rPr>
        <w:t>. The Person serving as the Administrative Agent hereunder shall have the same rights and powers in its capacity as a Lender as any other Lender and may exercise the same as though it were not the Administrative Agent and the term “</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Lenders</w:t>
      </w:r>
      <w:r>
        <w:rPr>
          <w:rFonts w:ascii="Times New Roman" w:cs="Times New Roman" w:eastAsia="Times New Roman" w:hAnsi="Times New Roman"/>
          <w:sz w:val="20"/>
          <w:szCs w:val="20"/>
          <w:color w:val="auto"/>
        </w:rPr>
        <w:t>”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of any Loan Party or other Affiliate thereof as if such Person were not the Administrative Agent hereunder and without any duty to account therefor to the Lenders.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10.3 </w:t>
      </w:r>
      <w:r>
        <w:rPr>
          <w:rFonts w:ascii="Times New Roman" w:cs="Times New Roman" w:eastAsia="Times New Roman" w:hAnsi="Times New Roman"/>
          <w:sz w:val="20"/>
          <w:szCs w:val="20"/>
          <w:b w:val="1"/>
          <w:bCs w:val="1"/>
          <w:u w:val="single" w:color="auto"/>
          <w:color w:val="auto"/>
        </w:rPr>
        <w:t>No Fiduciary Duty</w:t>
      </w:r>
      <w:r>
        <w:rPr>
          <w:rFonts w:ascii="Times New Roman" w:cs="Times New Roman" w:eastAsia="Times New Roman" w:hAnsi="Times New Roman"/>
          <w:sz w:val="20"/>
          <w:szCs w:val="20"/>
          <w:color w:val="auto"/>
        </w:rPr>
        <w:t>. 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73" w:lineRule="exact"/>
        <w:rPr>
          <w:sz w:val="20"/>
          <w:szCs w:val="20"/>
          <w:color w:val="auto"/>
        </w:rPr>
      </w:pPr>
    </w:p>
    <w:p>
      <w:pPr>
        <w:ind w:firstLine="1304"/>
        <w:spacing w:after="0" w:line="269" w:lineRule="auto"/>
        <w:tabs>
          <w:tab w:leader="none" w:pos="1944"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subject to any fiduciary or other implied duties, regardless of whether a Default or Event of Default has occurred and is continuing;</w:t>
      </w:r>
    </w:p>
    <w:p>
      <w:pPr>
        <w:spacing w:after="0" w:line="159"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44" w:val="left"/>
        </w:tabs>
        <w:numPr>
          <w:ilvl w:val="0"/>
          <w:numId w:val="3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affect a forfeiture, modification or termination of property of a Defaulting Lender in violation of any Debtor Relief Law; and</w:t>
      </w:r>
    </w:p>
    <w:p>
      <w:pPr>
        <w:spacing w:after="0" w:line="173" w:lineRule="exact"/>
        <w:rPr>
          <w:rFonts w:ascii="Times New Roman" w:cs="Times New Roman" w:eastAsia="Times New Roman" w:hAnsi="Times New Roman"/>
          <w:sz w:val="19"/>
          <w:szCs w:val="19"/>
          <w:color w:val="auto"/>
        </w:rPr>
      </w:pPr>
    </w:p>
    <w:p>
      <w:pPr>
        <w:jc w:val="both"/>
        <w:ind w:firstLine="1304"/>
        <w:spacing w:after="0" w:line="249" w:lineRule="auto"/>
        <w:tabs>
          <w:tab w:leader="none" w:pos="1944" w:val="left"/>
        </w:tabs>
        <w:numPr>
          <w:ilvl w:val="0"/>
          <w:numId w:val="3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b w:val="1"/>
          <w:bCs w:val="1"/>
          <w:u w:val="single" w:color="auto"/>
          <w:color w:val="auto"/>
        </w:rPr>
        <w:t>Exculpation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4" w:lineRule="auto"/>
        <w:tabs>
          <w:tab w:leader="none" w:pos="1944"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9.2</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 appealable judgment. The Administrative Agent shall be deemed not to have knowledge of any Default or Event of Default unless and until notice describing such Default or Event of Default is given to the Administrative Agent by the Borrower, a Lender or the Issuing Lender.</w:t>
      </w:r>
    </w:p>
    <w:p>
      <w:pPr>
        <w:spacing w:after="0" w:line="185"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3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any duty to ascertain or inquire into</w:t>
      </w:r>
    </w:p>
    <w:p>
      <w:pPr>
        <w:spacing w:after="0" w:line="21" w:lineRule="exact"/>
        <w:rPr>
          <w:rFonts w:ascii="Times New Roman" w:cs="Times New Roman" w:eastAsia="Times New Roman" w:hAnsi="Times New Roman"/>
          <w:sz w:val="20"/>
          <w:szCs w:val="20"/>
          <w:color w:val="auto"/>
        </w:rPr>
      </w:pPr>
    </w:p>
    <w:p>
      <w:pPr>
        <w:jc w:val="both"/>
        <w:ind w:firstLine="8"/>
        <w:spacing w:after="0" w:line="242" w:lineRule="auto"/>
        <w:tabs>
          <w:tab w:leader="none" w:pos="238" w:val="left"/>
        </w:tabs>
        <w:numPr>
          <w:ilvl w:val="0"/>
          <w:numId w:val="4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0" w:name="page381"/>
    <w:bookmarkEnd w:id="380"/>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7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b w:val="1"/>
          <w:bCs w:val="1"/>
          <w:u w:val="single" w:color="auto"/>
          <w:color w:val="auto"/>
        </w:rPr>
        <w:t>Reliance by the Administrative Agent</w:t>
      </w:r>
      <w:r>
        <w:rPr>
          <w:rFonts w:ascii="Times New Roman" w:cs="Times New Roman" w:eastAsia="Times New Roman" w:hAnsi="Times New Roman"/>
          <w:sz w:val="20"/>
          <w:szCs w:val="20"/>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amendment, renewal, increase or reinstatement of a Letter of Credit, that by its terms must be fulfilled to the satisfaction of a Lender or the Issuing Lender, the Administrative Agent may presume that such condition is satisfactory to such Lender or the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b w:val="1"/>
          <w:bCs w:val="1"/>
          <w:u w:val="single" w:color="auto"/>
          <w:color w:val="auto"/>
        </w:rPr>
        <w:t>Delegation of Duties</w:t>
      </w:r>
      <w:r>
        <w:rPr>
          <w:rFonts w:ascii="Times New Roman" w:cs="Times New Roman" w:eastAsia="Times New Roman" w:hAnsi="Times New Roman"/>
          <w:sz w:val="20"/>
          <w:szCs w:val="20"/>
          <w:color w:val="auto"/>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b w:val="1"/>
          <w:bCs w:val="1"/>
          <w:u w:val="single" w:color="auto"/>
          <w:color w:val="auto"/>
        </w:rPr>
        <w:t>Filing Proofs of Claim</w:t>
      </w:r>
      <w:r>
        <w:rPr>
          <w:rFonts w:ascii="Times New Roman" w:cs="Times New Roman" w:eastAsia="Times New Roman" w:hAnsi="Times New Roman"/>
          <w:sz w:val="20"/>
          <w:szCs w:val="20"/>
          <w:color w:val="auto"/>
        </w:rPr>
        <w:t>. In case of the pendency of any proceedings under any Debtor Relief Law or any other judicial proceeding relating to any Loan Party, the Administrative Agent (irrespective of whether the principal of any Loan shall then be due and payable as herein expressed or by declaration or otherwise and irrespective of whether the Administrative Agent shall have made any demand therefor) shall be entitled and empowered (but not obligated) by intervention in such proceeding or otherwise:</w:t>
      </w:r>
    </w:p>
    <w:p>
      <w:pPr>
        <w:spacing w:after="0" w:line="184" w:lineRule="exact"/>
        <w:rPr>
          <w:sz w:val="20"/>
          <w:szCs w:val="20"/>
          <w:color w:val="auto"/>
        </w:rPr>
      </w:pPr>
    </w:p>
    <w:p>
      <w:pPr>
        <w:jc w:val="both"/>
        <w:ind w:firstLine="1304"/>
        <w:spacing w:after="0" w:line="245" w:lineRule="auto"/>
        <w:tabs>
          <w:tab w:leader="none" w:pos="1944" w:val="left"/>
        </w:tabs>
        <w:numPr>
          <w:ilvl w:val="0"/>
          <w:numId w:val="4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file and prove a claim for the whole amount of the owing and unpaid principal and interest in respect to the Secured Obligations and to file such other documents as may be necessary or advisable in order to have the claims of the Lenders and the Administrative Agent (including any claim for the reasonable compensation, expenses, disbursements and advances of the Lenders, the Issuing Lender and the Administrative Agent and their respective agents and counsel and all other amounts due the Lenders, the Issuing Lender and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11.3</w:t>
      </w:r>
      <w:r>
        <w:rPr>
          <w:rFonts w:ascii="Times New Roman" w:cs="Times New Roman" w:eastAsia="Times New Roman" w:hAnsi="Times New Roman"/>
          <w:sz w:val="20"/>
          <w:szCs w:val="20"/>
          <w:color w:val="auto"/>
        </w:rPr>
        <w:t>) allowed in such proceeding;</w:t>
      </w:r>
    </w:p>
    <w:p>
      <w:pPr>
        <w:spacing w:after="0" w:line="184"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40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collect and receive any monies or other property payable or deliverable on any such claims and to</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distribute the same;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1" w:name="page382"/>
    <w:bookmarkEnd w:id="381"/>
    <w:p>
      <w:pPr>
        <w:jc w:val="both"/>
        <w:ind w:firstLine="1304"/>
        <w:spacing w:after="0" w:line="245" w:lineRule="auto"/>
        <w:tabs>
          <w:tab w:leader="none" w:pos="1944" w:val="left"/>
        </w:tabs>
        <w:numPr>
          <w:ilvl w:val="0"/>
          <w:numId w:val="4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custodian, receiver, assignee, trustee, liquidator, sequestrator or other similar official in any such judicial proceeding is hereby authorized by each Lender and the Issuing Lender to make such payments to the Administrative Agent and, in the event that the Administrative Agent shall consent to the making of such payments directly to the Lenders and the Issuing Lender,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11.3</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19"/>
          <w:szCs w:val="19"/>
          <w:b w:val="1"/>
          <w:bCs w:val="1"/>
          <w:u w:val="single" w:color="auto"/>
          <w:color w:val="auto"/>
        </w:rPr>
        <w:t>Resignation of the Administrative Agent</w:t>
      </w:r>
      <w:r>
        <w:rPr>
          <w:rFonts w:ascii="Times New Roman" w:cs="Times New Roman" w:eastAsia="Times New Roman" w:hAnsi="Times New Roman"/>
          <w:sz w:val="19"/>
          <w:szCs w:val="19"/>
          <w:color w:val="auto"/>
        </w:rPr>
        <w:t>. The Administrative Agent may at any time give notice of its resignation to the Lenders, the Issuing Lender and the Borrower. Upon receipt of any such notice of resignation, the Required Lenders shall have the right, in consultation with the Borrower, to appoint a successor Administrative Agent. If no such successor shall have been so appointed by the Required Lenders and shall have accepted such appointment within thirty</w:t>
      </w:r>
    </w:p>
    <w:p>
      <w:pPr>
        <w:spacing w:after="0" w:line="1" w:lineRule="exact"/>
        <w:rPr>
          <w:sz w:val="20"/>
          <w:szCs w:val="20"/>
          <w:color w:val="auto"/>
        </w:rPr>
      </w:pPr>
    </w:p>
    <w:p>
      <w:pPr>
        <w:jc w:val="both"/>
        <w:ind w:firstLine="8"/>
        <w:spacing w:after="0" w:line="253" w:lineRule="auto"/>
        <w:tabs>
          <w:tab w:leader="none" w:pos="383" w:val="left"/>
        </w:tabs>
        <w:numPr>
          <w:ilvl w:val="0"/>
          <w:numId w:val="4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days after the retiring Administrative Agent gives notice of its resignation (or such earlier date as the Required Lenders may approve), then the retiring Administrative Agent may (but shall not be obligated to) on behalf of the Lenders and the Issuing Lender, appoint a successor Administrative Agent;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the Administrative Agent shall notify the Borrower and the Lenders that no Person has accepted such appointment, then the Administrative Agent’s resignation shall nonetheless become effective in accordance with such notice and (i) the retiring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Administrative Agent shall continue to hold such collateral security until such time as a successor Administrative Agent is appointed) and (ii) except for any indemnity payments owed to the retiring Administrative Agent, all payments, communications and determinations provided to be made by, to or through the Administrative Agent shall instead be made by or to each Lender and the Issuing Lender directly, until such time as the Required Lenders appoint a successor Administrative Agent as provided for above in this </w:t>
      </w:r>
      <w:r>
        <w:rPr>
          <w:rFonts w:ascii="Times New Roman" w:cs="Times New Roman" w:eastAsia="Times New Roman" w:hAnsi="Times New Roman"/>
          <w:sz w:val="19"/>
          <w:szCs w:val="19"/>
          <w:u w:val="single" w:color="auto"/>
          <w:color w:val="auto"/>
        </w:rPr>
        <w:t>Section 10.8</w:t>
      </w:r>
      <w:r>
        <w:rPr>
          <w:rFonts w:ascii="Times New Roman" w:cs="Times New Roman" w:eastAsia="Times New Roman" w:hAnsi="Times New Roman"/>
          <w:sz w:val="19"/>
          <w:szCs w:val="19"/>
          <w:color w:val="auto"/>
        </w:rPr>
        <w:t xml:space="preserve">. Upon the acceptance of a successor’s appointment as Administrative Agent hereunder, such successor shall succeed to and become vested with all of the rights, powers, privileges and duties of the retiring (or retired) Administrative Agent (other than any rights to indemnity payments owed to the retiring Administrative Agent), and the retiring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Administrative Agent’s resignation hereunder and under the other Loan Documents, the provisions of this </w:t>
      </w:r>
      <w:r>
        <w:rPr>
          <w:rFonts w:ascii="Times New Roman" w:cs="Times New Roman" w:eastAsia="Times New Roman" w:hAnsi="Times New Roman"/>
          <w:sz w:val="19"/>
          <w:szCs w:val="19"/>
          <w:u w:val="single" w:color="auto"/>
          <w:color w:val="auto"/>
        </w:rPr>
        <w:t>Article X</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Section 11.3</w:t>
      </w:r>
      <w:r>
        <w:rPr>
          <w:rFonts w:ascii="Times New Roman" w:cs="Times New Roman" w:eastAsia="Times New Roman" w:hAnsi="Times New Roman"/>
          <w:sz w:val="19"/>
          <w:szCs w:val="19"/>
          <w:color w:val="auto"/>
        </w:rPr>
        <w:t xml:space="preserve">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spacing w:after="0" w:line="17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Any resignation by CoBank as Administrative Agent pursuant to this Section shall also automatically constitute its resignation as the Issuing Lender and the Swing Line Lender, with replacement of the Administrative Agent as Issuing Lender and Swing Line Lender conducted in accordance with </w:t>
      </w:r>
      <w:r>
        <w:rPr>
          <w:rFonts w:ascii="Times New Roman" w:cs="Times New Roman" w:eastAsia="Times New Roman" w:hAnsi="Times New Roman"/>
          <w:sz w:val="20"/>
          <w:szCs w:val="20"/>
          <w:u w:val="single" w:color="auto"/>
          <w:color w:val="auto"/>
        </w:rPr>
        <w:t>Section 10.9</w:t>
      </w:r>
      <w:r>
        <w:rPr>
          <w:rFonts w:ascii="Times New Roman" w:cs="Times New Roman" w:eastAsia="Times New Roman" w:hAnsi="Times New Roman"/>
          <w:sz w:val="20"/>
          <w:szCs w:val="20"/>
          <w:color w:val="auto"/>
        </w:rPr>
        <w:t xml:space="preserve"> below.</w:t>
      </w:r>
    </w:p>
    <w:p>
      <w:pPr>
        <w:spacing w:after="0" w:line="17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b w:val="1"/>
          <w:bCs w:val="1"/>
          <w:u w:val="single" w:color="auto"/>
          <w:color w:val="auto"/>
        </w:rPr>
        <w:t>Resignation of Swing Line Lender or Issuing Lender</w:t>
      </w:r>
      <w:r>
        <w:rPr>
          <w:rFonts w:ascii="Times New Roman" w:cs="Times New Roman" w:eastAsia="Times New Roman" w:hAnsi="Times New Roman"/>
          <w:sz w:val="20"/>
          <w:szCs w:val="20"/>
          <w:color w:val="auto"/>
        </w:rPr>
        <w:t>. The Swing Line Lender or the Issuing Lender may at any time give notice of its resignation to the Lenders, the Administrative Agent and the Borrower. Upon receipt of any such notice of resignation, the Required Lenders shall have the right, with approval from the Borrower (so long as no Event of Default has occurred and is continuing) to appoint a successor Swing Line Lender or Issuing Lender, such approval not to be unreasonably withheld or delayed. If no such successor shall have been so appointed by the Required Lenders and shall have accepted such appointment within thirty (30) days after the retiring Swing Line Lender or Issuing Lender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2" w:name="page383"/>
    <w:bookmarkEnd w:id="382"/>
    <w:p>
      <w:pPr>
        <w:jc w:val="both"/>
        <w:spacing w:after="0"/>
        <w:rPr>
          <w:sz w:val="20"/>
          <w:szCs w:val="20"/>
          <w:color w:val="auto"/>
        </w:rPr>
      </w:pPr>
      <w:r>
        <w:rPr>
          <w:rFonts w:ascii="Times New Roman" w:cs="Times New Roman" w:eastAsia="Times New Roman" w:hAnsi="Times New Roman"/>
          <w:sz w:val="20"/>
          <w:szCs w:val="20"/>
          <w:color w:val="auto"/>
        </w:rPr>
        <w:t xml:space="preserve">applicable) gives notice of its resignation, then the Administrative Agent may on behalf of the Lenders, appoint a successor Swing Line Lender or Issuing Lender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Administrative Agent shall notify the Borrower and the Lenders that no qualifying Person has accepted such appointment, then such resignation shall nonetheless become effective in accordance with such notice and the retiring Swing Line Lender or Issuing Lender (as applicable) shall be discharged from its duties and obligations hereunder and under the other Loan Documents (except that in the case of any collateral security held by the retiring Swing Line Lender or Issuing Lender (as applicable) on behalf of the Lenders or the Swing Line Lender or Issuing Lender under any of the Loan Documents, the retiring Swing Line Lender or Issuing Lender (as applicable) shall continue to hold such collateral security until such time as a successor Swing Line Lender or Issuing Lender (as applicable) is appointed). Upon the acceptance of a successor’s appointment as a Swing Line Lender or Issuing Lender (as applicable) hereunder, such successor shall succeed to and become vested with all of the rights, powers, privileges and duties of the retiring (or retired) Swing Line Lender or Issuing Lender (as applicable), and the retiring Swing Line Lender or Issuing Lender (as applicable) shall be discharged from all of its duties and obligations hereunder or under the other Loan Documents (if not already discharged therefrom as provided above in this Section). The fees payable by the Borrower to a successor Swing Line Lender or Issuing Lender (as applicable) shall be the same as those payable to its predecessor unless otherwise agreed between the Borrower and such successor. After the retiring Swing Line Lender’s or Issuing Lender’s (as applicable) resignation hereunder and under the other Loan Documents as a Swing Line Lender or Issuing Lender, as applicable, the provisions of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if the Administrative Agent is the resigning Issuing Lender and Swing Line Lender) shall continue in effect for the benefit of such retiring Swing Line Lender or Issuing Lender (as applicable), its sub-agents and their respective Related Parties in respect of any actions taken or omitted to be taken by any of them while the retiring Swing Line Lender or Issuing Lender (as applicable) was acting as the Swing Line Lender or Issuing Lender (as applicable).</w:t>
      </w:r>
    </w:p>
    <w:p>
      <w:pPr>
        <w:spacing w:after="0" w:line="20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In addition to the foregoing requirements, upon the acceptance of a successor’s appointment as Issuing Lender hereunder, the successor Issuing Lender shall issue letters of credit in substitution for the Letters of Credit issued by the retiring Issuing Lender, if any, outstanding at the time of such succession or make other arrangements satisfactory to the retiring Issuing Lender to effectively assume the obligations of the retiring Issuing Lender with respect to such Letters of Credit.</w:t>
      </w:r>
    </w:p>
    <w:p>
      <w:pPr>
        <w:spacing w:after="0" w:line="18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10.10 </w:t>
      </w:r>
      <w:r>
        <w:rPr>
          <w:rFonts w:ascii="Times New Roman" w:cs="Times New Roman" w:eastAsia="Times New Roman" w:hAnsi="Times New Roman"/>
          <w:sz w:val="20"/>
          <w:szCs w:val="20"/>
          <w:b w:val="1"/>
          <w:bCs w:val="1"/>
          <w:u w:val="single" w:color="auto"/>
          <w:color w:val="auto"/>
        </w:rPr>
        <w:t>Non-Reliance on the Administrative Agent and Other Lenders</w:t>
      </w:r>
      <w:r>
        <w:rPr>
          <w:rFonts w:ascii="Times New Roman" w:cs="Times New Roman" w:eastAsia="Times New Roman" w:hAnsi="Times New Roman"/>
          <w:sz w:val="20"/>
          <w:szCs w:val="20"/>
          <w:color w:val="auto"/>
        </w:rPr>
        <w:t>. Each Lender and the Issuing Lender expressly acknowledges that neither the Administrative Agent nor the Arranger has made any representation or warranty to it, and that no act by the Administrative Agent or the Arranger hereafter taken, including any consent to, and acceptance of any assignment or review of the affairs of any Loan Party of any Affiliate thereof, shall be deemed to constitute any representation or warranty by the Administrative Agent or the Arranger to any Lender or the Issuing Lender as to any matter, including whether the Administrative Agent or the Arranger have disclosed material information in their (or their Related Parties’) possession. Each Lender and the Issuing Lender represents to the Administrative Agent and the Arranger that it has, independently and without reliance upon the Administrative Agent, the 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 hereunder. Each Lender and the Issuing Lender also acknowledges that it will, independently and without reliance upon the Administrative Agent, the 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3" w:name="page384"/>
    <w:bookmarkEnd w:id="383"/>
    <w:p>
      <w:pPr>
        <w:jc w:val="both"/>
        <w:spacing w:after="0" w:line="242" w:lineRule="auto"/>
        <w:rPr>
          <w:sz w:val="20"/>
          <w:szCs w:val="20"/>
          <w:color w:val="auto"/>
        </w:rPr>
      </w:pPr>
      <w:r>
        <w:rPr>
          <w:rFonts w:ascii="Times New Roman" w:cs="Times New Roman" w:eastAsia="Times New Roman" w:hAnsi="Times New Roman"/>
          <w:sz w:val="20"/>
          <w:szCs w:val="20"/>
          <w:color w:val="auto"/>
        </w:rPr>
        <w:t>business, prospects, operations, property, financial and other condition and creditworthiness of the Loan Parties. Each Lender and the Issuing Lender represents and warrants that (i) the Loan Documents set forth the terms of a commercial lending facility and (ii) it is engaged in making, acquiring or holding commercial loans in the ordinary course and is entering into this Agreement as a Lender or the Issuing Lender for the purpose of making, acquiring or holding commercial loans and providing other facilities set forth herein as may be applicable to such Lender or the Issuing Lender, and not for the purpose of purchasing, acquiring or holding any other type of financial instrument, and each Lender and the Issuing Lender agrees not to assert a claim in contravention of the foregoing. Each Lender and the Issuing Lender represents and warrants that it is sophisticated with respect to decisions to make, acquire and/or hold commercial loans and to provide other facilities set forth herein, as may be applicable to such Lender or the Issuing Lender,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b w:val="1"/>
          <w:bCs w:val="1"/>
          <w:u w:val="single" w:color="auto"/>
          <w:color w:val="auto"/>
        </w:rPr>
        <w:t>Enforcement</w:t>
      </w:r>
      <w:r>
        <w:rPr>
          <w:rFonts w:ascii="Times New Roman" w:cs="Times New Roman" w:eastAsia="Times New Roman" w:hAnsi="Times New Roman"/>
          <w:sz w:val="20"/>
          <w:szCs w:val="20"/>
          <w:color w:val="auto"/>
        </w:rPr>
        <w:t xml:space="preserve">. By its acceptance of the benefits of this Agreement and the other Loan Documents, each Secured Party agrees that (a) the Loan Documents may be enforced only by the Administrative Agent,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11.2</w:t>
      </w:r>
      <w:r>
        <w:rPr>
          <w:rFonts w:ascii="Times New Roman" w:cs="Times New Roman" w:eastAsia="Times New Roman" w:hAnsi="Times New Roman"/>
          <w:sz w:val="20"/>
          <w:szCs w:val="20"/>
          <w:color w:val="auto"/>
        </w:rPr>
        <w:t>, (b) no Secured Party shall have any right individually to enforce or seek to enforce this Agreement or the other Loan Documents or to realize upon any Collateral or other security given to secure the payment and performance of the Obligations and (c) no Secured Party has any right to notice of any action or to consent to, direct or object to any action hereunder or under any other Loan Document or otherwise in respect of the Collateral (including the release or impairment of any Collateral) other than in its capacity as a Lender or the Issuing Lender and, in such case, only to the extent expressly provided in the Loan Documents.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b w:val="1"/>
          <w:bCs w:val="1"/>
          <w:u w:val="single" w:color="auto"/>
          <w:color w:val="auto"/>
        </w:rPr>
        <w:t>No Other Duties, Etc.</w:t>
      </w:r>
      <w:r>
        <w:rPr>
          <w:rFonts w:ascii="Times New Roman" w:cs="Times New Roman" w:eastAsia="Times New Roman" w:hAnsi="Times New Roman"/>
          <w:sz w:val="20"/>
          <w:szCs w:val="20"/>
          <w:color w:val="auto"/>
        </w:rPr>
        <w:t xml:space="preserve"> Anything herein to the contrary notwithstanding, the Arranger shall not have any powers, duties or responsibilities under this Agreement or any of the other Loan Documents, except in its capacity, as applicable, as the Administrative Agent, a Lender, the Swing Line Lender or the Issuing Lender hereunder.</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10.13</w:t>
      </w:r>
      <w:r>
        <w:rPr>
          <w:sz w:val="20"/>
          <w:szCs w:val="20"/>
          <w:color w:val="auto"/>
        </w:rPr>
        <w:tab/>
      </w:r>
      <w:r>
        <w:rPr>
          <w:rFonts w:ascii="Times New Roman" w:cs="Times New Roman" w:eastAsia="Times New Roman" w:hAnsi="Times New Roman"/>
          <w:sz w:val="19"/>
          <w:szCs w:val="19"/>
          <w:b w:val="1"/>
          <w:bCs w:val="1"/>
          <w:u w:val="single" w:color="auto"/>
          <w:color w:val="auto"/>
        </w:rPr>
        <w:t>Authorization to Release Collateral and Loan Parties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20"/>
          <w:szCs w:val="20"/>
          <w:color w:val="auto"/>
        </w:rPr>
        <w:t>The Secured Parties irrevocably authorize the Administrative Agent, at its option and in its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discretion,</w:t>
      </w:r>
    </w:p>
    <w:p>
      <w:pPr>
        <w:spacing w:after="0" w:line="194" w:lineRule="exact"/>
        <w:rPr>
          <w:sz w:val="20"/>
          <w:szCs w:val="20"/>
          <w:color w:val="auto"/>
        </w:rPr>
      </w:pPr>
    </w:p>
    <w:p>
      <w:pPr>
        <w:jc w:val="both"/>
        <w:ind w:firstLine="1952"/>
        <w:spacing w:after="0" w:line="246" w:lineRule="auto"/>
        <w:tabs>
          <w:tab w:leader="none" w:pos="2592"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release any Lien on any property granted to or held by the Administrative Agent under any Loan Document (x) upon Payment In Full of all Secured Obligations, (y) that is Disposed of or to be Disposed of as part of or in connection with any sale or other disposition permitted under the Loan Documents to a Person that is not, and is not required to become, a Loan Party, or (z) subject to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if approved, authorized or ratified in writing by the Required Lenders;</w:t>
      </w:r>
    </w:p>
    <w:p>
      <w:pPr>
        <w:spacing w:after="0" w:line="18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subordinate any Lien on any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 7.1(h)</w:t>
      </w:r>
      <w:r>
        <w:rPr>
          <w:rFonts w:ascii="Times New Roman" w:cs="Times New Roman" w:eastAsia="Times New Roman" w:hAnsi="Times New Roman"/>
          <w:sz w:val="20"/>
          <w:szCs w:val="20"/>
          <w:color w:val="auto"/>
        </w:rPr>
        <w:t>; and</w:t>
      </w:r>
    </w:p>
    <w:p>
      <w:pPr>
        <w:spacing w:after="0" w:line="159" w:lineRule="exact"/>
        <w:rPr>
          <w:rFonts w:ascii="Times New Roman" w:cs="Times New Roman" w:eastAsia="Times New Roman" w:hAnsi="Times New Roman"/>
          <w:sz w:val="20"/>
          <w:szCs w:val="20"/>
          <w:color w:val="auto"/>
        </w:rPr>
      </w:pPr>
    </w:p>
    <w:p>
      <w:pPr>
        <w:jc w:val="both"/>
        <w:ind w:firstLine="1952"/>
        <w:spacing w:after="0" w:line="254" w:lineRule="auto"/>
        <w:tabs>
          <w:tab w:leader="none" w:pos="2592" w:val="left"/>
        </w:tabs>
        <w:numPr>
          <w:ilvl w:val="0"/>
          <w:numId w:val="4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release any Guarantor from its obligations under the Loan Documents if such Person ceases to be a Subsidiary or is designated an Unrestricted Subsidiary as a result of a transaction permitted under the Loan Documents.</w:t>
      </w:r>
    </w:p>
    <w:p>
      <w:pPr>
        <w:spacing w:after="0" w:line="17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Upon request by the Administrative Agent at any time, the Required Lenders will confirm in writing the Administrative Agent’s authority to release or subordinate its interest in particular types or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20"/>
          <w:szCs w:val="20"/>
          <w:color w:val="auto"/>
        </w:rPr>
        <w:t xml:space="preserve">of property, or to release any Guarantor from its obligations under the Loan Documents pursuant to this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304"/>
        <w:spacing w:after="0" w:line="246" w:lineRule="auto"/>
        <w:tabs>
          <w:tab w:leader="none" w:pos="1944" w:val="left"/>
        </w:tabs>
        <w:numPr>
          <w:ilvl w:val="0"/>
          <w:numId w:val="4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b w:val="1"/>
          <w:bCs w:val="1"/>
          <w:u w:val="single" w:color="auto"/>
          <w:color w:val="auto"/>
        </w:rPr>
        <w:t>Compliance with Flood Laws</w:t>
      </w:r>
      <w:r>
        <w:rPr>
          <w:rFonts w:ascii="Times New Roman" w:cs="Times New Roman" w:eastAsia="Times New Roman" w:hAnsi="Times New Roman"/>
          <w:sz w:val="20"/>
          <w:szCs w:val="20"/>
          <w:color w:val="auto"/>
        </w:rPr>
        <w:t>. CoBank has adopted internal policies and procedures that address requirements placed on federally regulated lenders under the Flood Laws. CoBank, as administrative agent or collateral agent on a syndicated facility, will post on the applicable electronic platform (or otherwise distribute to each lender in the syndicate) documents that it receives in connection with the Flood Laws. However, CoBank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17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b w:val="1"/>
          <w:bCs w:val="1"/>
          <w:u w:val="single" w:color="auto"/>
          <w:color w:val="auto"/>
        </w:rPr>
        <w:t>No Reliance on the Administrative Agent’s Customer Identification Program</w:t>
      </w:r>
      <w:r>
        <w:rPr>
          <w:rFonts w:ascii="Times New Roman" w:cs="Times New Roman" w:eastAsia="Times New Roman" w:hAnsi="Times New Roman"/>
          <w:sz w:val="20"/>
          <w:szCs w:val="20"/>
          <w:color w:val="auto"/>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 w:cs="Times New Roman" w:eastAsia="Times New Roman" w:hAnsi="Times New Roman"/>
          <w:sz w:val="20"/>
          <w:szCs w:val="20"/>
          <w:b w:val="1"/>
          <w:bCs w:val="1"/>
          <w:color w:val="auto"/>
        </w:rPr>
        <w:t>CIP Regulations</w:t>
      </w:r>
      <w:r>
        <w:rPr>
          <w:rFonts w:ascii="Times New Roman" w:cs="Times New Roman" w:eastAsia="Times New Roman" w:hAnsi="Times New Roman"/>
          <w:sz w:val="20"/>
          <w:szCs w:val="20"/>
          <w:color w:val="auto"/>
        </w:rPr>
        <w:t>”), or any other Anti-Terrorism Law, Anti- Corruption Law or Sanctions, including any programs involving any of the following items relating to or in connection with any of the Loan Parties, their Affiliates or their agents, the Loan Documents or the transactions hereunder or contemplated hereby: (a) any identity verification procedures, (b) any recordkeeping, (c) comparisons with government lists, (d) customer notices or (e) other procedures required under the CIP Regulations or such other Laws.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b w:val="1"/>
          <w:bCs w:val="1"/>
          <w:u w:val="single" w:color="auto"/>
          <w:color w:val="auto"/>
        </w:rPr>
        <w:t>Affiliates as Secured Parties</w:t>
      </w:r>
      <w:r>
        <w:rPr>
          <w:rFonts w:ascii="Times New Roman" w:cs="Times New Roman" w:eastAsia="Times New Roman" w:hAnsi="Times New Roman"/>
          <w:sz w:val="20"/>
          <w:szCs w:val="20"/>
          <w:color w:val="auto"/>
        </w:rPr>
        <w:t xml:space="preserve">. To the extent any Affiliate of a Lender is a party to a Secured Hedge or a Secured Bank Product and thereby becomes a beneficiary of the Liens pursuant to any Collateral Document for so long as such Lender remains a Lender, such Affiliate of a Lender shall be a Secured Party and shall be deemed to appoint the Administrative Agent its nominee and agent to act for and on behalf of such Affiliate in connection with such Collateral Document and to be bound by the terms of this </w:t>
      </w:r>
      <w:r>
        <w:rPr>
          <w:rFonts w:ascii="Times New Roman" w:cs="Times New Roman" w:eastAsia="Times New Roman" w:hAnsi="Times New Roman"/>
          <w:sz w:val="20"/>
          <w:szCs w:val="20"/>
          <w:u w:val="single" w:color="auto"/>
          <w:color w:val="auto"/>
        </w:rPr>
        <w:t>Article X</w:t>
      </w:r>
      <w:r>
        <w:rPr>
          <w:rFonts w:ascii="Times New Roman" w:cs="Times New Roman" w:eastAsia="Times New Roman" w:hAnsi="Times New Roman"/>
          <w:sz w:val="20"/>
          <w:szCs w:val="20"/>
          <w:color w:val="auto"/>
        </w:rPr>
        <w:t xml:space="preserve"> and the other provisions of this Agreement.</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10.17</w:t>
      </w:r>
      <w:r>
        <w:rPr>
          <w:sz w:val="20"/>
          <w:szCs w:val="20"/>
          <w:color w:val="auto"/>
        </w:rPr>
        <w:tab/>
      </w:r>
      <w:r>
        <w:rPr>
          <w:rFonts w:ascii="Times New Roman" w:cs="Times New Roman" w:eastAsia="Times New Roman" w:hAnsi="Times New Roman"/>
          <w:sz w:val="19"/>
          <w:szCs w:val="19"/>
          <w:b w:val="1"/>
          <w:bCs w:val="1"/>
          <w:u w:val="single" w:color="auto"/>
          <w:color w:val="auto"/>
        </w:rPr>
        <w:t>Certain ERISA Matters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6" w:lineRule="auto"/>
        <w:tabs>
          <w:tab w:leader="none" w:pos="1944" w:val="left"/>
        </w:tabs>
        <w:numPr>
          <w:ilvl w:val="0"/>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 at least one of the following is and will be true:</w:t>
      </w:r>
    </w:p>
    <w:p>
      <w:pPr>
        <w:spacing w:after="0" w:line="184" w:lineRule="exact"/>
        <w:rPr>
          <w:rFonts w:ascii="Times New Roman" w:cs="Times New Roman" w:eastAsia="Times New Roman" w:hAnsi="Times New Roman"/>
          <w:sz w:val="20"/>
          <w:szCs w:val="20"/>
          <w:color w:val="auto"/>
        </w:rPr>
      </w:pPr>
    </w:p>
    <w:p>
      <w:pPr>
        <w:jc w:val="both"/>
        <w:ind w:right="20" w:firstLine="1952"/>
        <w:spacing w:after="0" w:line="254" w:lineRule="auto"/>
        <w:tabs>
          <w:tab w:leader="none" w:pos="2592" w:val="left"/>
        </w:tabs>
        <w:numPr>
          <w:ilvl w:val="1"/>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74"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4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transaction exemption set forth in one or more PTEs, such as PTE 84- 14 (a class exemption for certain transactions determined by independent qualified professional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5" w:name="page386"/>
    <w:bookmarkEnd w:id="385"/>
    <w:p>
      <w:pPr>
        <w:jc w:val="both"/>
        <w:spacing w:after="0" w:line="262" w:lineRule="auto"/>
        <w:rPr>
          <w:sz w:val="20"/>
          <w:szCs w:val="20"/>
          <w:color w:val="auto"/>
        </w:rPr>
      </w:pPr>
      <w:r>
        <w:rPr>
          <w:rFonts w:ascii="Times New Roman" w:cs="Times New Roman" w:eastAsia="Times New Roman" w:hAnsi="Times New Roman"/>
          <w:sz w:val="19"/>
          <w:szCs w:val="19"/>
          <w:color w:val="auto"/>
        </w:rPr>
        <w:t>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70" w:lineRule="exact"/>
        <w:rPr>
          <w:sz w:val="20"/>
          <w:szCs w:val="20"/>
          <w:color w:val="auto"/>
        </w:rPr>
      </w:pPr>
    </w:p>
    <w:p>
      <w:pPr>
        <w:jc w:val="both"/>
        <w:ind w:firstLine="1952"/>
        <w:spacing w:after="0" w:line="256" w:lineRule="auto"/>
        <w:tabs>
          <w:tab w:leader="none" w:pos="2592" w:val="left"/>
        </w:tabs>
        <w:numPr>
          <w:ilvl w:val="1"/>
          <w:numId w:val="4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w:t>
      </w:r>
    </w:p>
    <w:p>
      <w:pPr>
        <w:spacing w:after="0" w:line="4" w:lineRule="exact"/>
        <w:rPr>
          <w:rFonts w:ascii="Times New Roman" w:cs="Times New Roman" w:eastAsia="Times New Roman" w:hAnsi="Times New Roman"/>
          <w:sz w:val="19"/>
          <w:szCs w:val="19"/>
          <w:color w:val="auto"/>
        </w:rPr>
      </w:pPr>
    </w:p>
    <w:p>
      <w:pPr>
        <w:jc w:val="both"/>
        <w:ind w:firstLine="8"/>
        <w:spacing w:after="0" w:line="242" w:lineRule="auto"/>
        <w:tabs>
          <w:tab w:leader="none" w:pos="283" w:val="left"/>
        </w:tabs>
        <w:numPr>
          <w:ilvl w:val="0"/>
          <w:numId w:val="4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7" w:lineRule="exact"/>
        <w:rPr>
          <w:sz w:val="20"/>
          <w:szCs w:val="20"/>
          <w:color w:val="auto"/>
        </w:rPr>
      </w:pPr>
    </w:p>
    <w:p>
      <w:pPr>
        <w:ind w:firstLine="1952"/>
        <w:spacing w:after="0" w:line="269" w:lineRule="auto"/>
        <w:tabs>
          <w:tab w:leader="none" w:pos="2592" w:val="left"/>
        </w:tabs>
        <w:numPr>
          <w:ilvl w:val="1"/>
          <w:numId w:val="4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59"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4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addition, unless either (1) </w:t>
      </w:r>
      <w:r>
        <w:rPr>
          <w:rFonts w:ascii="Times New Roman" w:cs="Times New Roman" w:eastAsia="Times New Roman" w:hAnsi="Times New Roman"/>
          <w:sz w:val="20"/>
          <w:szCs w:val="20"/>
          <w:u w:val="single" w:color="auto"/>
          <w:color w:val="auto"/>
        </w:rPr>
        <w:t>Section 10.17(a)(i)</w:t>
      </w:r>
      <w:r>
        <w:rPr>
          <w:rFonts w:ascii="Times New Roman" w:cs="Times New Roman" w:eastAsia="Times New Roman" w:hAnsi="Times New Roman"/>
          <w:sz w:val="20"/>
          <w:szCs w:val="20"/>
          <w:color w:val="auto"/>
        </w:rPr>
        <w:t xml:space="preserve"> is true with respect to a Lender or (2) a Lender has provided another representation, warranty and covenant as provided in </w:t>
      </w:r>
      <w:r>
        <w:rPr>
          <w:rFonts w:ascii="Times New Roman" w:cs="Times New Roman" w:eastAsia="Times New Roman" w:hAnsi="Times New Roman"/>
          <w:sz w:val="20"/>
          <w:szCs w:val="20"/>
          <w:u w:val="single" w:color="auto"/>
          <w:color w:val="auto"/>
        </w:rPr>
        <w:t>Section 10.17(a)(iv)</w:t>
      </w:r>
      <w:r>
        <w:rPr>
          <w:rFonts w:ascii="Times New Roman" w:cs="Times New Roman" w:eastAsia="Times New Roman" w:hAnsi="Times New Roman"/>
          <w:sz w:val="20"/>
          <w:szCs w:val="20"/>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 the Administrative Agent, the Arranger, and their respective Affiliates, are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18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10.18 </w:t>
      </w:r>
      <w:r>
        <w:rPr>
          <w:rFonts w:ascii="Times New Roman" w:cs="Times New Roman" w:eastAsia="Times New Roman" w:hAnsi="Times New Roman"/>
          <w:sz w:val="20"/>
          <w:szCs w:val="20"/>
          <w:b w:val="1"/>
          <w:bCs w:val="1"/>
          <w:u w:val="single" w:color="auto"/>
          <w:color w:val="auto"/>
        </w:rPr>
        <w:t>Rate Disclaimer</w:t>
      </w:r>
      <w:r>
        <w:rPr>
          <w:rFonts w:ascii="Times New Roman" w:cs="Times New Roman" w:eastAsia="Times New Roman" w:hAnsi="Times New Roman"/>
          <w:sz w:val="20"/>
          <w:szCs w:val="20"/>
          <w:color w:val="auto"/>
        </w:rPr>
        <w:t>. The Administrative Agent does not warrant or accept responsibility for, and each of the parties to this Agreement hereby acknowledge and agree (for the benefit of the Administrative Agent) that the Administrative Agent shall not have any liability with respect to (a) the continuation of, administration of, submission of, calculation of or any other matter related to the Alternate Base Rate, any Benchmark,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Alternate Base Rate, any initial Benchmark or any other Benchmark or Benchmark Replacement prior to its discontinuance or unavailability, or (b) the effect, implementation or composition of any Benchmark Replacement Conforming Changes. The Administrative Agent and its affiliates or other related entities may engage in transactions that affect the calculation of the Alternate Base Rate, or any Benchmark,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Alternate Base Rate, any initial Benchmark or any other Benchmark or Benchmark Replacement,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6" w:name="page387"/>
    <w:bookmarkEnd w:id="386"/>
    <w:p>
      <w:pPr>
        <w:jc w:val="both"/>
        <w:spacing w:after="0" w:line="268" w:lineRule="auto"/>
        <w:rPr>
          <w:sz w:val="20"/>
          <w:szCs w:val="20"/>
          <w:color w:val="auto"/>
        </w:rPr>
      </w:pPr>
      <w:r>
        <w:rPr>
          <w:rFonts w:ascii="Times New Roman" w:cs="Times New Roman" w:eastAsia="Times New Roman" w:hAnsi="Times New Roman"/>
          <w:sz w:val="20"/>
          <w:szCs w:val="20"/>
          <w:color w:val="auto"/>
        </w:rPr>
        <w:t>otherwise and whether at law or in equity), for any error or calculation of any such rate (or component thereof) provided by any such information source or service.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XI.  MISCELLANEOUS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 xml:space="preserve">11.1 </w:t>
      </w:r>
      <w:r>
        <w:rPr>
          <w:rFonts w:ascii="Times New Roman" w:cs="Times New Roman" w:eastAsia="Times New Roman" w:hAnsi="Times New Roman"/>
          <w:sz w:val="19"/>
          <w:szCs w:val="19"/>
          <w:b w:val="1"/>
          <w:bCs w:val="1"/>
          <w:u w:val="single" w:color="auto"/>
          <w:color w:val="auto"/>
        </w:rPr>
        <w:t>Modifications, Amendments or Waivers</w:t>
      </w:r>
      <w:r>
        <w:rPr>
          <w:rFonts w:ascii="Times New Roman" w:cs="Times New Roman" w:eastAsia="Times New Roman" w:hAnsi="Times New Roman"/>
          <w:sz w:val="19"/>
          <w:szCs w:val="19"/>
          <w:color w:val="auto"/>
        </w:rPr>
        <w:t xml:space="preserve">. With the written consent of the Required Lenders, the Administrative Agent, acting on behalf of all the Lenders, and the Borrower, on behalf of itself and the other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that no such agreement, waiver or consent may be made that will:</w:t>
      </w:r>
    </w:p>
    <w:p>
      <w:pPr>
        <w:spacing w:after="0" w:line="171" w:lineRule="exact"/>
        <w:rPr>
          <w:sz w:val="20"/>
          <w:szCs w:val="20"/>
          <w:color w:val="auto"/>
        </w:rPr>
      </w:pPr>
    </w:p>
    <w:p>
      <w:pPr>
        <w:jc w:val="both"/>
        <w:ind w:firstLine="1304"/>
        <w:spacing w:after="0" w:line="246" w:lineRule="auto"/>
        <w:tabs>
          <w:tab w:leader="none" w:pos="1944"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extend or increase the Commitment of any Lender (or reinstate any obligation to make Loans terminated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without the written consent of such Lender whose Commitment is being extended or increased (it being understood and agreed that a waiver of any condition precedent set forth in </w:t>
      </w:r>
      <w:r>
        <w:rPr>
          <w:rFonts w:ascii="Times New Roman" w:cs="Times New Roman" w:eastAsia="Times New Roman" w:hAnsi="Times New Roman"/>
          <w:sz w:val="20"/>
          <w:szCs w:val="20"/>
          <w:u w:val="single" w:color="auto"/>
          <w:color w:val="auto"/>
        </w:rPr>
        <w:t>Article IV</w:t>
      </w:r>
      <w:r>
        <w:rPr>
          <w:rFonts w:ascii="Times New Roman" w:cs="Times New Roman" w:eastAsia="Times New Roman" w:hAnsi="Times New Roman"/>
          <w:sz w:val="20"/>
          <w:szCs w:val="20"/>
          <w:color w:val="auto"/>
        </w:rPr>
        <w:t xml:space="preserve"> or of any Default, Event of Default, mandatory prepayment or a mandatory reduction in Commitments is not considered an extension or increase in Commitments of any Lender);</w:t>
      </w:r>
    </w:p>
    <w:p>
      <w:pPr>
        <w:spacing w:after="0" w:line="184" w:lineRule="exact"/>
        <w:rPr>
          <w:rFonts w:ascii="Times New Roman" w:cs="Times New Roman" w:eastAsia="Times New Roman" w:hAnsi="Times New Roman"/>
          <w:sz w:val="20"/>
          <w:szCs w:val="20"/>
          <w:color w:val="auto"/>
        </w:rPr>
      </w:pPr>
    </w:p>
    <w:p>
      <w:pPr>
        <w:jc w:val="both"/>
        <w:ind w:firstLine="1304"/>
        <w:spacing w:after="0" w:line="244" w:lineRule="auto"/>
        <w:tabs>
          <w:tab w:leader="none" w:pos="1944"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postpone any date fixed by this Agreement or any other Loan Document for any payment (including mandatory prepayment of Overadvances but excluding other mandatory prepayments of principal, interest, fees or other amounts due to the Lenders (or any of them) or any scheduled or mandatory reduction of the Commitments hereunder or under any other Loan Document) without the written consent of each Lender entitled to receive such payment or whose Commitments are to be reduced, it being understood that the waiver of any mandatory prepayment of Loans (or any definition relating thereto), other than a mandatory prepayment of Overadvances, shall not constitute a postponement of any date scheduled for the payment of principal or interest;</w:t>
      </w:r>
    </w:p>
    <w:p>
      <w:pPr>
        <w:spacing w:after="0" w:line="185"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reduce the principal of, or the rate of interest specified herein on, any Loan or Letter of Credit Borrowing or any fees or other amounts payable hereunder or under any other Loan Document, or change the manner of computation of any financial ratio (including the applicable defined terms) used in determining the Applicable Margin in a manner that would result in a reduction of any interest rate on any Loan or any fee payable hereunder without the written consent of each Lender directly affected thereby;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only the consent of the Required Lenders shall be necessary (i) to amend the definition of “Default Rate” or to waive any obligation of the Borrower to pay interest or Letter of Credit Fees at the Default Rate or (ii) to amend any financial covenant hereunder (or any defined term used therein) even if the effect of such amendment would be to reduce the rate of interest on any Loan or to reduce any fee payable hereunder;</w:t>
      </w:r>
    </w:p>
    <w:p>
      <w:pPr>
        <w:spacing w:after="0" w:line="189" w:lineRule="exact"/>
        <w:rPr>
          <w:rFonts w:ascii="Times New Roman" w:cs="Times New Roman" w:eastAsia="Times New Roman" w:hAnsi="Times New Roman"/>
          <w:sz w:val="20"/>
          <w:szCs w:val="20"/>
          <w:color w:val="auto"/>
        </w:rPr>
      </w:pPr>
    </w:p>
    <w:p>
      <w:pPr>
        <w:ind w:right="20" w:firstLine="1304"/>
        <w:spacing w:after="0" w:line="269" w:lineRule="auto"/>
        <w:tabs>
          <w:tab w:leader="none" w:pos="1944"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9.2(d)</w:t>
      </w:r>
      <w:r>
        <w:rPr>
          <w:rFonts w:ascii="Times New Roman" w:cs="Times New Roman" w:eastAsia="Times New Roman" w:hAnsi="Times New Roman"/>
          <w:sz w:val="20"/>
          <w:szCs w:val="20"/>
          <w:color w:val="auto"/>
        </w:rPr>
        <w:t xml:space="preserve"> in a manner that would alter the pro rata sharing of payments required thereby without the written consent of each Lender directly affected thereby;</w:t>
      </w:r>
    </w:p>
    <w:p>
      <w:pPr>
        <w:spacing w:after="0" w:line="15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change any provision of this </w:t>
      </w: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or the definition of “Required Lenders” without the written consent of each Lender directly affected thereby;</w:t>
      </w:r>
    </w:p>
    <w:p>
      <w:pPr>
        <w:spacing w:after="0" w:line="15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connection with a transaction permitted under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7.8</w:t>
      </w:r>
      <w:r>
        <w:rPr>
          <w:rFonts w:ascii="Times New Roman" w:cs="Times New Roman" w:eastAsia="Times New Roman" w:hAnsi="Times New Roman"/>
          <w:sz w:val="20"/>
          <w:szCs w:val="20"/>
          <w:color w:val="auto"/>
        </w:rPr>
        <w:t>, release all or substantially all of the Collateral without the written consent of each Lender whose Obligations are secured by such Collateral;</w:t>
      </w:r>
    </w:p>
    <w:p>
      <w:pPr>
        <w:spacing w:after="0" w:line="174"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4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release the Borrower without the consent of each Lender, or, except in connection with a transaction permitted under </w:t>
      </w: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7.8</w:t>
      </w:r>
      <w:r>
        <w:rPr>
          <w:rFonts w:ascii="Times New Roman" w:cs="Times New Roman" w:eastAsia="Times New Roman" w:hAnsi="Times New Roman"/>
          <w:sz w:val="20"/>
          <w:szCs w:val="20"/>
          <w:color w:val="auto"/>
        </w:rPr>
        <w:t>, all or substantially all of the value of the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7" w:name="page388"/>
    <w:bookmarkEnd w:id="387"/>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provided pursuant to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of this Agreement without the written consent of each Lender whose Secured Obligations are guaranteed thereby, except to the extent such release is permitted pursuant to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color w:val="auto"/>
        </w:rPr>
        <w:t xml:space="preserve"> (in which case such release may be made by the Administrative Agent acting alone); or</w:t>
      </w:r>
    </w:p>
    <w:p>
      <w:pPr>
        <w:spacing w:after="0" w:line="176" w:lineRule="exact"/>
        <w:rPr>
          <w:sz w:val="20"/>
          <w:szCs w:val="20"/>
          <w:color w:val="auto"/>
        </w:rPr>
      </w:pPr>
    </w:p>
    <w:p>
      <w:pPr>
        <w:ind w:firstLine="1304"/>
        <w:spacing w:after="0" w:line="269" w:lineRule="auto"/>
        <w:tabs>
          <w:tab w:leader="none" w:pos="1944" w:val="left"/>
        </w:tabs>
        <w:numPr>
          <w:ilvl w:val="0"/>
          <w:numId w:val="4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subordinate the payment priority of the Obligations or the Liens on all or substantially all of the Collateral, in each case, without the written consent of each Lender;</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agreement, waiver or consent that would modify the interests, rights or obligations of the Administrative Agent, the Swing Line Lender or the Issuing Lender may be made without the written consent of such Administrative Agent, the Swing Line Lender or the Issuing Lender, as applicable, (ii) only the consent of the Administrative Agent shall be required for any amendment to the Fee Letter, and (iii) the Schedules to this Agreement and the Annexes to the Security Agreement may be modified as provided in and subject to the terms described in </w:t>
      </w:r>
      <w:r>
        <w:rPr>
          <w:rFonts w:ascii="Times New Roman" w:cs="Times New Roman" w:eastAsia="Times New Roman" w:hAnsi="Times New Roman"/>
          <w:sz w:val="20"/>
          <w:szCs w:val="20"/>
          <w:u w:val="single" w:color="auto"/>
          <w:color w:val="auto"/>
        </w:rPr>
        <w:t>Section 6.10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if in connection with any proposed waiver, amendment or modification referred to in </w:t>
      </w:r>
      <w:r>
        <w:rPr>
          <w:rFonts w:ascii="Times New Roman" w:cs="Times New Roman" w:eastAsia="Times New Roman" w:hAnsi="Times New Roman"/>
          <w:sz w:val="20"/>
          <w:szCs w:val="20"/>
          <w:u w:val="single" w:color="auto"/>
          <w:color w:val="auto"/>
        </w:rPr>
        <w:t>Sections 11.1(a)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11.1(g)</w:t>
      </w:r>
      <w:r>
        <w:rPr>
          <w:rFonts w:ascii="Times New Roman" w:cs="Times New Roman" w:eastAsia="Times New Roman" w:hAnsi="Times New Roman"/>
          <w:sz w:val="20"/>
          <w:szCs w:val="20"/>
          <w:color w:val="auto"/>
        </w:rPr>
        <w:t xml:space="preserve"> above, the consent of the Required Lenders is obtained but the consent of one or more of such other Lenders whose consent is required is not obtained (each a “</w:t>
      </w:r>
      <w:r>
        <w:rPr>
          <w:rFonts w:ascii="Times New Roman" w:cs="Times New Roman" w:eastAsia="Times New Roman" w:hAnsi="Times New Roman"/>
          <w:sz w:val="20"/>
          <w:szCs w:val="20"/>
          <w:b w:val="1"/>
          <w:bCs w:val="1"/>
          <w:color w:val="auto"/>
        </w:rPr>
        <w:t>Non-Consenting Lender</w:t>
      </w:r>
      <w:r>
        <w:rPr>
          <w:rFonts w:ascii="Times New Roman" w:cs="Times New Roman" w:eastAsia="Times New Roman" w:hAnsi="Times New Roman"/>
          <w:sz w:val="20"/>
          <w:szCs w:val="20"/>
          <w:color w:val="auto"/>
        </w:rPr>
        <w:t xml:space="preserve">”), then the Borrower shall have the right to replace any such Non-Consenting Lender with one or more replacement Lenders pursuant to </w:t>
      </w:r>
      <w:r>
        <w:rPr>
          <w:rFonts w:ascii="Times New Roman" w:cs="Times New Roman" w:eastAsia="Times New Roman" w:hAnsi="Times New Roman"/>
          <w:sz w:val="20"/>
          <w:szCs w:val="20"/>
          <w:u w:val="single" w:color="auto"/>
          <w:color w:val="auto"/>
        </w:rPr>
        <w:t>Section 3.6</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such Defaulting Lender may not be increased or extended without the consent of such Lender and (y) any waiver, amendment or modification requiring the consent of all Lenders or each affected Lender that by its terms affects such Defaulting Lender disproportionately adversely relative to other affected Lenders shall require the consent of such Defaulting Lender.</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(x) if following the Closing Date, the Administrative Agent and the Borrower shall have jointly identified an obvious error or any error or omission of a technical or immaterial nature, in each case, in any provision of this Agreement or any other Loan Document, then the Administrative Agent and the Borrower shall be permitted to amend such provision and such amendment shall become effective without any further action or consent of any other party to this Agreement or any other Loan Document if the same is not objected to in writing by the Required Lenders within five (5) Business Days following receipt of notice thereof and (y) no Lender consent shall be required to effect an Incremental Amendment except as provided in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and the Borrower and the Administrative Agent may effect such other amendments to this Agreement and the other Loan Documents as may be necessary or appropriate, in the reasonable opinion of the Administrative Agent and the Borrower, to effect the provisions of any such Incremental Amendment. It is understood that posting such amendment electronically on SyndTrak or another relevant website with notice of such posting by the Administrative Agent to the Required Lenders shall be deemed adequate receipt of notice of any such amendment.</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b w:val="1"/>
          <w:bCs w:val="1"/>
          <w:u w:val="single" w:color="auto"/>
          <w:color w:val="auto"/>
        </w:rPr>
        <w:t>No Implied Waivers; Cumulative Remedies</w:t>
      </w:r>
      <w:r>
        <w:rPr>
          <w:rFonts w:ascii="Times New Roman" w:cs="Times New Roman" w:eastAsia="Times New Roman" w:hAnsi="Times New Roman"/>
          <w:sz w:val="20"/>
          <w:szCs w:val="20"/>
          <w:color w:val="auto"/>
        </w:rPr>
        <w:t>. No course of dealing and no delay or failure of the Administrative Agent, the Issuing Lender or any Lender in exercising any right, power, remedy or privilege under this Agreement or any other Loan Document shall affect any other or future exercise thereof or operate as a waiver thereof, nor shall any single or partial exercise thereof preclude any further exercise thereof or of any other right, power, remedy or privilege. The rights and remedies of the Administrative Agent and the Lenders under this Agreement and any other Loan Documents are cumulative and not exclusive of any rights or remedies that they would otherwise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8" w:name="page389"/>
    <w:bookmarkEnd w:id="388"/>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for the benefit of the Secured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Issuing Lender or the Swing Line Lender from exercising the rights and remedies that inure to its benefit (solely in its capacity as Issuing Lender or Swing Line Lender, as the case may be) hereunder and under the other Loan Documents, (c) any Lender from exercising setoff rights in accordance with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(subject to the terms of </w:t>
      </w:r>
      <w:r>
        <w:rPr>
          <w:rFonts w:ascii="Times New Roman" w:cs="Times New Roman" w:eastAsia="Times New Roman" w:hAnsi="Times New Roman"/>
          <w:sz w:val="20"/>
          <w:szCs w:val="20"/>
          <w:u w:val="single" w:color="auto"/>
          <w:color w:val="auto"/>
        </w:rPr>
        <w:t>Section 2.16</w:t>
      </w:r>
      <w:r>
        <w:rPr>
          <w:rFonts w:ascii="Times New Roman" w:cs="Times New Roman" w:eastAsia="Times New Roman" w:hAnsi="Times New Roman"/>
          <w:sz w:val="20"/>
          <w:szCs w:val="20"/>
          <w:color w:val="auto"/>
        </w:rPr>
        <w:t>), or (d) any Lender from filing proofs of claim or appearing and filing pleadings on its own behalf during the pendency of a proceeding relative to any Loan Party in any Insolvency Proceedings.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19"/>
          <w:szCs w:val="19"/>
          <w:b w:val="1"/>
          <w:bCs w:val="1"/>
          <w:u w:val="single" w:color="auto"/>
          <w:color w:val="auto"/>
        </w:rPr>
        <w:t>Expenses; Indemnity; Damage Waiver</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1" w:lineRule="auto"/>
        <w:tabs>
          <w:tab w:leader="none" w:pos="1944"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pay (i) all reasonable and documented out of pocket expenses incurred by the Administrative Agent and its Affiliates (including the reasonable and documented fees, charges and disbursements of counsel for the Administrative Agent, which shall be limited to the fees, charges and disbursements of one corporate and one regulatory counsel to the Administrative Agent, and if necessary, of one firm of local counsel in each relevant jurisdiction)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 of pocket expenses incurred by the Issuing Lender in connection with the issuance, amendment, renewal, restatement or extension of any Letter of Credit or any demand for payment thereunder, and (iii) all out of pocket expenses incurred by the Administrative Agent, any Lender or the Issuing Lender (including the reasonable and documented fees, charges and disbursements of one firm of corporate counsel and one firm of regulatory counsel for the Administrative Agent and the Lenders taken as a whole (and, in the case of an actual or perceived conflict of interest in the reasonable discretion of a Lender where such Lender affected by such conflict informs the Borrower of such conflict, of one other firm of counsel for such affected Lenders taken as a whole), and if necessary, one firm of local counsel in each relevant jurisdiction)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spacing w:after="0" w:line="190"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4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the Administrative Agent (and any sub-agent thereof), each Lender and the Issuing Lender, and each Related Party of any of the foregoing Persons (each such Person being called an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against, and hold each Indemnitee harmless from, any and all losses, claims, counterclaims, damages, liabilities and related expenses (including, without limitation, the reasonable and documented fees, charges and disbursements of one counsel (collectively) for all Indemnitees taken as a whole, and, if necessary in the discretion of an Indemnitee, one firm of regulatory counsel and one firm of local counsel in each appropriate jurisdiction, in each case for all Indemnitees taken as a whole (and, in the case of an actual or perceived conflict of interest in the discretion of an Indemnitee where such Indemnitee affected by such conflict informs the Borrower of such conflict, of one other firm of counsel for such affected Indemnitees taken as a whole)) incurred by any Indemnitee or asserted against any Indemnitee by any Person (including the Borrower or any other Loan Party and the expense of investigation) other than such Indemnitee and its Related Parties arising out of, in connection with, or as a result of (i) the execution or delivery of this Agreement,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89" w:name="page390"/>
    <w:bookmarkEnd w:id="389"/>
    <w:p>
      <w:pPr>
        <w:jc w:val="both"/>
        <w:spacing w:after="0" w:line="263" w:lineRule="auto"/>
        <w:rPr>
          <w:sz w:val="20"/>
          <w:szCs w:val="20"/>
          <w:color w:val="auto"/>
        </w:rPr>
      </w:pPr>
      <w:r>
        <w:rPr>
          <w:rFonts w:ascii="Times New Roman" w:cs="Times New Roman" w:eastAsia="Times New Roman" w:hAnsi="Times New Roman"/>
          <w:sz w:val="19"/>
          <w:szCs w:val="19"/>
          <w:color w:val="auto"/>
        </w:rPr>
        <w:t>Loan Document or any agreement or instrument contemplated hereby or thereby, the performance by the parties hereto of their respective obligations hereunder or thereunder or the consummation of the transactions contemplated hereby or thereby,</w:t>
      </w:r>
    </w:p>
    <w:p>
      <w:pPr>
        <w:spacing w:after="0" w:line="1" w:lineRule="exact"/>
        <w:rPr>
          <w:sz w:val="20"/>
          <w:szCs w:val="20"/>
          <w:color w:val="auto"/>
        </w:rPr>
      </w:pPr>
    </w:p>
    <w:p>
      <w:pPr>
        <w:jc w:val="both"/>
        <w:ind w:firstLine="8"/>
        <w:spacing w:after="0" w:line="239" w:lineRule="auto"/>
        <w:tabs>
          <w:tab w:leader="none" w:pos="302" w:val="left"/>
        </w:tabs>
        <w:numPr>
          <w:ilvl w:val="0"/>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Loan Party or any of its Subsidiaries, or any Environmental Liability related in any way to any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and to reimburse each Indemnitee upon demand for any reasonable and documented legal or other expenses incurred in connection with the foregoing; provided that such indemnity shall not, as to any Indemnitee, be available to the extent that such losses, claims, counterclaims, damages, liabilities or related expenses (x) are determined by a court of competent jurisdiction by final and nonappealable judgment to have resulted from the gross negligence or willful misconduct of such Indemnitee, (y) result from a claim brought by the Borrower or any other Loan Party against an Indemnitee for material breach of such Indemnitee’s obligations hereunder or under any other Loan Document, if the Borrower or such other Loan Party has obtained a final and nonappealable judgment in its favor on such claim as determined by a court of competent jurisdiction, or (z) result from a dispute solely among Indemnitees (other than any claim, actions, suits, inquiries, litigation, investigation or proceeding against any Indemnitee in its capacity or in fulfilling its role as the Administrative Agent or Arranger) and not arising out of any act or omission of Borrower or any of its affiliates. Notwithstanding the foregoing, the Borrower shall not be liable for any settlement of a claim effected without the Borrower’s consent (such consent not to be unreasonably withheld or delayed), but if settled with the Borrower’s written consent or if the Borrower was offered the ability to assume the defense of the action that was the subject matter of such settlement and elected not to assume such defense, the Borrower agrees to (and shall) indemnify and hold harmless each Indemnitee from and against any and all losses, claims, counterclaims, damages, liabilities and related expenses by reason of such settlement in accordance with this </w:t>
      </w:r>
      <w:r>
        <w:rPr>
          <w:rFonts w:ascii="Times New Roman" w:cs="Times New Roman" w:eastAsia="Times New Roman" w:hAnsi="Times New Roman"/>
          <w:sz w:val="20"/>
          <w:szCs w:val="20"/>
          <w:u w:val="single" w:color="auto"/>
          <w:color w:val="auto"/>
        </w:rPr>
        <w:t>Section 11.3(b)</w:t>
      </w: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11.3(b)</w:t>
      </w:r>
      <w:r>
        <w:rPr>
          <w:rFonts w:ascii="Times New Roman" w:cs="Times New Roman" w:eastAsia="Times New Roman" w:hAnsi="Times New Roman"/>
          <w:sz w:val="20"/>
          <w:szCs w:val="20"/>
          <w:color w:val="auto"/>
        </w:rPr>
        <w:t xml:space="preserve"> shall not apply with respect to Taxes other than any Taxes that represent losses, claims, damages and other similar amounts arising from any non-Tax claim. No Loan Party shall, without the prior written consent of the applicable Indemnitee (which consent shall not be unreasonably withheld, conditioned or delayed), effect any settlement of any pending or threatened proceeding against an Indemnitee in respect of which indemnity could have been sought hereunder by such Indemnitee unless (a) such settlement includes an unconditional release of such Indemnitee from all liability or claims that are the subject matter of such claim, litigation, investigation or proceeding and (b) such settlement does not include any statement as to or any admission of fault, culpability or wrongdoing or failure to act by or on behalf of such Indemnitee.</w:t>
      </w:r>
    </w:p>
    <w:p>
      <w:pPr>
        <w:spacing w:after="0" w:line="208"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1"/>
          <w:numId w:val="4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 for any reason fails to indefeasibly pay any amount required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to be paid by it to the Administrative Agent (or any sub-agent thereof), the Issuing Lender, the Swing Line Lender or any Related Party of any of the foregoing, each Lender severally agrees to pay to the Administrative Agent (or any such sub-agent), the Issuing Lender, the Swing Line Lender or such Related Party, as the case may be, such Lender’s pro rata share (determined as of the time that the applicable unreimbursed expense or indemnity payment is sought based on each Lender’s Pro Rata Share at such time) of such unpaid amount (including any such unpaid amount in respect of a claim asserted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such unpaid amounts owed to the Issuing Lender or Swing Line Lender solely in its capacity as such, only the Revolving Lenders shall be required to pay such unpaid amounts, such payment to be made severally among them based on such Revolving Lenders’ Pro Rata Share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0" w:name="page391"/>
    <w:bookmarkEnd w:id="390"/>
    <w:p>
      <w:pPr>
        <w:jc w:val="both"/>
        <w:spacing w:after="0" w:line="253" w:lineRule="auto"/>
        <w:rPr>
          <w:sz w:val="20"/>
          <w:szCs w:val="20"/>
          <w:color w:val="auto"/>
        </w:rPr>
      </w:pPr>
      <w:r>
        <w:rPr>
          <w:rFonts w:ascii="Times New Roman" w:cs="Times New Roman" w:eastAsia="Times New Roman" w:hAnsi="Times New Roman"/>
          <w:sz w:val="20"/>
          <w:szCs w:val="20"/>
          <w:color w:val="auto"/>
        </w:rPr>
        <w:t>against the Administrative Agent (or any such sub-agent), the Issuing Lender or the Swing Line Lender in its capacity as such, or against any Related Party of any of the foregoing acting for the Administrative Agent (or any such sub-agent), the Issuing Lender or the Swing Line Lender in connection with such capacity.</w:t>
      </w:r>
    </w:p>
    <w:p>
      <w:pPr>
        <w:spacing w:after="0" w:line="176" w:lineRule="exact"/>
        <w:rPr>
          <w:sz w:val="20"/>
          <w:szCs w:val="20"/>
          <w:color w:val="auto"/>
        </w:rPr>
      </w:pPr>
    </w:p>
    <w:p>
      <w:pPr>
        <w:jc w:val="both"/>
        <w:ind w:firstLine="1304"/>
        <w:spacing w:after="0" w:line="242" w:lineRule="auto"/>
        <w:tabs>
          <w:tab w:leader="none" w:pos="1944"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To the fullest extent permitted by applicable Law, none of the Loan Parties shall assert, and each hereby waives, any claim against the Administrative Agent (and any sub-agent thereof), each Lender and the Issuing Lender, and each Related Party of any of the foregoing Persons (each such Person being called a “</w:t>
      </w:r>
      <w:r>
        <w:rPr>
          <w:rFonts w:ascii="Times New Roman" w:cs="Times New Roman" w:eastAsia="Times New Roman" w:hAnsi="Times New Roman"/>
          <w:sz w:val="20"/>
          <w:szCs w:val="20"/>
          <w:b w:val="1"/>
          <w:bCs w:val="1"/>
          <w:color w:val="auto"/>
        </w:rPr>
        <w:t>Protected Person</w:t>
      </w:r>
      <w:r>
        <w:rPr>
          <w:rFonts w:ascii="Times New Roman" w:cs="Times New Roman" w:eastAsia="Times New Roman" w:hAnsi="Times New Roman"/>
          <w:sz w:val="20"/>
          <w:szCs w:val="20"/>
          <w:color w:val="auto"/>
        </w:rPr>
        <w:t>”),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92"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not later than ten (10) days after</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demand therefor.</w:t>
      </w:r>
    </w:p>
    <w:p>
      <w:pPr>
        <w:spacing w:after="0" w:line="193"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4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shall survive the resignation of the Administrative Agent or any assignment of rights by, or the replacement of, a Lender, the termination of the Commitments and the repayment, satisfaction or discharge of all obligations under any Loan Document.</w:t>
      </w:r>
    </w:p>
    <w:p>
      <w:pPr>
        <w:spacing w:after="0" w:line="17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b w:val="1"/>
          <w:bCs w:val="1"/>
          <w:u w:val="single" w:color="auto"/>
          <w:color w:val="auto"/>
        </w:rPr>
        <w:t>Notices; Effectiveness; Electronic Communication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Generally</w:t>
      </w:r>
      <w:r>
        <w:rPr>
          <w:rFonts w:ascii="Times New Roman" w:cs="Times New Roman" w:eastAsia="Times New Roman" w:hAnsi="Times New Roman"/>
          <w:sz w:val="20"/>
          <w:szCs w:val="20"/>
          <w:color w:val="auto"/>
        </w:rPr>
        <w:t xml:space="preserve">. Except in the case of notices and other communications permitted to be given by telephone (and except as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all notices and other communications provided for herein shall be in writing and shall be delivered by hand or overnight courier service, mailed by certified or registered mail or sent by facsimile (i) if to a Lender, at its address (or facsimile number) set forth in its Administrative Questionnaire or (ii) if to any other Person, to it at its address (or facsimile number) set forth on </w:t>
      </w:r>
      <w:r>
        <w:rPr>
          <w:rFonts w:ascii="Times New Roman" w:cs="Times New Roman" w:eastAsia="Times New Roman" w:hAnsi="Times New Roman"/>
          <w:sz w:val="20"/>
          <w:szCs w:val="20"/>
          <w:u w:val="single" w:color="auto"/>
          <w:color w:val="auto"/>
        </w:rPr>
        <w:t>Schedule 1.1(B)</w:t>
      </w:r>
      <w:r>
        <w:rPr>
          <w:rFonts w:ascii="Times New Roman" w:cs="Times New Roman" w:eastAsia="Times New Roman" w:hAnsi="Times New Roman"/>
          <w:sz w:val="20"/>
          <w:szCs w:val="20"/>
          <w:color w:val="auto"/>
        </w:rPr>
        <w:t xml:space="preserve">. 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shall be effective as provided in said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1304"/>
        <w:spacing w:after="0" w:line="243" w:lineRule="auto"/>
        <w:tabs>
          <w:tab w:leader="none" w:pos="1944" w:val="left"/>
        </w:tabs>
        <w:numPr>
          <w:ilvl w:val="0"/>
          <w:numId w:val="4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Communications</w:t>
      </w:r>
      <w:r>
        <w:rPr>
          <w:rFonts w:ascii="Times New Roman" w:cs="Times New Roman" w:eastAsia="Times New Roman" w:hAnsi="Times New Roman"/>
          <w:sz w:val="20"/>
          <w:szCs w:val="20"/>
          <w:color w:val="auto"/>
        </w:rPr>
        <w:t xml:space="preserve">. Notices and other communications to the Lenders and the Issuing Lender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or the Issuing Lender pursuant to </w:t>
      </w:r>
      <w:r>
        <w:rPr>
          <w:rFonts w:ascii="Times New Roman" w:cs="Times New Roman" w:eastAsia="Times New Roman" w:hAnsi="Times New Roman"/>
          <w:sz w:val="20"/>
          <w:szCs w:val="20"/>
          <w:u w:val="single" w:color="auto"/>
          <w:color w:val="auto"/>
        </w:rPr>
        <w:t>Article II</w:t>
      </w:r>
      <w:r>
        <w:rPr>
          <w:rFonts w:ascii="Times New Roman" w:cs="Times New Roman" w:eastAsia="Times New Roman" w:hAnsi="Times New Roman"/>
          <w:sz w:val="20"/>
          <w:szCs w:val="20"/>
          <w:color w:val="auto"/>
        </w:rPr>
        <w:t xml:space="preserve"> if such Lender or Issuing Lender, as applicable, has notified the Administrative Agent that it is incapable of receiving notices under such Article by electronic communication. The Administrative Agent or the Borrower may, in each of their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1" w:name="page392"/>
    <w:bookmarkEnd w:id="391"/>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3" w:lineRule="exact"/>
        <w:rPr>
          <w:sz w:val="20"/>
          <w:szCs w:val="20"/>
          <w:color w:val="auto"/>
        </w:rPr>
      </w:pPr>
    </w:p>
    <w:p>
      <w:pPr>
        <w:ind w:firstLine="1304"/>
        <w:spacing w:after="0" w:line="269" w:lineRule="auto"/>
        <w:tabs>
          <w:tab w:leader="none" w:pos="1944"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of Address, etc</w:t>
      </w:r>
      <w:r>
        <w:rPr>
          <w:rFonts w:ascii="Times New Roman" w:cs="Times New Roman" w:eastAsia="Times New Roman" w:hAnsi="Times New Roman"/>
          <w:sz w:val="20"/>
          <w:szCs w:val="20"/>
          <w:color w:val="auto"/>
        </w:rPr>
        <w:t>. Any party hereto may change its address, facsimile number or e-mail address, if applicable, for notices and other communications hereunder by notice to the other parties hereto.</w:t>
      </w:r>
    </w:p>
    <w:p>
      <w:pPr>
        <w:spacing w:after="0" w:line="15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Platform</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agrees that the Administrative Agent may, but shall not be obligated to, make the Communications (as defined below) available to the Issuing Lender and the other Lenders by posting the Communications on Debt Domain, Intralinks, Syndtrak or a substantially similar electronic transmission system (the “</w:t>
      </w:r>
      <w:r>
        <w:rPr>
          <w:rFonts w:ascii="Times New Roman" w:cs="Times New Roman" w:eastAsia="Times New Roman" w:hAnsi="Times New Roman"/>
          <w:sz w:val="20"/>
          <w:szCs w:val="20"/>
          <w:b w:val="1"/>
          <w:bCs w:val="1"/>
          <w:color w:val="auto"/>
        </w:rPr>
        <w:t>Platform</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2" w:val="left"/>
        </w:tabs>
        <w:numPr>
          <w:ilvl w:val="1"/>
          <w:numId w:val="4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0"/>
          <w:szCs w:val="20"/>
          <w:b w:val="1"/>
          <w:bCs w:val="1"/>
          <w:color w:val="auto"/>
        </w:rPr>
        <w:t>Agent Parties</w:t>
      </w:r>
      <w:r>
        <w:rPr>
          <w:rFonts w:ascii="Times New Roman" w:cs="Times New Roman" w:eastAsia="Times New Roman" w:hAnsi="Times New Roman"/>
          <w:sz w:val="20"/>
          <w:szCs w:val="20"/>
          <w:color w:val="auto"/>
        </w:rPr>
        <w:t>”) have any liability to the Borrower or the other Loan Parties, any Lender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Platform. “</w:t>
      </w:r>
      <w:r>
        <w:rPr>
          <w:rFonts w:ascii="Times New Roman" w:cs="Times New Roman" w:eastAsia="Times New Roman" w:hAnsi="Times New Roman"/>
          <w:sz w:val="20"/>
          <w:szCs w:val="20"/>
          <w:b w:val="1"/>
          <w:bCs w:val="1"/>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18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color w:val="auto"/>
        </w:rPr>
        <w:t>.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thereof in any other jurisdiction or the remaining provisions hereof in any jurisdiction.</w:t>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b w:val="1"/>
          <w:bCs w:val="1"/>
          <w:u w:val="single" w:color="auto"/>
          <w:color w:val="auto"/>
        </w:rPr>
        <w:t>Duration; Survival</w:t>
      </w:r>
      <w:r>
        <w:rPr>
          <w:rFonts w:ascii="Times New Roman" w:cs="Times New Roman" w:eastAsia="Times New Roman" w:hAnsi="Times New Roman"/>
          <w:sz w:val="20"/>
          <w:szCs w:val="20"/>
          <w:color w:val="auto"/>
        </w:rPr>
        <w:t xml:space="preserve">. All representations and warranties of the Loan Parties contained herein or made in connection herewith shall survive the execution and delivery of this Agreement, the completion of the transactions hereunder and Payment In Full. All covenants and agreements of the Loan Parties contained herein relating to the payment of principal, interest, premiums, additional compensation or expenses and indemnification, including those set forth in the Notes,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Article 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or any other provision of any Loan Document, the agreement of the Lenders set forth in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11.3(c)</w:t>
      </w:r>
      <w:r>
        <w:rPr>
          <w:rFonts w:ascii="Times New Roman" w:cs="Times New Roman" w:eastAsia="Times New Roman" w:hAnsi="Times New Roman"/>
          <w:sz w:val="20"/>
          <w:szCs w:val="20"/>
          <w:color w:val="auto"/>
        </w:rPr>
        <w:t xml:space="preserve">, and the agreements of the Loan Parties set forth in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xml:space="preserve"> or any other provision of any Loan Documents shall survive Payment In Full and shall protect the Administrative Agent, the Lenders and any other Indemnitees against events arising after such termination as well as before. All other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2" w:name="page393"/>
    <w:bookmarkEnd w:id="392"/>
    <w:p>
      <w:pPr>
        <w:spacing w:after="0" w:line="268" w:lineRule="auto"/>
        <w:rPr>
          <w:sz w:val="20"/>
          <w:szCs w:val="20"/>
          <w:color w:val="auto"/>
        </w:rPr>
      </w:pPr>
      <w:r>
        <w:rPr>
          <w:rFonts w:ascii="Times New Roman" w:cs="Times New Roman" w:eastAsia="Times New Roman" w:hAnsi="Times New Roman"/>
          <w:sz w:val="20"/>
          <w:szCs w:val="20"/>
          <w:color w:val="auto"/>
        </w:rPr>
        <w:t>agreements of the Loan Parties shall continue in full force and effect from and after the date hereof and until Payment In Full.</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11.7</w:t>
      </w:r>
      <w:r>
        <w:rPr>
          <w:sz w:val="20"/>
          <w:szCs w:val="20"/>
          <w:color w:val="auto"/>
        </w:rPr>
        <w:tab/>
      </w:r>
      <w:r>
        <w:rPr>
          <w:rFonts w:ascii="Times New Roman" w:cs="Times New Roman" w:eastAsia="Times New Roman" w:hAnsi="Times New Roman"/>
          <w:sz w:val="19"/>
          <w:szCs w:val="19"/>
          <w:b w:val="1"/>
          <w:bCs w:val="1"/>
          <w:u w:val="single" w:color="auto"/>
          <w:color w:val="auto"/>
        </w:rPr>
        <w:t>Successors and Assigns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the Issuing Lender and each Lender and no Lender may assign or otherwise transfer any of its rights or obligations hereunder except (i) to an assignee in accordance with the provisions of this Section, (ii) by way of participation in accordance with the provisions of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or (iii) by way of pledge or assignment of a security interest subject to the restrictions of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(and any other attempted assignment or transfer by any such party hereto shall be null and void). Nothing in this Agreement, expressed or implied, shall be construed to confer upon any Person (other than the parties hereto, their respective successors and assigns permitted hereby, Participants to the extent provided in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and, to the extent expressly contemplated hereby, the Related Parties of each of the Administrative Agent, the Issuing Lender and the Lenders) any legal or equitable right, remedy or claim under or by reason of this Agreement.</w:t>
      </w:r>
    </w:p>
    <w:p>
      <w:pPr>
        <w:spacing w:after="0" w:line="187"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all participations in Letters of Credit and Swing Line Loans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and with respect to any Facility) any such assignment shall be subject to the following conditions:</w:t>
      </w:r>
    </w:p>
    <w:p>
      <w:pPr>
        <w:spacing w:after="0" w:line="17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Minimum Amounts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firstLine="2600"/>
        <w:spacing w:after="0" w:line="246" w:lineRule="auto"/>
        <w:tabs>
          <w:tab w:leader="none" w:pos="3240" w:val="left"/>
        </w:tabs>
        <w:numPr>
          <w:ilvl w:val="2"/>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an assignment of the entire remaining amount of the assigning Lender’s Commitment and/or the Loans at the time owing to it (in each case with respect to any Facility) or contemporaneous assignments to related Approved Funds that equal at least the amount specified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in the aggregate or in the case of an assignment to a Lender, an Affiliate of a Lender or an Approved Fund, no minimum amount need be assigned; and</w:t>
      </w:r>
    </w:p>
    <w:p>
      <w:pPr>
        <w:spacing w:after="0" w:line="184" w:lineRule="exact"/>
        <w:rPr>
          <w:rFonts w:ascii="Times New Roman" w:cs="Times New Roman" w:eastAsia="Times New Roman" w:hAnsi="Times New Roman"/>
          <w:sz w:val="20"/>
          <w:szCs w:val="20"/>
          <w:color w:val="auto"/>
        </w:rPr>
      </w:pPr>
    </w:p>
    <w:p>
      <w:pPr>
        <w:jc w:val="both"/>
        <w:ind w:firstLine="2600"/>
        <w:spacing w:after="0" w:line="243" w:lineRule="auto"/>
        <w:tabs>
          <w:tab w:leader="none" w:pos="3240" w:val="left"/>
        </w:tabs>
        <w:numPr>
          <w:ilvl w:val="2"/>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any case not described in </w:t>
      </w:r>
      <w:r>
        <w:rPr>
          <w:rFonts w:ascii="Times New Roman" w:cs="Times New Roman" w:eastAsia="Times New Roman" w:hAnsi="Times New Roman"/>
          <w:sz w:val="20"/>
          <w:szCs w:val="20"/>
          <w:u w:val="single" w:color="auto"/>
          <w:color w:val="auto"/>
        </w:rPr>
        <w:t>clause (i)(A)</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cs="Times New Roman" w:eastAsia="Times New Roman" w:hAnsi="Times New Roman"/>
          <w:sz w:val="20"/>
          <w:szCs w:val="20"/>
          <w:b w:val="1"/>
          <w:bCs w:val="1"/>
          <w:color w:val="auto"/>
        </w:rPr>
        <w:t>Trade Date</w:t>
      </w:r>
      <w:r>
        <w:rPr>
          <w:rFonts w:ascii="Times New Roman" w:cs="Times New Roman" w:eastAsia="Times New Roman" w:hAnsi="Times New Roman"/>
          <w:sz w:val="20"/>
          <w:szCs w:val="20"/>
          <w:color w:val="auto"/>
        </w:rPr>
        <w:t>” is specified in the Assignment and Assumption, as of the Trade Date) shall not be less than $5,000,000, in the case of any assignment in respect of any Revolving Credit Facility, or $1,000,000, in the case of any assignment in respect of any Term Loan Facility, unless each of the Administrative Agent and, so long as no Event of Default has occurred and is continuing, the Borrower otherwise consents (each such consent not to be unreasonably withheld or delayed).</w:t>
      </w:r>
    </w:p>
    <w:p>
      <w:pPr>
        <w:spacing w:after="0" w:line="181" w:lineRule="exact"/>
        <w:rPr>
          <w:rFonts w:ascii="Times New Roman" w:cs="Times New Roman" w:eastAsia="Times New Roman" w:hAnsi="Times New Roman"/>
          <w:sz w:val="20"/>
          <w:szCs w:val="20"/>
          <w:color w:val="auto"/>
        </w:rPr>
      </w:pPr>
    </w:p>
    <w:p>
      <w:pPr>
        <w:jc w:val="both"/>
        <w:ind w:firstLine="1952"/>
        <w:spacing w:after="0" w:line="250" w:lineRule="auto"/>
        <w:tabs>
          <w:tab w:leader="none" w:pos="2592" w:val="left"/>
        </w:tabs>
        <w:numPr>
          <w:ilvl w:val="1"/>
          <w:numId w:val="4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Proportionate Amounts</w:t>
      </w:r>
      <w:r>
        <w:rPr>
          <w:rFonts w:ascii="Times New Roman" w:cs="Times New Roman" w:eastAsia="Times New Roman" w:hAnsi="Times New Roman"/>
          <w:sz w:val="20"/>
          <w:szCs w:val="20"/>
          <w:color w:val="auto"/>
        </w:rPr>
        <w:t>. Each partial assignment shall be made as an assignment of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proportionate part of all the assigning Lender’s rights and obligations under this Agreement with respect to the Loan or the Commitment assigned, except that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not prohibit any Lender from assigning all or a portion of its rights and obligations among separate Facilities on a non-pro rata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3" w:name="page394"/>
    <w:bookmarkEnd w:id="393"/>
    <w:p>
      <w:pPr>
        <w:ind w:firstLine="1952"/>
        <w:spacing w:after="0" w:line="272" w:lineRule="auto"/>
        <w:tabs>
          <w:tab w:leader="none" w:pos="2592"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Required Consents</w:t>
      </w:r>
      <w:r>
        <w:rPr>
          <w:rFonts w:ascii="Times New Roman" w:cs="Times New Roman" w:eastAsia="Times New Roman" w:hAnsi="Times New Roman"/>
          <w:sz w:val="20"/>
          <w:szCs w:val="20"/>
          <w:color w:val="auto"/>
        </w:rPr>
        <w:t>. No consent shall be required for any assignment except to the extent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required by </w:t>
      </w:r>
      <w:r>
        <w:rPr>
          <w:rFonts w:ascii="Times New Roman" w:cs="Times New Roman" w:eastAsia="Times New Roman" w:hAnsi="Times New Roman"/>
          <w:sz w:val="20"/>
          <w:szCs w:val="20"/>
          <w:u w:val="single" w:color="auto"/>
          <w:color w:val="auto"/>
        </w:rPr>
        <w:t>clause (b)(i)(B)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and in addition:</w:t>
      </w:r>
    </w:p>
    <w:p>
      <w:pPr>
        <w:spacing w:after="0" w:line="156" w:lineRule="exact"/>
        <w:rPr>
          <w:rFonts w:ascii="Times New Roman" w:cs="Times New Roman" w:eastAsia="Times New Roman" w:hAnsi="Times New Roman"/>
          <w:sz w:val="20"/>
          <w:szCs w:val="20"/>
          <w:color w:val="auto"/>
        </w:rPr>
      </w:pPr>
    </w:p>
    <w:p>
      <w:pPr>
        <w:jc w:val="both"/>
        <w:ind w:firstLine="2600"/>
        <w:spacing w:after="0" w:line="245" w:lineRule="auto"/>
        <w:tabs>
          <w:tab w:leader="none" w:pos="3240" w:val="left"/>
        </w:tabs>
        <w:numPr>
          <w:ilvl w:val="1"/>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(x) an Event of Default has occurred and is continuing at the time of such assignment or (y)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 and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Borrower’s consent shall not be required during the primary syndication of the Facilities;</w:t>
      </w:r>
    </w:p>
    <w:p>
      <w:pPr>
        <w:spacing w:after="0" w:line="184" w:lineRule="exact"/>
        <w:rPr>
          <w:rFonts w:ascii="Times New Roman" w:cs="Times New Roman" w:eastAsia="Times New Roman" w:hAnsi="Times New Roman"/>
          <w:sz w:val="20"/>
          <w:szCs w:val="20"/>
          <w:color w:val="auto"/>
        </w:rPr>
      </w:pPr>
    </w:p>
    <w:p>
      <w:pPr>
        <w:jc w:val="both"/>
        <w:ind w:firstLine="2600"/>
        <w:spacing w:after="0" w:line="246" w:lineRule="auto"/>
        <w:tabs>
          <w:tab w:leader="none" w:pos="3240" w:val="left"/>
        </w:tabs>
        <w:numPr>
          <w:ilvl w:val="1"/>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any Revolving Credit Facility or any unfunded Commitments with respect to any Term Loan Facility if such assignment is to a Person that is not a Lender with a Commitment in respect of such Facility, an Affiliate of such Lender or an Approved Fund with respect to such Lender, or (ii) any Loans to a Person who is not a Lender, an Affiliate of a Lender or an Approved Fund; and</w:t>
      </w:r>
    </w:p>
    <w:p>
      <w:pPr>
        <w:spacing w:after="0" w:line="184" w:lineRule="exact"/>
        <w:rPr>
          <w:rFonts w:ascii="Times New Roman" w:cs="Times New Roman" w:eastAsia="Times New Roman" w:hAnsi="Times New Roman"/>
          <w:sz w:val="20"/>
          <w:szCs w:val="20"/>
          <w:color w:val="auto"/>
        </w:rPr>
      </w:pPr>
    </w:p>
    <w:p>
      <w:pPr>
        <w:ind w:firstLine="2600"/>
        <w:spacing w:after="0" w:line="269" w:lineRule="auto"/>
        <w:tabs>
          <w:tab w:leader="none" w:pos="3240" w:val="left"/>
        </w:tabs>
        <w:numPr>
          <w:ilvl w:val="1"/>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Issuing Lender and Swing Line Lender shall be required for any assignment in respect of a Revolving Credit Facility.</w:t>
      </w:r>
    </w:p>
    <w:p>
      <w:pPr>
        <w:spacing w:after="0" w:line="155" w:lineRule="exact"/>
        <w:rPr>
          <w:rFonts w:ascii="Times New Roman" w:cs="Times New Roman" w:eastAsia="Times New Roman" w:hAnsi="Times New Roman"/>
          <w:sz w:val="20"/>
          <w:szCs w:val="20"/>
          <w:color w:val="auto"/>
        </w:rPr>
      </w:pPr>
    </w:p>
    <w:p>
      <w:pPr>
        <w:jc w:val="both"/>
        <w:ind w:firstLine="1952"/>
        <w:spacing w:after="0" w:line="247" w:lineRule="auto"/>
        <w:tabs>
          <w:tab w:leader="none" w:pos="2592"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Assignment and Assumption</w:t>
      </w:r>
      <w:r>
        <w:rPr>
          <w:rFonts w:ascii="Times New Roman" w:cs="Times New Roman" w:eastAsia="Times New Roman" w:hAnsi="Times New Roman"/>
          <w:sz w:val="20"/>
          <w:szCs w:val="20"/>
          <w:color w:val="auto"/>
        </w:rPr>
        <w:t>. The parties to each assignment shall execute and deliver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80" w:lineRule="exact"/>
        <w:rPr>
          <w:rFonts w:ascii="Times New Roman" w:cs="Times New Roman" w:eastAsia="Times New Roman" w:hAnsi="Times New Roman"/>
          <w:sz w:val="20"/>
          <w:szCs w:val="20"/>
          <w:color w:val="auto"/>
        </w:rPr>
      </w:pPr>
    </w:p>
    <w:p>
      <w:pPr>
        <w:jc w:val="both"/>
        <w:ind w:firstLine="1952"/>
        <w:spacing w:after="0" w:line="256" w:lineRule="auto"/>
        <w:tabs>
          <w:tab w:leader="none" w:pos="2592"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Assignment to Certain Persons</w:t>
      </w:r>
      <w:r>
        <w:rPr>
          <w:rFonts w:ascii="Times New Roman" w:cs="Times New Roman" w:eastAsia="Times New Roman" w:hAnsi="Times New Roman"/>
          <w:sz w:val="20"/>
          <w:szCs w:val="20"/>
          <w:color w:val="auto"/>
        </w:rPr>
        <w:t>. No such assignment shall be made to (i) the Borrower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any of the Borrower’s Affiliates or Subsidiaries or (ii) to any Defaulting Lender or any of its Subsidiaries, or any Person who, upon becoming a Lender hereunder, would constitute any of the foregoing Persons described in this </w:t>
      </w:r>
      <w:r>
        <w:rPr>
          <w:rFonts w:ascii="Times New Roman" w:cs="Times New Roman" w:eastAsia="Times New Roman" w:hAnsi="Times New Roman"/>
          <w:sz w:val="20"/>
          <w:szCs w:val="20"/>
          <w:u w:val="single" w:color="auto"/>
          <w:color w:val="auto"/>
        </w:rPr>
        <w:t>clause (v)</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ind w:right="20" w:firstLine="1952"/>
        <w:spacing w:after="0" w:line="273" w:lineRule="auto"/>
        <w:tabs>
          <w:tab w:leader="none" w:pos="2592"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 Assignment to Natural Persons</w:t>
      </w:r>
      <w:r>
        <w:rPr>
          <w:rFonts w:ascii="Times New Roman" w:cs="Times New Roman" w:eastAsia="Times New Roman" w:hAnsi="Times New Roman"/>
          <w:sz w:val="20"/>
          <w:szCs w:val="20"/>
          <w:color w:val="auto"/>
        </w:rPr>
        <w:t>. No such assignment shall be made to a natural Person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 a holding company, investment vehicle or trust for, or owned or operated for the primary benefit of, a natural Person).</w:t>
      </w:r>
    </w:p>
    <w:p>
      <w:pPr>
        <w:spacing w:after="0" w:line="151" w:lineRule="exact"/>
        <w:rPr>
          <w:rFonts w:ascii="Times New Roman" w:cs="Times New Roman" w:eastAsia="Times New Roman" w:hAnsi="Times New Roman"/>
          <w:sz w:val="20"/>
          <w:szCs w:val="20"/>
          <w:color w:val="auto"/>
        </w:rPr>
      </w:pPr>
    </w:p>
    <w:p>
      <w:pPr>
        <w:jc w:val="both"/>
        <w:ind w:firstLine="1952"/>
        <w:spacing w:after="0" w:line="242" w:lineRule="auto"/>
        <w:tabs>
          <w:tab w:leader="none" w:pos="2591" w:val="left"/>
        </w:tabs>
        <w:numPr>
          <w:ilvl w:val="0"/>
          <w:numId w:val="4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Certain Additional Payments</w:t>
      </w:r>
      <w:r>
        <w:rPr>
          <w:rFonts w:ascii="Times New Roman" w:cs="Times New Roman" w:eastAsia="Times New Roman" w:hAnsi="Times New Roman"/>
          <w:sz w:val="20"/>
          <w:szCs w:val="20"/>
          <w:color w:val="auto"/>
        </w:rPr>
        <w:t>. In connection with any assignment of rights and obligations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 Line Lender and each other Lender hereunder (and interest accrued thereon), and (y) acquire (and fund as appropriate) its full Pro Rata Share of all Loans and participations in Letters of Credit and Swing Line Loans.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394" w:name="page395"/>
    <w:bookmarkEnd w:id="394"/>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Subject to acceptance and recording thereof by the Administrative Agent pursuant to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11.3(b)</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w:t>
      </w:r>
      <w:r>
        <w:rPr>
          <w:rFonts w:ascii="Times New Roman" w:cs="Times New Roman" w:eastAsia="Times New Roman" w:hAnsi="Times New Roman"/>
          <w:sz w:val="20"/>
          <w:szCs w:val="20"/>
          <w:u w:val="single" w:color="auto"/>
          <w:color w:val="auto"/>
        </w:rPr>
        <w:t>Section 11.7(d)</w:t>
      </w:r>
      <w:r>
        <w:rPr>
          <w:rFonts w:ascii="Times New Roman" w:cs="Times New Roman" w:eastAsia="Times New Roman" w:hAnsi="Times New Roman"/>
          <w:sz w:val="20"/>
          <w:szCs w:val="20"/>
          <w:color w:val="auto"/>
        </w:rPr>
        <w:t xml:space="preserve"> below.</w:t>
      </w:r>
    </w:p>
    <w:p>
      <w:pPr>
        <w:spacing w:after="0" w:line="196" w:lineRule="exact"/>
        <w:rPr>
          <w:sz w:val="20"/>
          <w:szCs w:val="20"/>
          <w:color w:val="auto"/>
        </w:rPr>
      </w:pPr>
    </w:p>
    <w:p>
      <w:pPr>
        <w:jc w:val="both"/>
        <w:ind w:firstLine="1304"/>
        <w:spacing w:after="0" w:line="242" w:lineRule="auto"/>
        <w:tabs>
          <w:tab w:leader="none" w:pos="1944"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 fiduciary agent of the Borrower, shall maintain at one of its offices in Greenwood Village, Colorado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the Issuing Lender and the Lenders shall treat each Person whose name is recorded in the Register pursuant to the terms hereof as a Lender hereunder for all purposes of this Agreement. The Register shall be available for inspection by the Borrower, any Lender and the Issuing Lender, at any reasonable time and from time to time upon reasonable prior notice. The parties to this Agreement hereby acknowledge and agree that the Administrative Agent, in its capacity as such, has no duty to monitor or enforce assignments, participations or other actions with respect to Disqualified Institutions and no responsibility or liability with respect to any assignments made by Lenders to a Disqualified Institution.</w:t>
      </w:r>
    </w:p>
    <w:p>
      <w:pPr>
        <w:spacing w:after="0" w:line="189" w:lineRule="exact"/>
        <w:rPr>
          <w:rFonts w:ascii="Times New Roman" w:cs="Times New Roman" w:eastAsia="Times New Roman" w:hAnsi="Times New Roman"/>
          <w:sz w:val="20"/>
          <w:szCs w:val="20"/>
          <w:color w:val="auto"/>
        </w:rPr>
      </w:pPr>
    </w:p>
    <w:p>
      <w:pPr>
        <w:jc w:val="both"/>
        <w:ind w:firstLine="1304"/>
        <w:spacing w:after="0" w:line="247" w:lineRule="auto"/>
        <w:tabs>
          <w:tab w:leader="none" w:pos="1944" w:val="left"/>
        </w:tabs>
        <w:numPr>
          <w:ilvl w:val="1"/>
          <w:numId w:val="4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the Issuing Lender or the Administrative Agent, sell participations to any Person (other than (x) a natural Person or a holding company, investment vehicle or trust for, or owned or operated for the primary benefit of, a natural Person or the Borrower,</w:t>
      </w:r>
    </w:p>
    <w:p>
      <w:pPr>
        <w:jc w:val="both"/>
        <w:ind w:firstLine="8"/>
        <w:spacing w:after="0"/>
        <w:tabs>
          <w:tab w:leader="none" w:pos="309" w:val="left"/>
        </w:tabs>
        <w:numPr>
          <w:ilvl w:val="0"/>
          <w:numId w:val="4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Borrower’s Affiliates or Subsidiaries or (z) any Disqualified Institutions (to the extent that a list of Disqualified Institutions has been provided to any such Lender upon such Lender’s written request)) (each a “</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Issuing Lender and the Lenders shall continue to deal solely and directly with such Lender in connection with such Lender’s rights and obligations under this Agreement. For the avoidance of doubt, each Lender shall be responsible for the indemnity under </w:t>
      </w:r>
      <w:r>
        <w:rPr>
          <w:rFonts w:ascii="Times New Roman" w:cs="Times New Roman" w:eastAsia="Times New Roman" w:hAnsi="Times New Roman"/>
          <w:sz w:val="20"/>
          <w:szCs w:val="20"/>
          <w:u w:val="single" w:color="auto"/>
          <w:color w:val="auto"/>
        </w:rPr>
        <w:t>Section 11.3(c)</w:t>
      </w:r>
      <w:r>
        <w:rPr>
          <w:rFonts w:ascii="Times New Roman" w:cs="Times New Roman" w:eastAsia="Times New Roman" w:hAnsi="Times New Roman"/>
          <w:sz w:val="20"/>
          <w:szCs w:val="20"/>
          <w:color w:val="auto"/>
        </w:rPr>
        <w:t xml:space="preserve"> with respect to any payments made by such Lender to its Participant(s).</w:t>
      </w:r>
    </w:p>
    <w:p>
      <w:pPr>
        <w:spacing w:after="0" w:line="19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agreement or instrument may provide that such Lender will not, without the consent of the Participant, agree to any amendment, modification or waiver described in </w:t>
      </w:r>
      <w:r>
        <w:rPr>
          <w:rFonts w:ascii="Times New Roman" w:cs="Times New Roman" w:eastAsia="Times New Roman" w:hAnsi="Times New Roman"/>
          <w:sz w:val="20"/>
          <w:szCs w:val="20"/>
          <w:u w:val="single" w:color="auto"/>
          <w:color w:val="auto"/>
        </w:rPr>
        <w:t>Sections 11.1(a)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xml:space="preserve"> that affects such Participant. The Borrower agrees that each Participant shall be entitled to the benefits of </w:t>
      </w:r>
      <w:r>
        <w:rPr>
          <w:rFonts w:ascii="Times New Roman" w:cs="Times New Roman" w:eastAsia="Times New Roman" w:hAnsi="Times New Roman"/>
          <w:sz w:val="20"/>
          <w:szCs w:val="20"/>
          <w:u w:val="single" w:color="auto"/>
          <w:color w:val="auto"/>
        </w:rPr>
        <w:t>Sections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3.2</w:t>
      </w:r>
      <w:r>
        <w:rPr>
          <w:rFonts w:ascii="Times New Roman" w:cs="Times New Roman" w:eastAsia="Times New Roman" w:hAnsi="Times New Roman"/>
          <w:sz w:val="20"/>
          <w:szCs w:val="20"/>
          <w:color w:val="auto"/>
        </w:rPr>
        <w:t xml:space="preserve"> (subject to the requirements and limitations therein, including the requirements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(it being understood that the documentation required under </w:t>
      </w: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shall be delivered to the participating Lender)),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11.3</w:t>
      </w:r>
      <w:r>
        <w:rPr>
          <w:rFonts w:ascii="Times New Roman" w:cs="Times New Roman" w:eastAsia="Times New Roman" w:hAnsi="Times New Roman"/>
          <w:sz w:val="20"/>
          <w:szCs w:val="20"/>
          <w:color w:val="auto"/>
        </w:rPr>
        <w:t xml:space="preserv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5" w:name="page396"/>
    <w:bookmarkEnd w:id="395"/>
    <w:p>
      <w:pPr>
        <w:spacing w:after="0" w:line="263" w:lineRule="auto"/>
        <w:rPr>
          <w:sz w:val="20"/>
          <w:szCs w:val="20"/>
          <w:color w:val="auto"/>
        </w:rPr>
      </w:pPr>
      <w:r>
        <w:rPr>
          <w:rFonts w:ascii="Times New Roman" w:cs="Times New Roman" w:eastAsia="Times New Roman" w:hAnsi="Times New Roman"/>
          <w:sz w:val="19"/>
          <w:szCs w:val="19"/>
          <w:color w:val="auto"/>
        </w:rPr>
        <w:t xml:space="preserve">the same extent as if it were a Lender and had acquired its interest by assignment pursuant to </w:t>
      </w:r>
      <w:r>
        <w:rPr>
          <w:rFonts w:ascii="Times New Roman" w:cs="Times New Roman" w:eastAsia="Times New Roman" w:hAnsi="Times New Roman"/>
          <w:sz w:val="19"/>
          <w:szCs w:val="19"/>
          <w:u w:val="single" w:color="auto"/>
          <w:color w:val="auto"/>
        </w:rPr>
        <w:t>clause (b)</w:t>
      </w:r>
      <w:r>
        <w:rPr>
          <w:rFonts w:ascii="Times New Roman" w:cs="Times New Roman" w:eastAsia="Times New Roman" w:hAnsi="Times New Roman"/>
          <w:sz w:val="19"/>
          <w:szCs w:val="19"/>
          <w:color w:val="auto"/>
        </w:rPr>
        <w:t xml:space="preserve"> of this </w:t>
      </w:r>
      <w:r>
        <w:rPr>
          <w:rFonts w:ascii="Times New Roman" w:cs="Times New Roman" w:eastAsia="Times New Roman" w:hAnsi="Times New Roman"/>
          <w:sz w:val="19"/>
          <w:szCs w:val="19"/>
          <w:u w:val="single" w:color="auto"/>
          <w:color w:val="auto"/>
        </w:rPr>
        <w:t>Section 11.7</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agrees to be subject to the provisions of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u w:val="single" w:color="auto"/>
          <w:color w:val="auto"/>
        </w:rPr>
        <w:t>clause</w:t>
      </w:r>
    </w:p>
    <w:p>
      <w:pPr>
        <w:spacing w:after="0" w:line="1" w:lineRule="exact"/>
        <w:rPr>
          <w:sz w:val="20"/>
          <w:szCs w:val="20"/>
          <w:color w:val="auto"/>
        </w:rPr>
      </w:pPr>
    </w:p>
    <w:p>
      <w:pPr>
        <w:jc w:val="both"/>
        <w:ind w:firstLine="8"/>
        <w:spacing w:after="0" w:line="253" w:lineRule="auto"/>
        <w:tabs>
          <w:tab w:leader="none" w:pos="280" w:val="left"/>
        </w:tabs>
        <w:numPr>
          <w:ilvl w:val="0"/>
          <w:numId w:val="42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of this </w:t>
      </w:r>
      <w:r>
        <w:rPr>
          <w:rFonts w:ascii="Times New Roman" w:cs="Times New Roman" w:eastAsia="Times New Roman" w:hAnsi="Times New Roman"/>
          <w:sz w:val="19"/>
          <w:szCs w:val="19"/>
          <w:u w:val="single" w:color="auto"/>
          <w:color w:val="auto"/>
        </w:rPr>
        <w:t>Section 11.7</w:t>
      </w:r>
      <w:r>
        <w:rPr>
          <w:rFonts w:ascii="Times New Roman" w:cs="Times New Roman" w:eastAsia="Times New Roman" w:hAnsi="Times New Roman"/>
          <w:sz w:val="19"/>
          <w:szCs w:val="19"/>
          <w:color w:val="auto"/>
        </w:rPr>
        <w:t xml:space="preserve">; and (B) shall not be entitled to receive any greater payment under </w:t>
      </w:r>
      <w:r>
        <w:rPr>
          <w:rFonts w:ascii="Times New Roman" w:cs="Times New Roman" w:eastAsia="Times New Roman" w:hAnsi="Times New Roman"/>
          <w:sz w:val="19"/>
          <w:szCs w:val="19"/>
          <w:u w:val="single" w:color="auto"/>
          <w:color w:val="auto"/>
        </w:rPr>
        <w:t>Section 3.1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3.2</w:t>
      </w:r>
      <w:r>
        <w:rPr>
          <w:rFonts w:ascii="Times New Roman" w:cs="Times New Roman" w:eastAsia="Times New Roman" w:hAnsi="Times New Roman"/>
          <w:sz w:val="19"/>
          <w:szCs w:val="19"/>
          <w:color w:val="auto"/>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9"/>
          <w:szCs w:val="19"/>
          <w:u w:val="single" w:color="auto"/>
          <w:color w:val="auto"/>
        </w:rPr>
        <w:t>Section 3.6</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9.2(c)</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2.16</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b w:val="1"/>
          <w:b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CoBank reserves the right to assign or sell participations in all or part of its Commitments or outstanding Loans hereunder on a non-patronage basis.</w:t>
      </w:r>
    </w:p>
    <w:p>
      <w:pPr>
        <w:spacing w:after="0" w:line="1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Notwithstanding the preceding paragraph, any Participant that is a Farm Credit Lender or the Federal Agricultural Mortgage Corporation that (i) has purchased a participation, (ii) has been designated as a voting Participant (other than any Disqualified Institution (to the extent that a list of Disqualified Institutions has been provided to any such Lender upon such Lender’s written request)) (a “</w:t>
      </w:r>
      <w:r>
        <w:rPr>
          <w:rFonts w:ascii="Times New Roman" w:cs="Times New Roman" w:eastAsia="Times New Roman" w:hAnsi="Times New Roman"/>
          <w:sz w:val="20"/>
          <w:szCs w:val="20"/>
          <w:b w:val="1"/>
          <w:bCs w:val="1"/>
          <w:color w:val="auto"/>
        </w:rPr>
        <w:t>Voting Participant</w:t>
      </w:r>
      <w:r>
        <w:rPr>
          <w:rFonts w:ascii="Times New Roman" w:cs="Times New Roman" w:eastAsia="Times New Roman" w:hAnsi="Times New Roman"/>
          <w:sz w:val="20"/>
          <w:szCs w:val="20"/>
          <w:color w:val="auto"/>
        </w:rPr>
        <w:t>”) in a notice (a “</w:t>
      </w:r>
      <w:r>
        <w:rPr>
          <w:rFonts w:ascii="Times New Roman" w:cs="Times New Roman" w:eastAsia="Times New Roman" w:hAnsi="Times New Roman"/>
          <w:sz w:val="20"/>
          <w:szCs w:val="20"/>
          <w:b w:val="1"/>
          <w:bCs w:val="1"/>
          <w:color w:val="auto"/>
        </w:rPr>
        <w:t>Voting Participant Notice</w:t>
      </w:r>
      <w:r>
        <w:rPr>
          <w:rFonts w:ascii="Times New Roman" w:cs="Times New Roman" w:eastAsia="Times New Roman" w:hAnsi="Times New Roman"/>
          <w:sz w:val="20"/>
          <w:szCs w:val="20"/>
          <w:color w:val="auto"/>
        </w:rPr>
        <w:t xml:space="preserve">”) sent by the relevant Lender (including any existing Voting Participant) to the Administrative Agent and (iii) receives, prior to becoming a Voting Participant, the consent of the Administrative Agent (such Administrative Agent consent to be required only to the extent and under the circumstances it would be required if such Voting Participant were to become a Lender pursuant to an assignment in accordance with </w:t>
      </w:r>
      <w:r>
        <w:rPr>
          <w:rFonts w:ascii="Times New Roman" w:cs="Times New Roman" w:eastAsia="Times New Roman" w:hAnsi="Times New Roman"/>
          <w:sz w:val="20"/>
          <w:szCs w:val="20"/>
          <w:u w:val="single" w:color="auto"/>
          <w:color w:val="auto"/>
        </w:rPr>
        <w:t>Section 11.7(b)</w:t>
      </w:r>
      <w:r>
        <w:rPr>
          <w:rFonts w:ascii="Times New Roman" w:cs="Times New Roman" w:eastAsia="Times New Roman" w:hAnsi="Times New Roman"/>
          <w:sz w:val="20"/>
          <w:szCs w:val="20"/>
          <w:color w:val="auto"/>
        </w:rPr>
        <w:t xml:space="preserve"> and such consent is not required for an assignment to an existing Voting Participant), shall be entitled to vote as if such Voting Participant were a Lender on all matters subject to a vote by Lenders, and the voting rights of the selling Lender (including any existing Voting Participant) shall be correspondingly reduced, on a dollar-for-dollar basis. Each Voting Participant Notice shall include, with respect to each Voting Participant, the information that would be included by a prospective Lender in an Assignment and Assumption. Notwithstanding the foregoing, each Farm Credit Lender designated as a Voting Participant in </w:t>
      </w:r>
      <w:r>
        <w:rPr>
          <w:rFonts w:ascii="Times New Roman" w:cs="Times New Roman" w:eastAsia="Times New Roman" w:hAnsi="Times New Roman"/>
          <w:sz w:val="20"/>
          <w:szCs w:val="20"/>
          <w:u w:val="single" w:color="auto"/>
          <w:color w:val="auto"/>
        </w:rPr>
        <w:t>Schedule 11.7</w:t>
      </w:r>
      <w:r>
        <w:rPr>
          <w:rFonts w:ascii="Times New Roman" w:cs="Times New Roman" w:eastAsia="Times New Roman" w:hAnsi="Times New Roman"/>
          <w:sz w:val="20"/>
          <w:szCs w:val="20"/>
          <w:color w:val="auto"/>
        </w:rPr>
        <w:t xml:space="preserve"> and, if applicable, the Federal Agricultural Mortgage Corporation shall be a Voting Participant without delivery of a Voting Participant Notice and without the prior written consent of the Administrative Agent. The selling Lender (including any existing Voting Participant) and the purchasing Voting Participant shall notify the Administrative Agent within three (3) Business Days of any termination, reduction or increase of the amount of, such participation. The Administrative Agent shall be entitled to conclusively rely on information contained in Voting Participant Notices and all other notices delivered pursuant hereto. The voting rights of each Voting Participant are solely for the benefit of such Voting Participant and shall not inure to any assignee or participant of such Voting Participant that is not a Farm Credit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6" w:name="page397"/>
    <w:bookmarkEnd w:id="396"/>
    <w:p>
      <w:pPr>
        <w:jc w:val="both"/>
        <w:ind w:firstLine="1304"/>
        <w:spacing w:after="0" w:line="246" w:lineRule="auto"/>
        <w:tabs>
          <w:tab w:leader="none" w:pos="1944" w:val="left"/>
        </w:tabs>
        <w:numPr>
          <w:ilvl w:val="0"/>
          <w:numId w:val="4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or any other reserve or central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9"/>
          <w:szCs w:val="19"/>
          <w:color w:val="auto"/>
        </w:rPr>
        <w:t xml:space="preserve">11.8 </w:t>
      </w:r>
      <w:r>
        <w:rPr>
          <w:rFonts w:ascii="Times New Roman" w:cs="Times New Roman" w:eastAsia="Times New Roman" w:hAnsi="Times New Roman"/>
          <w:sz w:val="19"/>
          <w:szCs w:val="19"/>
          <w:b w:val="1"/>
          <w:bCs w:val="1"/>
          <w:u w:val="single" w:color="auto"/>
          <w:color w:val="auto"/>
        </w:rPr>
        <w:t>Confidentiality</w:t>
      </w:r>
      <w:r>
        <w:rPr>
          <w:rFonts w:ascii="Times New Roman" w:cs="Times New Roman" w:eastAsia="Times New Roman" w:hAnsi="Times New Roman"/>
          <w:sz w:val="19"/>
          <w:szCs w:val="19"/>
          <w:color w:val="auto"/>
        </w:rPr>
        <w:t>. Each of the Administrative Agent, the Lenders and the Issuing Lender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(or no less restrictive than)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Facilities or (ii) the CUSIP Service Bureau or any similar agency in connection with the issuance and monitoring of CUSIP numbers with respect to the Facilities; (h) with the consent of the Borrower; (i) to the extent such Information (x) becomes publicly available other than as a result of a breach of this Section, (y) becomes available to the Administrative Agent, any Lender, the Issuing Lender or any of their respective Affiliates from a source other than the Borrower that is not known to be subject to a confidentiality obligation to any Loan Party or (z) is independently discovered or developed by a party hereto without utilizing any Information received from the Borrower or violating the terms of this Section; or (j) to the extent required by a potential or actual insurer or reinsurer in connection with providing insurance, reinsurance or credit risk mitigation coverage under which payments are to be made or may be made by reference to this Agreement. In addition, the Administrative Agent and the Lenders may disclose the existence of this Agreement and the information about this Agreement to market data collectors, similar service providers to the lending industry and service providers to the Administrative Agent, the Issuing Lender and the Lenders in connection with the administration of this Agreement, the other Loan Documents and the Commitments.</w:t>
      </w:r>
    </w:p>
    <w:p>
      <w:pPr>
        <w:spacing w:after="0" w:line="17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For purposes of this Section, “Information” means all information received from the Borrower or any of its Subsidiaries relating to the Borrower or any of its Subsidiaries or any of their respective businesses, other than any such information that is available to the Administrative Agent, any Lender or the Issuing Lender on a nonconfidential basis prior to disclosure by the Borrower 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In addition to the foregoing, the Administrative Agent and the Borrower hereby agree that, with the prior written consent of the Borrower (such consent not to be unreasonably conditioned, withheld or delayed), the Administrative Agent may, in its discretion, place advertisements in financial and other newspapers and periodicals, and on a home page or similar place for dissemination of information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7" w:name="page398"/>
    <w:bookmarkEnd w:id="397"/>
    <w:p>
      <w:pPr>
        <w:jc w:val="both"/>
        <w:spacing w:after="0" w:line="246" w:lineRule="auto"/>
        <w:rPr>
          <w:sz w:val="20"/>
          <w:szCs w:val="20"/>
          <w:color w:val="auto"/>
        </w:rPr>
      </w:pPr>
      <w:r>
        <w:rPr>
          <w:rFonts w:ascii="Times New Roman" w:cs="Times New Roman" w:eastAsia="Times New Roman" w:hAnsi="Times New Roman"/>
          <w:sz w:val="20"/>
          <w:szCs w:val="20"/>
          <w:color w:val="auto"/>
        </w:rPr>
        <w:t>Internet or worldwide web. The Borrower hereby agrees that the Administrative Agent may, in its discretion and without any additional consent of or notice to the Borrower or any other Person, circulate and/or publish similar promotional materials after the Closing Date in the form of a “tombstone” or otherwise describing the names and including the logo(s) of the Borrower and its affiliates (or any of them), and/or the amount, type and Closing Date. All such advertisements and promotional materials shall be at the Administrative Agent’s expense.</w:t>
      </w:r>
    </w:p>
    <w:p>
      <w:pPr>
        <w:spacing w:after="0" w:line="18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11.9</w:t>
      </w:r>
      <w:r>
        <w:rPr>
          <w:sz w:val="20"/>
          <w:szCs w:val="20"/>
          <w:color w:val="auto"/>
        </w:rPr>
        <w:tab/>
      </w:r>
      <w:r>
        <w:rPr>
          <w:rFonts w:ascii="Times New Roman" w:cs="Times New Roman" w:eastAsia="Times New Roman" w:hAnsi="Times New Roman"/>
          <w:sz w:val="19"/>
          <w:szCs w:val="19"/>
          <w:b w:val="1"/>
          <w:bCs w:val="1"/>
          <w:u w:val="single" w:color="auto"/>
          <w:color w:val="auto"/>
        </w:rPr>
        <w:t>Counterparts; Integration; Effectiveness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57" w:lineRule="auto"/>
        <w:tabs>
          <w:tab w:leader="none" w:pos="1944" w:val="left"/>
        </w:tabs>
        <w:numPr>
          <w:ilvl w:val="0"/>
          <w:numId w:val="4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w:t>
      </w:r>
      <w:r>
        <w:rPr>
          <w:rFonts w:ascii="Times New Roman" w:cs="Times New Roman" w:eastAsia="Times New Roman" w:hAnsi="Times New Roman"/>
          <w:sz w:val="19"/>
          <w:szCs w:val="19"/>
          <w:u w:val="single" w:color="auto"/>
          <w:color w:val="auto"/>
        </w:rPr>
        <w:t>Article IV</w:t>
      </w:r>
      <w:r>
        <w:rPr>
          <w:rFonts w:ascii="Times New Roman" w:cs="Times New Roman" w:eastAsia="Times New Roman" w:hAnsi="Times New Roman"/>
          <w:sz w:val="19"/>
          <w:szCs w:val="19"/>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effective as delivery of a manually executed counterpart of this Agreement.</w:t>
      </w:r>
    </w:p>
    <w:p>
      <w:pPr>
        <w:spacing w:after="0" w:line="175" w:lineRule="exact"/>
        <w:rPr>
          <w:rFonts w:ascii="Times New Roman" w:cs="Times New Roman" w:eastAsia="Times New Roman" w:hAnsi="Times New Roman"/>
          <w:sz w:val="19"/>
          <w:szCs w:val="19"/>
          <w:color w:val="auto"/>
        </w:rPr>
      </w:pPr>
    </w:p>
    <w:p>
      <w:pPr>
        <w:jc w:val="both"/>
        <w:ind w:firstLine="1304"/>
        <w:spacing w:after="0" w:line="241" w:lineRule="auto"/>
        <w:tabs>
          <w:tab w:leader="none" w:pos="1944" w:val="left"/>
        </w:tabs>
        <w:numPr>
          <w:ilvl w:val="0"/>
          <w:numId w:val="4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Execution of Loan Documents</w:t>
      </w:r>
      <w:r>
        <w:rPr>
          <w:rFonts w:ascii="Times New Roman" w:cs="Times New Roman" w:eastAsia="Times New Roman" w:hAnsi="Times New Roman"/>
          <w:sz w:val="20"/>
          <w:szCs w:val="20"/>
          <w:color w:val="auto"/>
        </w:rPr>
        <w:t>. The parties agree that the electronic signature of a party to this Agreement and any other Loan Document shall be as valid as an original signature of such party and shall be effective to bind such party to this Agreement or such other Loan Document. The parties agree that any electronically signed Loan Document (including this Agreement) shall be deemed (i) to be “written” or “in writing,” (ii) to have been signed and (iii) to constitute a record established and maintained in the ordinary course of business and an original written record when printed from electronic files. The parties presently intend to authenticate the Loan Documents to which they are a party by either signing such Loan Document or attaching thereto or logically associating therewith an electronic sound, symbol or process as their respective electronic signature. The words “execution,” “signed,” “signature,” and words of like import in this Agreement and any other Loan Document (including any Assignment and Assumption)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11.10</w:t>
      </w:r>
      <w:r>
        <w:rPr>
          <w:sz w:val="20"/>
          <w:szCs w:val="20"/>
          <w:color w:val="auto"/>
        </w:rPr>
        <w:tab/>
      </w:r>
      <w:r>
        <w:rPr>
          <w:rFonts w:ascii="Times New Roman" w:cs="Times New Roman" w:eastAsia="Times New Roman" w:hAnsi="Times New Roman"/>
          <w:sz w:val="20"/>
          <w:szCs w:val="20"/>
          <w:b w:val="1"/>
          <w:bCs w:val="1"/>
          <w:u w:val="single" w:color="auto"/>
          <w:color w:val="auto"/>
        </w:rPr>
        <w:t>Choice of Law; Submission to Jurisdiction; Waiver of Venue; Service of Process; Waiver of Jury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Trial</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1304"/>
        <w:spacing w:after="0" w:line="266" w:lineRule="auto"/>
        <w:tabs>
          <w:tab w:leader="none" w:pos="1944" w:val="left"/>
        </w:tabs>
        <w:numPr>
          <w:ilvl w:val="0"/>
          <w:numId w:val="4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Governing Law</w:t>
      </w:r>
      <w:r>
        <w:rPr>
          <w:rFonts w:ascii="Times New Roman" w:cs="Times New Roman" w:eastAsia="Times New Roman" w:hAnsi="Times New Roman"/>
          <w:sz w:val="19"/>
          <w:szCs w:val="19"/>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set forth therein) and the transactions contemplated hereby and thereby shall be governed by, and construed in accordance with, the law of the State of New York.</w:t>
      </w:r>
    </w:p>
    <w:p>
      <w:pPr>
        <w:spacing w:after="0" w:line="165" w:lineRule="exact"/>
        <w:rPr>
          <w:rFonts w:ascii="Times New Roman" w:cs="Times New Roman" w:eastAsia="Times New Roman" w:hAnsi="Times New Roman"/>
          <w:sz w:val="19"/>
          <w:szCs w:val="19"/>
          <w:color w:val="auto"/>
        </w:rPr>
      </w:pPr>
    </w:p>
    <w:p>
      <w:pPr>
        <w:jc w:val="both"/>
        <w:ind w:firstLine="1304"/>
        <w:spacing w:after="0" w:line="249" w:lineRule="auto"/>
        <w:tabs>
          <w:tab w:leader="none" w:pos="1944" w:val="left"/>
        </w:tabs>
        <w:numPr>
          <w:ilvl w:val="0"/>
          <w:numId w:val="4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SUBMISSION TO JURISDICTION</w:t>
      </w:r>
      <w:r>
        <w:rPr>
          <w:rFonts w:ascii="Times New Roman" w:cs="Times New Roman" w:eastAsia="Times New Roman" w:hAnsi="Times New Roman"/>
          <w:sz w:val="20"/>
          <w:szCs w:val="20"/>
          <w:color w:val="auto"/>
        </w:rPr>
        <w:t>. EACH OF THE BORROWER AND OTHER LOAN PARTIES IRREVOCABLY AND UNCONDITIONALLY SUBMITS, FOR ITSELF AND ITS PROPERTY, TO THE NONEXCLUSIVE JURISDICTION OF THE COURTS OF THE STATE OF NEW YORK SITTING IN NEW YORK COUNTY AND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8" w:name="page399"/>
    <w:bookmarkEnd w:id="398"/>
    <w:p>
      <w:pPr>
        <w:jc w:val="both"/>
        <w:spacing w:after="0" w:line="253" w:lineRule="auto"/>
        <w:rPr>
          <w:sz w:val="20"/>
          <w:szCs w:val="20"/>
          <w:color w:val="auto"/>
        </w:rPr>
      </w:pPr>
      <w:r>
        <w:rPr>
          <w:rFonts w:ascii="Times New Roman" w:cs="Times New Roman" w:eastAsia="Times New Roman" w:hAnsi="Times New Roman"/>
          <w:sz w:val="19"/>
          <w:szCs w:val="19"/>
          <w:color w:val="auto"/>
        </w:rPr>
        <w:t>SOUTHERN DISTRICT COURT OF NEW YORK, SITTING IN NEW YORK COUNTY,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(i) AFFECT ANY RIGHT THAT THE ADMINISTRATIVE AGENT OR ANY LENDER OR THE ISSUING LENDER MAY OTHERWISE HAVE TO BRING ANY ACTION OR PROCEEDING RELATING TO THIS AGREEMENT OR ANY OTHER LOAN DOCUMENT AGAINST THE BORROWER OR ANY OTHER LOAN PARTY OR ITS PROPERTIES IN THE COURTS OF ANY JURISDICTION, (ii)</w:t>
      </w:r>
    </w:p>
    <w:p>
      <w:pPr>
        <w:spacing w:after="0" w:line="1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WAIVE ANY STATUTORY, REGULATORY, COMMON LAW, OR OTHER RULE, DOCTRINE, LEGAL RESTRICTION, PROVISION OR THE LIKE PROVIDING FOR THE TREATMENT OF BANK BRANCHES, BANK AGENCIES, OR OTHER BANK OFFICES AS IF THEY WERE SEPARATE JURIDICAL ENTITIES FOR CERTAIN PURPOSES, INCLUDING UNIFORM COMMERCIAL CODE SECTIONS 4-106, 4-A-105(1)(B), AND 5-116(B), UCP 600 ARTICLE 3 AND ISP98 RULE 2.02, AND URDG 758 ARTICLE 3(A) OR (iii) AFFECT WHICH COURTS HAVE OR DO NOT HAVE PERSONAL JURISDICTION OVER THE ISSUING LENDER OR BENEFICIARY OF ANY LETTER OF CREDIT OR ANY ADVISING BANK, NOMINATED BANK OR ASSIGNEE OF PROCEEDS THEREUNDER OR PROPER VENUE WITH RESPECT TO ANY LITIGATION ARISING OUT OF OR RELATING TO SUCH LETTER OF CREDIT WITH, OR AFFECTING THE RIGHTS OF, ANY PERSON NOT A PARTY TO THIS AGREEMENT, WHETHER OR NOT SUCH LETTER OF CREDIT CONTAINS ITS OWN JURISDICTION SUBMISSION CLAUSE.</w:t>
      </w:r>
    </w:p>
    <w:p>
      <w:pPr>
        <w:spacing w:after="0" w:line="189" w:lineRule="exact"/>
        <w:rPr>
          <w:sz w:val="20"/>
          <w:szCs w:val="20"/>
          <w:color w:val="auto"/>
        </w:rPr>
      </w:pPr>
    </w:p>
    <w:p>
      <w:pPr>
        <w:jc w:val="both"/>
        <w:ind w:firstLine="1304"/>
        <w:spacing w:after="0" w:line="243" w:lineRule="auto"/>
        <w:tabs>
          <w:tab w:leader="none" w:pos="1944"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VENUE</w:t>
      </w:r>
      <w:r>
        <w:rPr>
          <w:rFonts w:ascii="Times New Roman" w:cs="Times New Roman" w:eastAsia="Times New Roman" w:hAnsi="Times New Roman"/>
          <w:sz w:val="20"/>
          <w:szCs w:val="20"/>
          <w:color w:val="auto"/>
        </w:rPr>
        <w:t xml:space="preserve">. EACH OF THE BORROWER AND OTHER LOAN PARTIES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THIS </w:t>
      </w:r>
      <w:r>
        <w:rPr>
          <w:rFonts w:ascii="Times New Roman" w:cs="Times New Roman" w:eastAsia="Times New Roman" w:hAnsi="Times New Roman"/>
          <w:sz w:val="20"/>
          <w:szCs w:val="20"/>
          <w:u w:val="single" w:color="auto"/>
          <w:color w:val="auto"/>
        </w:rPr>
        <w:t>SECTION 11.10</w:t>
      </w:r>
      <w:r>
        <w:rPr>
          <w:rFonts w:ascii="Times New Roman" w:cs="Times New Roman" w:eastAsia="Times New Roman" w:hAnsi="Times New Roman"/>
          <w:sz w:val="20"/>
          <w:szCs w:val="20"/>
          <w:color w:val="auto"/>
        </w:rPr>
        <w:t>. EACH OF THE PARTIES HERETO HEREBY IRREVOCABLY WAIVES, TO THE FULLEST EXTENT PERMITTED BY APPLICABLE LAW, THE DEFENSE OF AN INCONVENIENT FORUM TO THE MAINTENANCE OF SUCH ACTION OR PROCEEDING IN ANY SUCH COURT AND AGREES NOT TO ASSERT ANY SUCH DEFENSE.</w:t>
      </w:r>
    </w:p>
    <w:p>
      <w:pPr>
        <w:spacing w:after="0" w:line="189"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OF PROCESS</w:t>
      </w:r>
      <w:r>
        <w:rPr>
          <w:rFonts w:ascii="Times New Roman" w:cs="Times New Roman" w:eastAsia="Times New Roman" w:hAnsi="Times New Roman"/>
          <w:sz w:val="20"/>
          <w:szCs w:val="20"/>
          <w:color w:val="auto"/>
        </w:rPr>
        <w:t xml:space="preserve">. EACH PARTY HERETO IRREVOCABLY CONSENTS TO SERVICE OF PROCESS IN THE MANNER PROVIDED FOR NOTICES IN </w:t>
      </w:r>
      <w:r>
        <w:rPr>
          <w:rFonts w:ascii="Times New Roman" w:cs="Times New Roman" w:eastAsia="Times New Roman" w:hAnsi="Times New Roman"/>
          <w:sz w:val="20"/>
          <w:szCs w:val="20"/>
          <w:u w:val="single" w:color="auto"/>
          <w:color w:val="auto"/>
        </w:rPr>
        <w:t>SECTION 11.4</w:t>
      </w:r>
      <w:r>
        <w:rPr>
          <w:rFonts w:ascii="Times New Roman" w:cs="Times New Roman" w:eastAsia="Times New Roman" w:hAnsi="Times New Roman"/>
          <w:sz w:val="20"/>
          <w:szCs w:val="20"/>
          <w:color w:val="auto"/>
        </w:rPr>
        <w:t>. NOTHING IN THIS AGREEMENT WILL AFFECT THE RIGHT OF ANY PARTY HERETO TO SERVE PROCESS IN ANY OTHER MANNER PERMITTED BY APPLICABLE LAW.</w:t>
      </w:r>
    </w:p>
    <w:p>
      <w:pPr>
        <w:spacing w:after="0" w:line="17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4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ADMINISTRATIVE AGENT OR ATTORNEY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399" w:name="page400"/>
    <w:bookmarkEnd w:id="399"/>
    <w:p>
      <w:pPr>
        <w:jc w:val="both"/>
        <w:spacing w:after="0" w:line="246" w:lineRule="auto"/>
        <w:rPr>
          <w:sz w:val="20"/>
          <w:szCs w:val="20"/>
          <w:color w:val="auto"/>
        </w:rPr>
      </w:pPr>
      <w:r>
        <w:rPr>
          <w:rFonts w:ascii="Times New Roman" w:cs="Times New Roman" w:eastAsia="Times New Roman" w:hAnsi="Times New Roman"/>
          <w:sz w:val="20"/>
          <w:szCs w:val="20"/>
          <w:color w:val="auto"/>
        </w:rPr>
        <w:t>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11.11 </w:t>
      </w:r>
      <w:r>
        <w:rPr>
          <w:rFonts w:ascii="Times New Roman" w:cs="Times New Roman" w:eastAsia="Times New Roman" w:hAnsi="Times New Roman"/>
          <w:sz w:val="20"/>
          <w:szCs w:val="20"/>
          <w:b w:val="1"/>
          <w:bCs w:val="1"/>
          <w:u w:val="single" w:color="auto"/>
          <w:color w:val="auto"/>
        </w:rPr>
        <w:t>USA Patriot Act Notice</w:t>
      </w:r>
      <w:r>
        <w:rPr>
          <w:rFonts w:ascii="Times New Roman" w:cs="Times New Roman" w:eastAsia="Times New Roman" w:hAnsi="Times New Roman"/>
          <w:sz w:val="20"/>
          <w:szCs w:val="20"/>
          <w:color w:val="auto"/>
        </w:rPr>
        <w:t>. 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 The Borrower shall, promptly following a request by the Administrative Agent or any Lender, provide all documentation and other information that the Administrative Agent or such Lender requests in order to comply with its ongoing obligations under applicable Anti-Corruption Laws, Anti-Terrorism Laws and Sanctions, including the USA PATRIOT Act.</w:t>
      </w:r>
    </w:p>
    <w:p>
      <w:pPr>
        <w:spacing w:after="0" w:line="18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11.12 </w:t>
      </w:r>
      <w:r>
        <w:rPr>
          <w:rFonts w:ascii="Times New Roman" w:cs="Times New Roman" w:eastAsia="Times New Roman" w:hAnsi="Times New Roman"/>
          <w:sz w:val="20"/>
          <w:szCs w:val="20"/>
          <w:b w:val="1"/>
          <w:bCs w:val="1"/>
          <w:u w:val="single" w:color="auto"/>
          <w:color w:val="auto"/>
        </w:rPr>
        <w:t>Payments Set Aside</w:t>
      </w:r>
      <w:r>
        <w:rPr>
          <w:rFonts w:ascii="Times New Roman" w:cs="Times New Roman" w:eastAsia="Times New Roman" w:hAnsi="Times New Roman"/>
          <w:sz w:val="20"/>
          <w:szCs w:val="20"/>
          <w:color w:val="auto"/>
        </w:rPr>
        <w:t>. To the extent any Loan Party makes a payment or payments to the Administrative Agent for the ratable benefit of the Lenders or Secured Parties or the Administrative Agent receives any payment or proceeds of the Collateral which payments or proceeds or any part thereof are subsequently invalidated, declared to be fraudulent or preferential, set aside and/or required to be repaid to a trustee, receiver or any other party under any Insolvency Proceeding, other applicable Law or equitable cause, then, to the extent of such payment or proceeds repaid, the Secured Obligations or part thereof intended to be satisfied shall be revived and continued in full force and effect as if such payment or proceeds had not been received by the Administrative Agent.</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11.13 </w:t>
      </w:r>
      <w:r>
        <w:rPr>
          <w:rFonts w:ascii="Times New Roman" w:cs="Times New Roman" w:eastAsia="Times New Roman" w:hAnsi="Times New Roman"/>
          <w:sz w:val="20"/>
          <w:szCs w:val="20"/>
          <w:b w:val="1"/>
          <w:bCs w:val="1"/>
          <w:u w:val="single" w:color="auto"/>
          <w:color w:val="auto"/>
        </w:rPr>
        <w:t>Secured Bank Products and Secured Hedge Agreements</w:t>
      </w:r>
      <w:r>
        <w:rPr>
          <w:rFonts w:ascii="Times New Roman" w:cs="Times New Roman" w:eastAsia="Times New Roman" w:hAnsi="Times New Roman"/>
          <w:sz w:val="20"/>
          <w:szCs w:val="20"/>
          <w:color w:val="auto"/>
        </w:rPr>
        <w:t xml:space="preserve">. No Secured Party (other than the Administrative Agent) that obtains the benefit of the Guaranty set forth in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or of any security interest in any of the Collateral shall have any right to notice of any action or to consent to, direct or object to any action hereunder or under any other Loan Document (including the release, impairment or modification of any Guarantors’ Obligations or security therefor) other than in its capacity as a Lender and, in such case, only to the extent expressly provided in the Loan Documents. No Hedge Bank or provider of any Secured Bank Product shall have any voting rights hereunder or under any other Loan Document in its capacity as the provider of such Secured Hedge or Secured Bank Product. Notwithstanding any other provision of this Agreement to the contrary, the Administrative Agent shall only be required to verify the payment of, or that other reasonably satisfactory arrangements have been made with respect to, the Secured Obligations arising with respect to Secured Bank Products and Secured Hedges to the extent the Administrative Agent has received written notice of such Secured Obligations, together with such supporting documentation as it may request, from the applicable Lender (or its Affiliate) or Hedge Bank, as the case may be. Each Secured Party not a party to this Agreement that obtains the benefit of this Agreement or any other Loan Document shall be deemed to have acknowledged and accepted the appointment of the Administrative Agent pursuant to the terms of this Agreement, and acknowledges and agrees that the Administrative Agent is and shall be entitled to all the rights, benefits and immunities conferred under this Agreement with respect to each such Secured Party.</w:t>
      </w:r>
    </w:p>
    <w:p>
      <w:pPr>
        <w:spacing w:after="0" w:line="19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11.14 </w:t>
      </w:r>
      <w:r>
        <w:rPr>
          <w:rFonts w:ascii="Times New Roman" w:cs="Times New Roman" w:eastAsia="Times New Roman" w:hAnsi="Times New Roman"/>
          <w:sz w:val="20"/>
          <w:szCs w:val="20"/>
          <w:b w:val="1"/>
          <w:bCs w:val="1"/>
          <w:u w:val="single" w:color="auto"/>
          <w:color w:val="auto"/>
        </w:rPr>
        <w:t>Interest Rate Limitation</w:t>
      </w:r>
      <w:r>
        <w:rPr>
          <w:rFonts w:ascii="Times New Roman" w:cs="Times New Roman" w:eastAsia="Times New Roman" w:hAnsi="Times New Roman"/>
          <w:sz w:val="20"/>
          <w:szCs w:val="20"/>
          <w:color w:val="auto"/>
        </w:rPr>
        <w:t>. Notwithstanding anything to the contrary contained in any Loan Document, the interest paid or agreed to be paid under the Loan Documents, together with all fees, charges and other amounts treated as interest under applicable Laws (collectively, “</w:t>
      </w:r>
      <w:r>
        <w:rPr>
          <w:rFonts w:ascii="Times New Roman" w:cs="Times New Roman" w:eastAsia="Times New Roman" w:hAnsi="Times New Roman"/>
          <w:sz w:val="20"/>
          <w:szCs w:val="20"/>
          <w:b w:val="1"/>
          <w:bCs w:val="1"/>
          <w:color w:val="auto"/>
        </w:rPr>
        <w:t>Charges</w:t>
      </w:r>
      <w:r>
        <w:rPr>
          <w:rFonts w:ascii="Times New Roman" w:cs="Times New Roman" w:eastAsia="Times New Roman" w:hAnsi="Times New Roman"/>
          <w:sz w:val="20"/>
          <w:szCs w:val="20"/>
          <w:color w:val="auto"/>
        </w:rPr>
        <w:t>”) shall not exceed the maximum rate of non-usurious interest permitted by applicable Law (the “</w:t>
      </w:r>
      <w:r>
        <w:rPr>
          <w:rFonts w:ascii="Times New Roman" w:cs="Times New Roman" w:eastAsia="Times New Roman" w:hAnsi="Times New Roman"/>
          <w:sz w:val="20"/>
          <w:szCs w:val="20"/>
          <w:b w:val="1"/>
          <w:bCs w:val="1"/>
          <w:color w:val="auto"/>
        </w:rPr>
        <w:t>Maximum Rate</w:t>
      </w:r>
      <w:r>
        <w:rPr>
          <w:rFonts w:ascii="Times New Roman" w:cs="Times New Roman" w:eastAsia="Times New Roman" w:hAnsi="Times New Roman"/>
          <w:sz w:val="20"/>
          <w:szCs w:val="20"/>
          <w:color w:val="auto"/>
        </w:rPr>
        <w:t>”). If the Administrative Agent or any Lender shall receive interest and Charges in an amount that exceeds the Maximum Rate, the excess interest and Charges shall be applied to the principal of the Loans or, if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0" w:name="page401"/>
    <w:bookmarkEnd w:id="400"/>
    <w:p>
      <w:pPr>
        <w:jc w:val="both"/>
        <w:spacing w:after="0" w:line="246" w:lineRule="auto"/>
        <w:rPr>
          <w:sz w:val="20"/>
          <w:szCs w:val="20"/>
          <w:color w:val="auto"/>
        </w:rPr>
      </w:pPr>
      <w:r>
        <w:rPr>
          <w:rFonts w:ascii="Times New Roman" w:cs="Times New Roman" w:eastAsia="Times New Roman" w:hAnsi="Times New Roman"/>
          <w:sz w:val="20"/>
          <w:szCs w:val="20"/>
          <w:color w:val="auto"/>
        </w:rPr>
        <w:t>exceeds such unpaid principal, refunded to the Borrower. In determining whether the interest and Charges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 xml:space="preserve">11.15 </w:t>
      </w:r>
      <w:r>
        <w:rPr>
          <w:rFonts w:ascii="Times New Roman" w:cs="Times New Roman" w:eastAsia="Times New Roman" w:hAnsi="Times New Roman"/>
          <w:sz w:val="20"/>
          <w:szCs w:val="20"/>
          <w:b w:val="1"/>
          <w:bCs w:val="1"/>
          <w:u w:val="single" w:color="auto"/>
          <w:color w:val="auto"/>
        </w:rPr>
        <w:t>FCC and PUC Compliance</w:t>
      </w:r>
      <w:r>
        <w:rPr>
          <w:rFonts w:ascii="Times New Roman" w:cs="Times New Roman" w:eastAsia="Times New Roman" w:hAnsi="Times New Roman"/>
          <w:sz w:val="20"/>
          <w:szCs w:val="20"/>
          <w:color w:val="auto"/>
        </w:rPr>
        <w:t>. Notwithstanding anything to the contrary in this Agreement and the other Loan Documents, no party hereto or thereto shall take any action under this Agreement or the other Loan Documents that would constitute or result in an assignment of any License, or a change of control or action of any Loan Party or Subsidiary directly holding a License or that is in control of a Person that holds a License, to the extent that such assignment or change of control would require the prior approval by the FCC under the Communications Act and/or any applicable PUC under the PUC Laws without first obtaining such required approval.</w:t>
      </w:r>
    </w:p>
    <w:p>
      <w:pPr>
        <w:spacing w:after="0" w:line="18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Upon any action to commence the exercise of remedies hereunder or under the other Loan Documents, each Loan Party hereby undertakes and agrees on behalf of itself, the other Loan Parties and the Subsidiaries of any Loan Party, to cooperate and join with the Administrative Agent, and cause the other Loan Parties and the Subsidiaries of any Loan Party, to cooperate and join with the Administrative Agent, in any application to any Governmental Authority which may be required in order to permit the Administrative Agent to exercise its rights and remedies under the Loan Documents and to provide such assistance in connection therewith as the Administrative Agent may request, including the preparation of, consenting to or joining in of filings and appearances of officers and employees of any Loan Party or any Subsidiary of any Loan Party before such Governmental Authority, in each case in support of any such application made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nothing herein shall be construed to require any of the Loan Parties nor any of the Subsidiaries of any Loan Party to, directly or indirectly, violate any terms or conditions of any License. The obligation of the Loan Parties to make all payments required to be made under this Agreement or any other Loan Document shall be absolute and unconditional; provided, however, in the event any portion of the debt, is disallowed under applicable Law or by action of the FCC or any PUC, then such disallowance shall be limited to the specific Loan Parties and Loan amounts impacted by such FCC or PUC action or required by applicable Law.</w:t>
      </w:r>
    </w:p>
    <w:p>
      <w:pPr>
        <w:spacing w:after="0" w:line="19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11.16 </w:t>
      </w:r>
      <w:r>
        <w:rPr>
          <w:rFonts w:ascii="Times New Roman" w:cs="Times New Roman" w:eastAsia="Times New Roman" w:hAnsi="Times New Roman"/>
          <w:sz w:val="20"/>
          <w:szCs w:val="20"/>
          <w:b w:val="1"/>
          <w:bCs w:val="1"/>
          <w:u w:val="single" w:color="auto"/>
          <w:color w:val="auto"/>
        </w:rPr>
        <w:t>Keepwell</w:t>
      </w:r>
      <w:r>
        <w:rPr>
          <w:rFonts w:ascii="Times New Roman" w:cs="Times New Roman" w:eastAsia="Times New Roman" w:hAnsi="Times New Roman"/>
          <w:sz w:val="20"/>
          <w:szCs w:val="20"/>
          <w:color w:val="auto"/>
        </w:rPr>
        <w:t xml:space="preserve">. Each Qualified ECP Guarantor hereby jointly and severally absolutely, unconditionally and irrevocably undertakes to provide such funds or other support to each other Loan Party as may be needed by such Loan Party from time to time to honor all of its obligations under this Agreement and the other Loan Documents to which it is a party with respect to Swap Obligations permitted under this Agreement that would, in the absence of the agreement in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11.16</w:t>
      </w:r>
      <w:r>
        <w:rPr>
          <w:rFonts w:ascii="Times New Roman" w:cs="Times New Roman" w:eastAsia="Times New Roman" w:hAnsi="Times New Roman"/>
          <w:sz w:val="20"/>
          <w:szCs w:val="20"/>
          <w:color w:val="auto"/>
        </w:rPr>
        <w:t xml:space="preserve">, otherwise constitute Excluded Swap Obligations (but, in each case, only up to the maximum amount of such liability that can be hereby incurred without rendering such Qualified ECP Guarantors’ obligations and undertakings under this Section voidable under applicable Law relating to fraudulent conveyance or fraudulent transfer, and not for any greater amount). The obligations, undertakings and guaranty of the Qualified ECP Guarantors under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shall remain in full force and effect until Payment In Full of the Obligations and termination of all the Commitments. The Borrower and the Qualified ECP Guarantors intend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to constitute, and this </w:t>
      </w:r>
      <w:r>
        <w:rPr>
          <w:rFonts w:ascii="Times New Roman" w:cs="Times New Roman" w:eastAsia="Times New Roman" w:hAnsi="Times New Roman"/>
          <w:sz w:val="20"/>
          <w:szCs w:val="20"/>
          <w:u w:val="single" w:color="auto"/>
          <w:color w:val="auto"/>
        </w:rPr>
        <w:t>Section 11.16</w:t>
      </w:r>
      <w:r>
        <w:rPr>
          <w:rFonts w:ascii="Times New Roman" w:cs="Times New Roman" w:eastAsia="Times New Roman" w:hAnsi="Times New Roman"/>
          <w:sz w:val="20"/>
          <w:szCs w:val="20"/>
          <w:color w:val="auto"/>
        </w:rPr>
        <w:t xml:space="preserve"> shall be deemed to constitute, a guarantee of the obligations of, and a “keepwell, support, or other agreement” for the benefit of, each Loan Party for all purposes of the Commodity Exchange Act.</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11.17 </w:t>
      </w:r>
      <w:r>
        <w:rPr>
          <w:rFonts w:ascii="Times New Roman" w:cs="Times New Roman" w:eastAsia="Times New Roman" w:hAnsi="Times New Roman"/>
          <w:sz w:val="20"/>
          <w:szCs w:val="20"/>
          <w:b w:val="1"/>
          <w:bCs w:val="1"/>
          <w:u w:val="single" w:color="auto"/>
          <w:color w:val="auto"/>
        </w:rPr>
        <w:t>No Advisory or Fiduciary Responsibility</w:t>
      </w:r>
      <w:r>
        <w:rPr>
          <w:rFonts w:ascii="Times New Roman" w:cs="Times New Roman" w:eastAsia="Times New Roman" w:hAnsi="Times New Roman"/>
          <w:sz w:val="20"/>
          <w:szCs w:val="20"/>
          <w:color w:val="auto"/>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(a) (i) no fiduciary, advisory or agency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1" w:name="page402"/>
    <w:bookmarkEnd w:id="401"/>
    <w:p>
      <w:pPr>
        <w:jc w:val="both"/>
        <w:spacing w:after="0"/>
        <w:rPr>
          <w:sz w:val="20"/>
          <w:szCs w:val="20"/>
          <w:color w:val="auto"/>
        </w:rPr>
      </w:pPr>
      <w:r>
        <w:rPr>
          <w:rFonts w:ascii="Times New Roman" w:cs="Times New Roman" w:eastAsia="Times New Roman" w:hAnsi="Times New Roman"/>
          <w:sz w:val="20"/>
          <w:szCs w:val="20"/>
          <w:color w:val="auto"/>
        </w:rPr>
        <w:t>between such Loan Party and its Subsidiaries and the Arranger, the Administrative Agent, the Swing Line Lender, the Issuing Lender or any Lender is intended to be or has been created in respect of the transactions contemplated hereby or by the other Loan Documents, irrespective of whether the Arranger, the Administrative Agent, the Swing Line Lender, the Issuing Lender or any Lender has advised or is advising any Loan Party or any Subsidiary on other matters, (ii) the arranging and other services regarding this Agreement provided by the Arranger, the Administrative Agent, the Swing Line Lender, the Issuing Lender and the Lenders are arm’s-length commercial transactions between such Loan Party and its Affiliates, on the one hand, and the Arranger, the Administrative Agent, the Swing Line Lender, the Issuing Lender and the Lenders, on the other hand, (iii) such Loan Party has consulted its own legal, accounting, regulatory and tax advisors to the extent that it has deemed appropriate and (iv) such Loan Party is capable of evaluating, and understands and accepts, the terms, risks and conditions of the transactions contemplated hereby and by the other Loan Documents; and (b) (i) the Arranger, the Administrative Agent, the Swing Line Lender, the Issuing Lender and the Lenders each is and has been acting solely as a principal and, except as expressly agreed in writing by the relevant parties, has not been, is not, and will not be acting as an advisor, agent or fiduciary for any Loan Party or any of its Affiliates, or any other Person; (ii) none of the Arranger, the Administrative Agent, the Swing Line Lender, the Issuing Lender and the Lenders has any obligation to any Loan Party or any of its Affiliates with respect to the transactions contemplated hereby except those obligations expressly set forth herein and in the other Loan Documents; and (iii) the Arranger, the Administrative Agent, the Swing Line Lender, the Issuing Lender and the Lenders and their respective Affiliates may be engaged, for their own accounts or the accounts of customers, in a broad range of transactions that involve interests that differ from those of such Loan Party and its Affiliates, and none of the Arranger, the Administrative Agent, the Swing Line Lender, the Issuing Lender and the Lenders has any obligation to disclose any of such interests to such Loan Party or its Affiliates. To the fullest extent permitted by Law, each Loan Party hereby waives and releases any claims that it may have against any of the Arranger, the Administrative Agent and the Lenders with respect to any breach or alleged breach of agency or fiduciary duty in connection with any aspect of any transaction contemplated hereby.</w:t>
      </w:r>
    </w:p>
    <w:p>
      <w:pPr>
        <w:spacing w:after="0" w:line="20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11.18 </w:t>
      </w:r>
      <w:r>
        <w:rPr>
          <w:rFonts w:ascii="Times New Roman" w:cs="Times New Roman" w:eastAsia="Times New Roman" w:hAnsi="Times New Roman"/>
          <w:sz w:val="19"/>
          <w:szCs w:val="19"/>
          <w:b w:val="1"/>
          <w:bCs w:val="1"/>
          <w:u w:val="single" w:color="auto"/>
          <w:color w:val="auto"/>
        </w:rPr>
        <w:t>Recovery of Erroneous Payments</w:t>
      </w:r>
      <w:r>
        <w:rPr>
          <w:rFonts w:ascii="Times New Roman" w:cs="Times New Roman" w:eastAsia="Times New Roman" w:hAnsi="Times New Roman"/>
          <w:sz w:val="19"/>
          <w:szCs w:val="19"/>
          <w:color w:val="auto"/>
        </w:rPr>
        <w:t>. Without limitation of any other provision in this Agreement, if at any time the Administrative Agent makes a payment hereunder in error to any Lender or the Issuing Lender (each, a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Party</w:t>
      </w:r>
      <w:r>
        <w:rPr>
          <w:rFonts w:ascii="Times New Roman" w:cs="Times New Roman" w:eastAsia="Times New Roman" w:hAnsi="Times New Roman"/>
          <w:sz w:val="19"/>
          <w:szCs w:val="19"/>
          <w:color w:val="auto"/>
        </w:rPr>
        <w:t>”), whether or not in respect of an Obligation due and owing by the Borrower at such time (any such payment,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Erroneous Payment</w:t>
      </w:r>
      <w:r>
        <w:rPr>
          <w:rFonts w:ascii="Times New Roman" w:cs="Times New Roman" w:eastAsia="Times New Roman" w:hAnsi="Times New Roman"/>
          <w:sz w:val="19"/>
          <w:szCs w:val="19"/>
          <w:color w:val="auto"/>
        </w:rPr>
        <w:t>”), then in any such event, each Lender Party receiving an Erroneous Payment severally agrees to repay to the Administrative Agent promptly upon demand the Erroneous Payment received by such Lender Party in immediately available funds (and in the currency so received), with interest thereon for each day from and including the date such Erroneous Payment is received by it to but excluding the date of payment to the Administrative Agent, at the greater of the Federal Funds Effective Rate and a rate determined by the Administrative Agent in accordance with banking industry rules on interbank compensation. Each Lender Party irrevocably waives any and all defenses, including any “discharge for value” (under which a creditor might otherwise claim a right to retain funds mistakenly paid by a third party in respect of a debt owed by another) or similar defense to its obligation to return any Erroneous Payment. The Administrative Agent shall inform each Lender Party promptly upon determining that any payment made to such Lender Party comprised, in whole or in part, an Erroneous Payment (and such determination shall be conclusive absent manifest error).</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11.19 </w:t>
      </w:r>
      <w:r>
        <w:rPr>
          <w:rFonts w:ascii="Times New Roman" w:cs="Times New Roman" w:eastAsia="Times New Roman" w:hAnsi="Times New Roman"/>
          <w:sz w:val="20"/>
          <w:szCs w:val="20"/>
          <w:b w:val="1"/>
          <w:bCs w:val="1"/>
          <w:u w:val="single" w:color="auto"/>
          <w:color w:val="auto"/>
        </w:rPr>
        <w:t>Acknowledgment and Consent to Bail-In of Affected Financial Institutions.</w:t>
      </w:r>
      <w:r>
        <w:rPr>
          <w:rFonts w:ascii="Times New Roman" w:cs="Times New Roman" w:eastAsia="Times New Roman" w:hAnsi="Times New Roman"/>
          <w:sz w:val="20"/>
          <w:szCs w:val="20"/>
          <w:color w:val="auto"/>
        </w:rPr>
        <w:t xml:space="preserve">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2" w:name="page403"/>
    <w:bookmarkEnd w:id="402"/>
    <w:p>
      <w:pPr>
        <w:jc w:val="both"/>
        <w:ind w:firstLine="1304"/>
        <w:spacing w:after="0" w:line="253" w:lineRule="auto"/>
        <w:tabs>
          <w:tab w:leader="none" w:pos="1944"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6"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any Bail-In Action on any such liability, including, if applicable:</w:t>
      </w:r>
    </w:p>
    <w:p>
      <w:pPr>
        <w:spacing w:after="0" w:line="215"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5"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9" w:lineRule="exact"/>
        <w:rPr>
          <w:rFonts w:ascii="Times New Roman" w:cs="Times New Roman" w:eastAsia="Times New Roman" w:hAnsi="Times New Roman"/>
          <w:sz w:val="20"/>
          <w:szCs w:val="20"/>
          <w:color w:val="auto"/>
        </w:rPr>
      </w:pPr>
    </w:p>
    <w:p>
      <w:pPr>
        <w:ind w:firstLine="1952"/>
        <w:spacing w:after="0" w:line="269" w:lineRule="auto"/>
        <w:tabs>
          <w:tab w:leader="none" w:pos="2592" w:val="left"/>
        </w:tabs>
        <w:numPr>
          <w:ilvl w:val="1"/>
          <w:numId w:val="4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XII.  GUARANTY</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20"/>
          <w:szCs w:val="20"/>
          <w:b w:val="1"/>
          <w:bCs w:val="1"/>
          <w:u w:val="single" w:color="auto"/>
          <w:color w:val="auto"/>
        </w:rPr>
        <w:t>Guaranty</w:t>
      </w:r>
      <w:r>
        <w:rPr>
          <w:rFonts w:ascii="Times New Roman" w:cs="Times New Roman" w:eastAsia="Times New Roman" w:hAnsi="Times New Roman"/>
          <w:sz w:val="20"/>
          <w:szCs w:val="20"/>
          <w:color w:val="auto"/>
        </w:rPr>
        <w:t xml:space="preserve">. Each Guarantor hereby jointly and severally, unconditionally, absolutely, continually and irrevocably guarantees to the Administrative Agent for the benefit of the Secured Parties the payment and performance in full of the Guaranteed Liabilities. For all purposes of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notwithstanding the foregoing, the liability of each Guarantor individually with respect to its Guarantors’ Obligations shall be limited to an aggregate amount equal to the Maximum Guarantor Liability. Each Guarantor agrees that it is jointly and severally, directly and primarily liable (subject to the limitation in the immediately preceding sentence) for the Guaranteed Liabilities. The Guarantors’ Obligations are secured by various Collateral.</w:t>
      </w:r>
    </w:p>
    <w:p>
      <w:pPr>
        <w:spacing w:after="0" w:line="17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b w:val="1"/>
          <w:bCs w:val="1"/>
          <w:u w:val="single" w:color="auto"/>
          <w:color w:val="auto"/>
        </w:rPr>
        <w:t>Payment</w:t>
      </w:r>
      <w:r>
        <w:rPr>
          <w:rFonts w:ascii="Times New Roman" w:cs="Times New Roman" w:eastAsia="Times New Roman" w:hAnsi="Times New Roman"/>
          <w:sz w:val="20"/>
          <w:szCs w:val="20"/>
          <w:color w:val="auto"/>
        </w:rPr>
        <w:t xml:space="preserve">. If the Borrower or any other Loan Party shall default in payment or performance of any of the Guaranteed Liabilities, whether principal, interest, premium, indemnification obligations, fees (including, but not limited to, attorney’s fees and expenses), expenses or otherwise, when and as the same shall become due, and after expiration of any applicable grace period, whether according to the terms of this Agreement, by acceleration, or otherwise, or upon the occurrence and during the continuance of any Event of Default, then any or all of the Guarantors will, upon demand thereof by the Administrative Agent, (i) fully pay to the Administrative Agent, for the benefit of the Secured Parties, an amount equal to all the Guaranteed Liabilities then due and owing or declared or deemed to be due and owing, including for this purpose, in the event of any Event of Default under </w:t>
      </w:r>
      <w:r>
        <w:rPr>
          <w:rFonts w:ascii="Times New Roman" w:cs="Times New Roman" w:eastAsia="Times New Roman" w:hAnsi="Times New Roman"/>
          <w:sz w:val="20"/>
          <w:szCs w:val="20"/>
          <w:u w:val="single" w:color="auto"/>
          <w:color w:val="auto"/>
        </w:rPr>
        <w:t>Section 9.1(l)</w:t>
      </w:r>
      <w:r>
        <w:rPr>
          <w:rFonts w:ascii="Times New Roman" w:cs="Times New Roman" w:eastAsia="Times New Roman" w:hAnsi="Times New Roman"/>
          <w:sz w:val="20"/>
          <w:szCs w:val="20"/>
          <w:color w:val="auto"/>
        </w:rPr>
        <w:t xml:space="preserve"> (and irrespective of the applicability of any restriction on acceleration or other action as against any other Loan Party in any Insolvency Proceeding), the entire outstanding or accrued amount of all Secured Obligations or (ii) perform such Guaranteed Liabilities, as applicable. For purposes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12.2</w:t>
      </w:r>
      <w:r>
        <w:rPr>
          <w:rFonts w:ascii="Times New Roman" w:cs="Times New Roman" w:eastAsia="Times New Roman" w:hAnsi="Times New Roman"/>
          <w:sz w:val="20"/>
          <w:szCs w:val="20"/>
          <w:color w:val="auto"/>
        </w:rPr>
        <w:t xml:space="preserve">, the Guarantors acknowledge and agree that “Guaranteed Liabilities” shall be deemed to include any amount (whether principal, interest, premium, fees, expenses, indemnification obligations and/or any other payment obligation of any kind or nature) which would have been accelerated in accordance with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but for the fact that such acceleration could be unenforceable or not allowable in any Insolvency Proceeding or otherwise under any applicable Law. Notwithstanding anything herein to the contrary, upon the occurrence and continuation of an Event of Default, then notwithstanding any Collateral or other direct or indirect security or credit support for the Guaranteed Liabilities, at the Administrative Agent’s election and without notice thereof or demand therefor, each of the Guaranteed Liabilities and the Guarantors’ Obligations shall immediately be and become due and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3" w:name="page404"/>
    <w:bookmarkEnd w:id="403"/>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12.3 </w:t>
      </w:r>
      <w:r>
        <w:rPr>
          <w:rFonts w:ascii="Times New Roman" w:cs="Times New Roman" w:eastAsia="Times New Roman" w:hAnsi="Times New Roman"/>
          <w:sz w:val="20"/>
          <w:szCs w:val="20"/>
          <w:b w:val="1"/>
          <w:bCs w:val="1"/>
          <w:u w:val="single" w:color="auto"/>
          <w:color w:val="auto"/>
        </w:rPr>
        <w:t>Absolute Rights and Obligations</w:t>
      </w:r>
      <w:r>
        <w:rPr>
          <w:rFonts w:ascii="Times New Roman" w:cs="Times New Roman" w:eastAsia="Times New Roman" w:hAnsi="Times New Roman"/>
          <w:sz w:val="20"/>
          <w:szCs w:val="20"/>
          <w:color w:val="auto"/>
        </w:rPr>
        <w:t xml:space="preserve">. This is a guaranty of payment and not of collection. The Guarantors’ Obligations under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shall be joint and several, absolute and unconditional irrespective of, and each Guarantor hereby expressly waives, to the extent not otherwise expressly prohibited by applicable Law, any defense to its obligations under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and all other Loan Documents to which it is a party by reason of:</w:t>
      </w:r>
    </w:p>
    <w:p>
      <w:pPr>
        <w:spacing w:after="0" w:line="179" w:lineRule="exact"/>
        <w:rPr>
          <w:sz w:val="20"/>
          <w:szCs w:val="20"/>
          <w:color w:val="auto"/>
        </w:rPr>
      </w:pPr>
    </w:p>
    <w:p>
      <w:pPr>
        <w:jc w:val="both"/>
        <w:ind w:firstLine="1304"/>
        <w:spacing w:after="0" w:line="246" w:lineRule="auto"/>
        <w:tabs>
          <w:tab w:leader="none" w:pos="1944"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lack of legality, validity or enforceability of this Agreement, or any of the Notes, or any other Loan Document, or of any other agreement or instrument creating, providing security for, or otherwise relating to any of the Guarantors’ Obligations, any of the Guaranteed Liabilities, or any other guaranty of any of the Guaranteed Liabilities (the Loan Documents, the documentation with respect to any Other Liabilities and all such other agreements and instruments being collectively referred to as the “</w:t>
      </w:r>
      <w:r>
        <w:rPr>
          <w:rFonts w:ascii="Times New Roman" w:cs="Times New Roman" w:eastAsia="Times New Roman" w:hAnsi="Times New Roman"/>
          <w:sz w:val="20"/>
          <w:szCs w:val="20"/>
          <w:b w:val="1"/>
          <w:bCs w:val="1"/>
          <w:color w:val="auto"/>
        </w:rPr>
        <w:t>Related Agreements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action taken under any of the Related Agreements, any exercise of any right or power therein conferred, any failure or omission to enforce any right conferred thereby, or any waiver of any covenant or condition therein provided;</w:t>
      </w:r>
    </w:p>
    <w:p>
      <w:pPr>
        <w:spacing w:after="0" w:line="174" w:lineRule="exact"/>
        <w:rPr>
          <w:rFonts w:ascii="Times New Roman" w:cs="Times New Roman" w:eastAsia="Times New Roman" w:hAnsi="Times New Roman"/>
          <w:sz w:val="20"/>
          <w:szCs w:val="20"/>
          <w:color w:val="auto"/>
        </w:rPr>
      </w:pPr>
    </w:p>
    <w:p>
      <w:pPr>
        <w:ind w:firstLine="1304"/>
        <w:spacing w:after="0" w:line="295" w:lineRule="auto"/>
        <w:tabs>
          <w:tab w:leader="none" w:pos="1944" w:val="left"/>
        </w:tabs>
        <w:numPr>
          <w:ilvl w:val="0"/>
          <w:numId w:val="4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acceleration of the maturity of any of the Guaranteed Liabilities, of the Guarantors’ Obligations of any other Guarantor, or of any other obligations or liabilities of any Person under any of the Related Agreements;</w:t>
      </w:r>
    </w:p>
    <w:p>
      <w:pPr>
        <w:spacing w:after="0" w:line="137" w:lineRule="exact"/>
        <w:rPr>
          <w:rFonts w:ascii="Times New Roman" w:cs="Times New Roman" w:eastAsia="Times New Roman" w:hAnsi="Times New Roman"/>
          <w:sz w:val="19"/>
          <w:szCs w:val="19"/>
          <w:color w:val="auto"/>
        </w:rPr>
      </w:pPr>
    </w:p>
    <w:p>
      <w:pPr>
        <w:jc w:val="both"/>
        <w:ind w:firstLine="1304"/>
        <w:spacing w:after="0" w:line="254" w:lineRule="auto"/>
        <w:tabs>
          <w:tab w:leader="none" w:pos="1944"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release, exchange, non-perfection, lapse in perfection, disposal, deterioration in value, or impairment of any security for any of the Guaranteed Liabilities, for any of the Guarantors’ Obligations of any Guarantor, or for any other obligations or liabilities of any Person under any of the Related Agreements;</w:t>
      </w:r>
    </w:p>
    <w:p>
      <w:pPr>
        <w:spacing w:after="0" w:line="17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change in the corporate or limited liability company existence, structure or ownership, including dissolution, of the Borrower, any Guarantor, any other Loan Party or any other party to a Related Agreement, or the combination or consolidation of the Borrower, any Guarantor, any other Loan Party or any other party to a Related Agreement into or with another entity or any transfer or disposition of any assets of the Borrower, any Guarantor or any other Loan Party or any other party to a Related Agreement;</w:t>
      </w:r>
    </w:p>
    <w:p>
      <w:pPr>
        <w:spacing w:after="0" w:line="184" w:lineRule="exact"/>
        <w:rPr>
          <w:rFonts w:ascii="Times New Roman" w:cs="Times New Roman" w:eastAsia="Times New Roman" w:hAnsi="Times New Roman"/>
          <w:sz w:val="20"/>
          <w:szCs w:val="20"/>
          <w:color w:val="auto"/>
        </w:rPr>
      </w:pPr>
    </w:p>
    <w:p>
      <w:pPr>
        <w:jc w:val="both"/>
        <w:ind w:right="20" w:firstLine="1304"/>
        <w:spacing w:after="0" w:line="249" w:lineRule="auto"/>
        <w:tabs>
          <w:tab w:leader="none" w:pos="1944"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extension (including extensions of time for payment), renewal, amendment, restructuring or restatement of, any acceptance of late or partial payments under, or any change in the amount of any borrowings or any credit facilities available under, this Agreement, any of the Notes or any other Loan Document or any other Related Agreement, in whole or in part;</w:t>
      </w:r>
    </w:p>
    <w:p>
      <w:pPr>
        <w:spacing w:after="0" w:line="179" w:lineRule="exact"/>
        <w:rPr>
          <w:rFonts w:ascii="Times New Roman" w:cs="Times New Roman" w:eastAsia="Times New Roman" w:hAnsi="Times New Roman"/>
          <w:sz w:val="20"/>
          <w:szCs w:val="20"/>
          <w:color w:val="auto"/>
        </w:rPr>
      </w:pPr>
    </w:p>
    <w:p>
      <w:pPr>
        <w:jc w:val="both"/>
        <w:ind w:firstLine="1304"/>
        <w:spacing w:after="0" w:line="254" w:lineRule="auto"/>
        <w:tabs>
          <w:tab w:leader="none" w:pos="1944"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addition, modification, termination, reduction or impairment of value, or release of any other guaranty (or security therefor) of the Guaranteed Liabilities (including the Guarantors’ Obligations of any other Guarantor and obligations arising under any other Guaranty or any other Loan Document now or hereafter in effect);</w:t>
      </w:r>
    </w:p>
    <w:p>
      <w:pPr>
        <w:spacing w:after="0" w:line="174" w:lineRule="exact"/>
        <w:rPr>
          <w:rFonts w:ascii="Times New Roman" w:cs="Times New Roman" w:eastAsia="Times New Roman" w:hAnsi="Times New Roman"/>
          <w:sz w:val="20"/>
          <w:szCs w:val="20"/>
          <w:color w:val="auto"/>
        </w:rPr>
      </w:pPr>
    </w:p>
    <w:p>
      <w:pPr>
        <w:jc w:val="both"/>
        <w:ind w:firstLine="1304"/>
        <w:spacing w:after="0" w:line="249" w:lineRule="auto"/>
        <w:tabs>
          <w:tab w:leader="none" w:pos="1944"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waiver of, forbearance or indulgence under, or other consent to any change in or departure from any term or provision contained in this Agreement, any other Loan Document or any other Related Agreement, including any term pertaining to the payment or performance of any of the Guaranteed Liabilities, any of the Guarantors’ Obligations of any other Guarantor, or any of the obligations or liabilities of any party to any other Related Agreement;</w:t>
      </w:r>
    </w:p>
    <w:p>
      <w:pPr>
        <w:spacing w:after="0" w:line="179" w:lineRule="exact"/>
        <w:rPr>
          <w:rFonts w:ascii="Times New Roman" w:cs="Times New Roman" w:eastAsia="Times New Roman" w:hAnsi="Times New Roman"/>
          <w:sz w:val="20"/>
          <w:szCs w:val="20"/>
          <w:color w:val="auto"/>
        </w:rPr>
      </w:pPr>
    </w:p>
    <w:p>
      <w:pPr>
        <w:ind w:firstLine="1304"/>
        <w:spacing w:after="0" w:line="269" w:lineRule="auto"/>
        <w:tabs>
          <w:tab w:leader="none" w:pos="1944" w:val="left"/>
        </w:tabs>
        <w:numPr>
          <w:ilvl w:val="0"/>
          <w:numId w:val="4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failure to assert any breach of or default under any Loan Document or with respect to the payment or performance of any of the Guaranteed Liabilities, any of the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04" w:name="page405"/>
    <w:bookmarkEnd w:id="40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Obligations of any Guarantor, or any of the obligations or liabilities of any party to any other Related Agreement; any extensions of credit in excess of the amount committed under or contemplated by the Loan Documents, or in circumstances in which any condition to such extensions of credit has not been satisfied; any other exercise or non-exercise, or any other failure, omission, breach, default, delay, or wrongful action in connection with any exercise or non-exercise, of any right or remedy against the Borrower, any other Loan Party or any other Person under or in connection with any Loan Document, any Related Agreement or any of the Guaranteed Liabilities or any Guarantors’ Obligation; any refusal of payment or performance of any of the Guaranteed Liabilities or any Guarantors’ Obligation, whether or not with any reservation of rights against any Guarantor; or any application of collections (including but not limited to collections resulting from realization upon any direct or indirect security for the Guaranteed Liabilities) to other obligations, if any, not entitled to the benefits of the Guaranty provided for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in preference to Guaranteed Liabilities or Guarantors’ Obligations entitled to the benefits of the Guaranty provided for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or if any collections are applied to the payment of Guaranteed Liabilities, any application to particular Guaranteed Liabilities;</w:t>
      </w:r>
    </w:p>
    <w:p>
      <w:pPr>
        <w:spacing w:after="0" w:line="186" w:lineRule="exact"/>
        <w:rPr>
          <w:sz w:val="20"/>
          <w:szCs w:val="20"/>
          <w:color w:val="auto"/>
        </w:rPr>
      </w:pPr>
    </w:p>
    <w:p>
      <w:pPr>
        <w:jc w:val="both"/>
        <w:ind w:firstLine="1304"/>
        <w:spacing w:after="0" w:line="242" w:lineRule="auto"/>
        <w:tabs>
          <w:tab w:leader="none" w:pos="1944"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taking, exchange, amendment, modification, waiver, supplement, termination, subordination, compromise, release, surrender, loss, or impairment of, or any failure to protect, perfect, or preserve the value of, or any enforcement of, realization upon, or exercise of rights, or remedies under or in connection with, or any failure, omission, breach, default, delay, or wrongful action by the Administrative Agent or the other Secured Parties, or any of them, or any other Person in connection with the enforcement of, realization upon, or exercise of rights or remedies under or in connection with, or, any other action or inaction by the Administrative Agent or the other Secured Parties, or any of them, or any other Person in respect of, any direct or indirect security for any of the Guaranteed Liabilities. As used in this </w:t>
      </w:r>
      <w:r>
        <w:rPr>
          <w:rFonts w:ascii="Times New Roman" w:cs="Times New Roman" w:eastAsia="Times New Roman" w:hAnsi="Times New Roman"/>
          <w:sz w:val="20"/>
          <w:szCs w:val="20"/>
          <w:u w:val="single" w:color="auto"/>
          <w:color w:val="auto"/>
        </w:rPr>
        <w:t>Article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XII</w:t>
      </w:r>
      <w:r>
        <w:rPr>
          <w:rFonts w:ascii="Times New Roman" w:cs="Times New Roman" w:eastAsia="Times New Roman" w:hAnsi="Times New Roman"/>
          <w:sz w:val="20"/>
          <w:szCs w:val="20"/>
          <w:color w:val="auto"/>
        </w:rPr>
        <w:t>, “direct or indirect security” for the Guaranteed Liabilities, and similar phrases, includes any collateral security, guaranty, suretyship, letter of credit, capital maintenance agreement, put option, subordination agreement, or other right or arrangement of any nature providing direct or indirect assurance of payment or performance of any of the Guaranteed Liabilities, made by or on behalf of any Person;</w:t>
      </w:r>
    </w:p>
    <w:p>
      <w:pPr>
        <w:spacing w:after="0" w:line="189" w:lineRule="exact"/>
        <w:rPr>
          <w:rFonts w:ascii="Times New Roman" w:cs="Times New Roman" w:eastAsia="Times New Roman" w:hAnsi="Times New Roman"/>
          <w:sz w:val="20"/>
          <w:szCs w:val="20"/>
          <w:color w:val="auto"/>
        </w:rPr>
      </w:pPr>
    </w:p>
    <w:p>
      <w:pPr>
        <w:jc w:val="both"/>
        <w:ind w:firstLine="1304"/>
        <w:spacing w:after="0" w:line="245" w:lineRule="auto"/>
        <w:tabs>
          <w:tab w:leader="none" w:pos="1944"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consolidation, liquidation, dissolution, winding-up, charter revocation, or forfeiture, or other change in, restructuring or termination of the corporate structure or existence of, the Borrower, any other Loan Party or any other Person; any bankruptcy, insolvency, reorganization or similar proceeding with respect to the Borrower, any other Loan Party or any other Person; or any action taken or election made by the Administrative Agent or the other Secured Parties, or any of them (including but not limited to any election under Section 1111(b)(2) of the Bankruptcy Code), the Borrower, any other Loan Party or any other Person in connection with any such proceeding;</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defense, set-off, or counterclaim which may at any time be available to or be asserted by the Borrower, any other Loan Party or any other Person with respect to any Loan Document, any of the Guaranteed Liabilities, any Guarantors’ Obligation, or with respect to any Related Agreement; or any discharge by operation of law or release of the Borrower, any other Loan Party or any other Person from the performance or observance of any Loan Document or any of the Guaranteed Liabilities or Guarantors’ Obligations;</w:t>
      </w:r>
    </w:p>
    <w:p>
      <w:pPr>
        <w:spacing w:after="0" w:line="184" w:lineRule="exact"/>
        <w:rPr>
          <w:rFonts w:ascii="Times New Roman" w:cs="Times New Roman" w:eastAsia="Times New Roman" w:hAnsi="Times New Roman"/>
          <w:sz w:val="20"/>
          <w:szCs w:val="20"/>
          <w:color w:val="auto"/>
        </w:rPr>
      </w:pPr>
    </w:p>
    <w:p>
      <w:pPr>
        <w:jc w:val="both"/>
        <w:ind w:firstLine="1304"/>
        <w:spacing w:after="0" w:line="246" w:lineRule="auto"/>
        <w:tabs>
          <w:tab w:leader="none" w:pos="1944" w:val="left"/>
        </w:tabs>
        <w:numPr>
          <w:ilvl w:val="0"/>
          <w:numId w:val="4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circumstance whatsoever (with or without notice to or knowledge of any Guarantor or any other Loan Party) which might in any manner or to any extent vary the risks of such Loan Party, or might otherwise constitute a legal or equitable defense available to, or discharge of, a surety or a guarantor, including any right to require or claim that resort be had to the Borrower or any other Loan Party or to any Collateral or other security in respect of the Guaranteed Liabilities or Guarantors’ Obligations.</w:t>
      </w:r>
    </w:p>
    <w:p>
      <w:pPr>
        <w:spacing w:after="0" w:line="185"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It is the express purpose and intent of the parties hereto that this Guaranty, the Guaranteed Liabilities and the Guarantors’ Obligations hereunder and under each Joinder Agreement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5" w:name="page406"/>
    <w:bookmarkEnd w:id="405"/>
    <w:p>
      <w:pPr>
        <w:spacing w:after="0" w:line="268" w:lineRule="auto"/>
        <w:rPr>
          <w:sz w:val="20"/>
          <w:szCs w:val="20"/>
          <w:color w:val="auto"/>
        </w:rPr>
      </w:pPr>
      <w:r>
        <w:rPr>
          <w:rFonts w:ascii="Times New Roman" w:cs="Times New Roman" w:eastAsia="Times New Roman" w:hAnsi="Times New Roman"/>
          <w:sz w:val="20"/>
          <w:szCs w:val="20"/>
          <w:color w:val="auto"/>
        </w:rPr>
        <w:t>hereto shall be absolute and unconditional under any and all circumstances and shall not be discharged except by payment and performance as herein provided.</w:t>
      </w:r>
    </w:p>
    <w:p>
      <w:pPr>
        <w:spacing w:after="0" w:line="15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12.4</w:t>
      </w:r>
      <w:r>
        <w:rPr>
          <w:sz w:val="20"/>
          <w:szCs w:val="20"/>
          <w:color w:val="auto"/>
        </w:rPr>
        <w:tab/>
      </w:r>
      <w:r>
        <w:rPr>
          <w:rFonts w:ascii="Times New Roman" w:cs="Times New Roman" w:eastAsia="Times New Roman" w:hAnsi="Times New Roman"/>
          <w:sz w:val="19"/>
          <w:szCs w:val="19"/>
          <w:b w:val="1"/>
          <w:bCs w:val="1"/>
          <w:u w:val="single" w:color="auto"/>
          <w:color w:val="auto"/>
        </w:rPr>
        <w:t>Maximum Liability</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5" w:lineRule="auto"/>
        <w:tabs>
          <w:tab w:leader="none" w:pos="1944" w:val="left"/>
        </w:tabs>
        <w:numPr>
          <w:ilvl w:val="0"/>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any provision to the contrary contained herein or in any other of the Loan Documents, to the extent any Guarantors’ Obligations shall be adjudicated to be invalid or unenforceable for any reason (including because of any applicable Law relating to fraudulent conveyances or transfers) then the obligations of each such Guarantor hereunder shall be limited to the maximum amount that is permissible under applicable Law (whether federal or state and including any Debtor Relief Law). Any analysis of the provisions hereof for purposes of laws relating to fraudulent conveyances or transfers shall take into account the contribution agreement established in </w:t>
      </w:r>
      <w:r>
        <w:rPr>
          <w:rFonts w:ascii="Times New Roman" w:cs="Times New Roman" w:eastAsia="Times New Roman" w:hAnsi="Times New Roman"/>
          <w:sz w:val="20"/>
          <w:szCs w:val="20"/>
          <w:u w:val="single" w:color="auto"/>
          <w:color w:val="auto"/>
        </w:rPr>
        <w:t>Section 12.5</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firstLine="1952"/>
        <w:spacing w:after="0" w:line="273" w:lineRule="auto"/>
        <w:tabs>
          <w:tab w:leader="none" w:pos="2592" w:val="left"/>
        </w:tabs>
        <w:numPr>
          <w:ilvl w:val="1"/>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Guarantor’s maximum obligations hereunder (the “</w:t>
      </w:r>
      <w:r>
        <w:rPr>
          <w:rFonts w:ascii="Times New Roman" w:cs="Times New Roman" w:eastAsia="Times New Roman" w:hAnsi="Times New Roman"/>
          <w:sz w:val="20"/>
          <w:szCs w:val="20"/>
          <w:b w:val="1"/>
          <w:bCs w:val="1"/>
          <w:color w:val="auto"/>
        </w:rPr>
        <w:t>Maximum Guarantor Liability</w:t>
      </w:r>
      <w:r>
        <w:rPr>
          <w:rFonts w:ascii="Times New Roman" w:cs="Times New Roman" w:eastAsia="Times New Roman" w:hAnsi="Times New Roman"/>
          <w:sz w:val="20"/>
          <w:szCs w:val="20"/>
          <w:color w:val="auto"/>
        </w:rPr>
        <w:t>”) in any case or proceeding referred to below (but only in such a case or proceeding) shall not be in excess of:</w:t>
      </w:r>
    </w:p>
    <w:p>
      <w:pPr>
        <w:spacing w:after="0" w:line="155" w:lineRule="exact"/>
        <w:rPr>
          <w:rFonts w:ascii="Times New Roman" w:cs="Times New Roman" w:eastAsia="Times New Roman" w:hAnsi="Times New Roman"/>
          <w:sz w:val="20"/>
          <w:szCs w:val="20"/>
          <w:color w:val="auto"/>
        </w:rPr>
      </w:pPr>
    </w:p>
    <w:p>
      <w:pPr>
        <w:jc w:val="both"/>
        <w:ind w:firstLine="2600"/>
        <w:spacing w:after="0" w:line="244" w:lineRule="auto"/>
        <w:tabs>
          <w:tab w:leader="none" w:pos="3240" w:val="left"/>
        </w:tabs>
        <w:numPr>
          <w:ilvl w:val="2"/>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or proceeding commenced by or against such Guarantor under the Bankruptcy Code on or within one year from the date on which any of the Guaranteed Liabilities are incurred, the maximum amount that would not otherwise cause the Guarantors’ Obligations of such Guarantor (or any other obligations of such Guarantor to Administrative Agent, Lenders and any other Person holding any of the Guaranteed Liabilities or the Guarantors’ Obligations) to be avoidable or unenforceable against such Guarantor under (A) Section 548 of the Bankruptcy Code or (B) any state fraudulent transfer or fraudulent conveyance act or statute applied in such case or proceeding by virtue of Section 544 of the Bankruptcy Code; or</w:t>
      </w:r>
    </w:p>
    <w:p>
      <w:pPr>
        <w:spacing w:after="0" w:line="185" w:lineRule="exact"/>
        <w:rPr>
          <w:rFonts w:ascii="Times New Roman" w:cs="Times New Roman" w:eastAsia="Times New Roman" w:hAnsi="Times New Roman"/>
          <w:sz w:val="20"/>
          <w:szCs w:val="20"/>
          <w:color w:val="auto"/>
        </w:rPr>
      </w:pPr>
    </w:p>
    <w:p>
      <w:pPr>
        <w:jc w:val="both"/>
        <w:ind w:firstLine="2600"/>
        <w:spacing w:after="0" w:line="244" w:lineRule="auto"/>
        <w:tabs>
          <w:tab w:leader="none" w:pos="3240" w:val="left"/>
        </w:tabs>
        <w:numPr>
          <w:ilvl w:val="2"/>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or proceeding commenced by or against such Guarantor under the Bankruptcy Code subsequent to one year from the date on which any of the Guaranteed Liabilities or Guarantors’ Obligations of such Guarantor are incurred, the maximum amount that would not otherwise cause the Guarantors’ Obligations of such Guarantor (or any other obligations of such Guarantor to Administrative Agent, Lenders and any other Person holding any of the Guaranteed Liabilities or the Guarantors’ Obligations) to be avoidable or unenforceable against such Guarantor under any state fraudulent transfer or fraudulent conveyance act or statute applied in any such case or proceeding by virtue of Section 544 of the Bankruptcy Code; or</w:t>
      </w:r>
    </w:p>
    <w:p>
      <w:pPr>
        <w:spacing w:after="0" w:line="185" w:lineRule="exact"/>
        <w:rPr>
          <w:rFonts w:ascii="Times New Roman" w:cs="Times New Roman" w:eastAsia="Times New Roman" w:hAnsi="Times New Roman"/>
          <w:sz w:val="20"/>
          <w:szCs w:val="20"/>
          <w:color w:val="auto"/>
        </w:rPr>
      </w:pPr>
    </w:p>
    <w:p>
      <w:pPr>
        <w:jc w:val="both"/>
        <w:ind w:firstLine="2600"/>
        <w:spacing w:after="0" w:line="242" w:lineRule="auto"/>
        <w:tabs>
          <w:tab w:leader="none" w:pos="3240" w:val="left"/>
        </w:tabs>
        <w:numPr>
          <w:ilvl w:val="2"/>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or proceeding commenced by or against such Guarantor under any Debtor Relief Law other than the Bankruptcy Code, the maximum amount that would not otherwise cause the Guarantors’ Obligations of such Guarantor (or any other obligations of such Guarantor to Administrative Agent, Lenders and any other Person holding any of the Guaranteed Liabilities or the Guarantors’ Obligations) to be avoidable or unenforceable against such Guarantor under such Debtor Relief Law, including any state fraudulent transfer or fraudulent conveyance act or statute applied in any such case or proceeding. (The substantive state or federal laws under which the possible avoidance or unenforceability of the Guarantors’ Obligations of such Guarantor (or any other obligations of such Guarantor to Administrative Agent, Lenders and any other Person holding any of the Guaranteed Liabilities or the Guarantors’ Obligations) shall be determined in any such case or proceeding shall hereinafter be referred to as the “</w:t>
      </w:r>
      <w:r>
        <w:rPr>
          <w:rFonts w:ascii="Times New Roman" w:cs="Times New Roman" w:eastAsia="Times New Roman" w:hAnsi="Times New Roman"/>
          <w:sz w:val="20"/>
          <w:szCs w:val="20"/>
          <w:b w:val="1"/>
          <w:bCs w:val="1"/>
          <w:color w:val="auto"/>
        </w:rPr>
        <w:t>Avoidance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Provisions</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firstLine="1952"/>
        <w:spacing w:after="0" w:line="249" w:lineRule="auto"/>
        <w:tabs>
          <w:tab w:leader="none" w:pos="2592" w:val="left"/>
        </w:tabs>
        <w:numPr>
          <w:ilvl w:val="1"/>
          <w:numId w:val="4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set forth above, but only to the extent that the Guarantors’ Obligations of such Guarantor or the transfers made by such Guarantor under the Collateral Documents to which it is a party, would otherwise be subject to avoidance under any Avoidance Provisions if such Guarantor is not deemed to have received valuable consideration, fair value, fair consideration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6" w:name="page407"/>
    <w:bookmarkEnd w:id="406"/>
    <w:p>
      <w:pPr>
        <w:jc w:val="both"/>
        <w:spacing w:after="0" w:line="241" w:lineRule="auto"/>
        <w:rPr>
          <w:sz w:val="20"/>
          <w:szCs w:val="20"/>
          <w:color w:val="auto"/>
        </w:rPr>
      </w:pPr>
      <w:r>
        <w:rPr>
          <w:rFonts w:ascii="Times New Roman" w:cs="Times New Roman" w:eastAsia="Times New Roman" w:hAnsi="Times New Roman"/>
          <w:sz w:val="20"/>
          <w:szCs w:val="20"/>
          <w:color w:val="auto"/>
        </w:rPr>
        <w:t>reasonably equivalent value for such transfers or obligations, or if such transfers or the Guarantors’ Obligations of such Guarantor would render such Guarantor insolvent, or leave such Guarantor with an unreasonably small capital or unreasonably small assets to conduct its business, or cause such Guarantor to have incurred debts (or to have intended to have incurred debts) beyond its ability to pay such debts as they mature, in each case as of the time any of such Guarantors’ Obligations are deemed to have been incurred and transfers made under such Avoidance Provisions, then such Guarantors’ Obligations shall be reduced to that amount which, after giving effect thereto, would not cause the Guarantors’ Obligations of such Guarantor (or any other obligations of such Guarantor to Administrative Agent, Lenders and any other Person holding any of the Guaranteed Liabilities or the Guarantors’ Obligations), as so reduced, to be subject to avoidance under such Avoidance Provisions. This paragraph is intended solely to preserve the rights hereunder of Administrative Agent, Lenders and any other Person holding any of the Guaranteed Liabilities to the maximum extent that would not cause such Guarantors’ Obligations to be subject to avoidance under any Avoidance Provisions, and neither such Guarantor nor any other Person shall have any right, defense, offset, or claim under this paragraph as against Administrative Agent, Lenders or any other Person holding any of the Guaranteed Liabilities or the Guarantors’ Obligations that would not otherwise be available to such Person under the Avoidance Provisions.</w:t>
      </w:r>
    </w:p>
    <w:p>
      <w:pPr>
        <w:spacing w:after="0" w:line="195" w:lineRule="exact"/>
        <w:rPr>
          <w:sz w:val="20"/>
          <w:szCs w:val="20"/>
          <w:color w:val="auto"/>
        </w:rPr>
      </w:pPr>
    </w:p>
    <w:p>
      <w:pPr>
        <w:jc w:val="both"/>
        <w:ind w:firstLine="1304"/>
        <w:spacing w:after="0" w:line="254" w:lineRule="auto"/>
        <w:tabs>
          <w:tab w:leader="none" w:pos="1944" w:val="left"/>
        </w:tabs>
        <w:numPr>
          <w:ilvl w:val="0"/>
          <w:numId w:val="4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agrees that the Guarantors’ Obligations of such Guarantor may at any time and from time to time exceed the Maximum Guarantor Liability, without impairing the guaranty or any provision contained herein or affecting the rights and remedies of Administrative Agent hereunder.</w:t>
      </w:r>
    </w:p>
    <w:p>
      <w:pPr>
        <w:spacing w:after="0" w:line="17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b w:val="1"/>
          <w:bCs w:val="1"/>
          <w:u w:val="single" w:color="auto"/>
          <w:color w:val="auto"/>
        </w:rPr>
        <w:t>Contribution Agreement</w:t>
      </w:r>
      <w:r>
        <w:rPr>
          <w:rFonts w:ascii="Times New Roman" w:cs="Times New Roman" w:eastAsia="Times New Roman" w:hAnsi="Times New Roman"/>
          <w:sz w:val="20"/>
          <w:szCs w:val="20"/>
          <w:color w:val="auto"/>
        </w:rPr>
        <w:t>. To the extent that any Guarantor shall be required hereunder to pay any portion of any Guaranteed Liability or Guarantors’ Obligation exceeding the greater of (i) the amount of the value actually received by such Guarantor and its Subsidiaries from the Loans and other Guaranteed Liabilities and Guarantors’ Obligations and (ii) the amount such Guarantor would otherwise have paid if such Guarantor had paid the aggregate amount of the Guaranteed Liabilities and Guarantors’ Obligations (excluding the amount thereof repaid by the Borrower) in the same proportion as such Guarantor’s net worth on the date enforcement is sought hereunder bears to the aggregate net worth of all the Guarantors on such date, then such Guarantor shall be reimbursed by such other Guarantors for the amount of such excess, pro rata, based on the respective net worth of such other Guarantors on such date of enforcement. The contribution agreement in this paragraph is intended only to define the relative rights of the Guarantors and nothing set forth in this paragraph is intended to or shall impair the obligations of the Guarantors, jointly and severally, to pay any amounts as and when the same shall become due and payable in accordance with the terms of this Agreement (up to the Maximum Guarantor Liability).</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12.6 </w:t>
      </w:r>
      <w:r>
        <w:rPr>
          <w:rFonts w:ascii="Times New Roman" w:cs="Times New Roman" w:eastAsia="Times New Roman" w:hAnsi="Times New Roman"/>
          <w:sz w:val="20"/>
          <w:szCs w:val="20"/>
          <w:b w:val="1"/>
          <w:bCs w:val="1"/>
          <w:u w:val="single" w:color="auto"/>
          <w:color w:val="auto"/>
        </w:rPr>
        <w:t>Currency and Funds of Payment</w:t>
      </w:r>
      <w:r>
        <w:rPr>
          <w:rFonts w:ascii="Times New Roman" w:cs="Times New Roman" w:eastAsia="Times New Roman" w:hAnsi="Times New Roman"/>
          <w:sz w:val="20"/>
          <w:szCs w:val="20"/>
          <w:color w:val="auto"/>
        </w:rPr>
        <w:t>. All Guarantors’ Obligations for payment will be paid in lawful currency of the United States of America and in immediately available funds, regardless of any law, regulation or decree now or hereafter in effect that might in any manner affect the Guaranteed Liabilities, or the rights of any Secured Party with respect thereto as against the Borrower or any other Loan Party, or cause or permit to be invoked any alteration in the time, amount or manner of payment by the Borrower or any other Loan Party of any or all of the Guaranteed Liabilities.</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 xml:space="preserve">12.7 </w:t>
      </w:r>
      <w:r>
        <w:rPr>
          <w:rFonts w:ascii="Times New Roman" w:cs="Times New Roman" w:eastAsia="Times New Roman" w:hAnsi="Times New Roman"/>
          <w:sz w:val="20"/>
          <w:szCs w:val="20"/>
          <w:b w:val="1"/>
          <w:bCs w:val="1"/>
          <w:u w:val="single" w:color="auto"/>
          <w:color w:val="auto"/>
        </w:rPr>
        <w:t>Subordination</w:t>
      </w:r>
      <w:r>
        <w:rPr>
          <w:rFonts w:ascii="Times New Roman" w:cs="Times New Roman" w:eastAsia="Times New Roman" w:hAnsi="Times New Roman"/>
          <w:sz w:val="20"/>
          <w:szCs w:val="20"/>
          <w:color w:val="auto"/>
        </w:rPr>
        <w:t>. For so long as this Agreement remains in effect, each Guarantor hereby unconditionally subordinates all present and future debts, liabilities or obligations now or hereafter owing to such Guarantor (a) of the Borrower, to the Payment In Full of the Guaranteed Liabilities, (b) of every other Guarantor (an “obligated guarantor”), to the Payment In Full of the Guarantors’ Obligations of such obligated guarantor, and (c) of each other Person now or hereafter constituting a Loan Party, to the Payment In Full of the obligations of such Loan Party owing to any Secured Party and arising under the Loan Documents or with respect to any Secured Bank Product or Secured Hedge. All amounts due under such subordinated debts, liabilities, or obligations shall, upon the occurrence and during the continuance of an Event of Default, be collected and, upon request by the Administrative Agent, paid over forthwith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7" w:name="page408"/>
    <w:bookmarkEnd w:id="407"/>
    <w:p>
      <w:pPr>
        <w:jc w:val="both"/>
        <w:spacing w:after="0" w:line="249" w:lineRule="auto"/>
        <w:rPr>
          <w:sz w:val="20"/>
          <w:szCs w:val="20"/>
          <w:color w:val="auto"/>
        </w:rPr>
      </w:pPr>
      <w:r>
        <w:rPr>
          <w:rFonts w:ascii="Times New Roman" w:cs="Times New Roman" w:eastAsia="Times New Roman" w:hAnsi="Times New Roman"/>
          <w:sz w:val="20"/>
          <w:szCs w:val="20"/>
          <w:color w:val="auto"/>
        </w:rPr>
        <w:t>Administrative Agent for the benefit of the Secured Parties on account of the Guaranteed Liabilities, the Guarantors’ Obligations, or such other obligations, as applicable, and, after such request and pending such payment, shall be held by such Guarantor as agent and bailee of the Secured Parties separate and apart from all other funds, property and accounts of such Guarantor.</w:t>
      </w:r>
    </w:p>
    <w:p>
      <w:pPr>
        <w:spacing w:after="0" w:line="17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20"/>
          <w:szCs w:val="20"/>
          <w:color w:val="auto"/>
        </w:rPr>
        <w:t xml:space="preserve">12.8 </w:t>
      </w:r>
      <w:r>
        <w:rPr>
          <w:rFonts w:ascii="Times New Roman" w:cs="Times New Roman" w:eastAsia="Times New Roman" w:hAnsi="Times New Roman"/>
          <w:sz w:val="20"/>
          <w:szCs w:val="20"/>
          <w:b w:val="1"/>
          <w:bCs w:val="1"/>
          <w:u w:val="single" w:color="auto"/>
          <w:color w:val="auto"/>
        </w:rPr>
        <w:t>Enforcement</w:t>
      </w:r>
      <w:r>
        <w:rPr>
          <w:rFonts w:ascii="Times New Roman" w:cs="Times New Roman" w:eastAsia="Times New Roman" w:hAnsi="Times New Roman"/>
          <w:sz w:val="20"/>
          <w:szCs w:val="20"/>
          <w:color w:val="auto"/>
        </w:rPr>
        <w:t xml:space="preserve">. Each Guarantor from time to time shall pay to the Administrative Agent for the benefit of the Secured Parties, on demand, at the Administrative Agent’s Principal Office or such other address as the Administrative Agent shall give notice of to such Guarantor, the Guarantors’ Obligations as they become or are declared due, and in the event such payment is not made forthwith, the Administrative Agent may proceed to suit against any one or more or all of the Guarantors. At the Administrative Agent’s election, one or more and successive or concurrent suits may be brought hereon by the Administrative Agent against any one or more or all of the Guarantors, whether or not suit has been commenced against the Borrower, any other Guarantor, or any other Person and whether or not the Secured Parties have taken or failed to take any other action to collect all or any portion of the Guaranteed Liabilities or have taken or failed to take any actions against any Collateral securing payment or performance of all or any portion of the Guaranteed Liabilities, and irrespective of any event, occurrence, or condition described in </w:t>
      </w:r>
      <w:r>
        <w:rPr>
          <w:rFonts w:ascii="Times New Roman" w:cs="Times New Roman" w:eastAsia="Times New Roman" w:hAnsi="Times New Roman"/>
          <w:sz w:val="20"/>
          <w:szCs w:val="20"/>
          <w:u w:val="single" w:color="auto"/>
          <w:color w:val="auto"/>
        </w:rPr>
        <w:t>Section 12.3.</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9"/>
          <w:szCs w:val="19"/>
          <w:color w:val="auto"/>
        </w:rPr>
        <w:t xml:space="preserve">12.9 </w:t>
      </w:r>
      <w:r>
        <w:rPr>
          <w:rFonts w:ascii="Times New Roman" w:cs="Times New Roman" w:eastAsia="Times New Roman" w:hAnsi="Times New Roman"/>
          <w:sz w:val="19"/>
          <w:szCs w:val="19"/>
          <w:b w:val="1"/>
          <w:bCs w:val="1"/>
          <w:u w:val="single" w:color="auto"/>
          <w:color w:val="auto"/>
        </w:rPr>
        <w:t>Set-Off and Waiver</w:t>
      </w:r>
      <w:r>
        <w:rPr>
          <w:rFonts w:ascii="Times New Roman" w:cs="Times New Roman" w:eastAsia="Times New Roman" w:hAnsi="Times New Roman"/>
          <w:sz w:val="19"/>
          <w:szCs w:val="19"/>
          <w:color w:val="auto"/>
        </w:rPr>
        <w:t>. Each Guarantor waives any right to assert against any Secured Party as a defense, counterclaim, set-off, recoupment or cross claim in respect of its Guarantors’ Obligations, any defense (legal or equitable) or other claim which such Guarantor may now or at any time hereafter have against the Borrower or any other Loan Party or any or all of the Secured Parties without waiving any additional defenses, set-offs, counterclaims or other claims otherwise available to such Guarantor. Each Guarantor agrees that each Secured Party shall have a lien for all the Guarantors’ Obligations upon all deposits or deposit accounts, of any kind, or any interest in any deposits or deposit accounts, now or hereafter pledged, mortgaged, transferred or assigned to such Secured Party or otherwise in the possession or control of such Secured Party for any purpose (other than solely for safekeeping) for the account or benefit of such Guarantor, including any balance of any deposit account or of any credit of such Guarantor with the Secured Party, whether now existing or hereafter established, and hereby authorizes each Secured Party from and after the occurrence of an Event of Default at any time or times with or without prior notice to apply such balances or any part thereof to such of the Guarantors’ Obligations to the Secured Parties then due and in such amounts as provided for in this Agreement or otherwise as they may elect.</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12.10</w:t>
      </w:r>
      <w:r>
        <w:rPr>
          <w:sz w:val="20"/>
          <w:szCs w:val="20"/>
          <w:color w:val="auto"/>
        </w:rPr>
        <w:tab/>
      </w:r>
      <w:r>
        <w:rPr>
          <w:rFonts w:ascii="Times New Roman" w:cs="Times New Roman" w:eastAsia="Times New Roman" w:hAnsi="Times New Roman"/>
          <w:sz w:val="19"/>
          <w:szCs w:val="19"/>
          <w:b w:val="1"/>
          <w:bCs w:val="1"/>
          <w:u w:val="single" w:color="auto"/>
          <w:color w:val="auto"/>
        </w:rPr>
        <w:t>Waiver of Notice; Subrogation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42" w:lineRule="auto"/>
        <w:tabs>
          <w:tab w:leader="none" w:pos="1944" w:val="left"/>
        </w:tabs>
        <w:numPr>
          <w:ilvl w:val="0"/>
          <w:numId w:val="4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hereby waives to the extent not otherwise expressly prohibited by applicable Law notice of the following events or occurrences: (i) acceptance of the Guaranty set forth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(ii) the Lenders’ heretofore, now or from time to time hereafter making Loans and issuing Letters of Credit and otherwise loaning monies or giving or extending credit to or for the benefit of the Borrower or any other Loan Party, or otherwise entering into arrangements with any Loan Party giving rise to Guaranteed Liabilities, whether pursuant to this Agreement or the Notes or any other Loan Document or Related Agreement or any amendments, modifications, or supplements thereto, or replacements or extensions thereof; (iii) presentment, demand, default, non-payment, partial payment and protest; and (iv) any other event, condition, or occurrence described in </w:t>
      </w:r>
      <w:r>
        <w:rPr>
          <w:rFonts w:ascii="Times New Roman" w:cs="Times New Roman" w:eastAsia="Times New Roman" w:hAnsi="Times New Roman"/>
          <w:sz w:val="20"/>
          <w:szCs w:val="20"/>
          <w:u w:val="single" w:color="auto"/>
          <w:color w:val="auto"/>
        </w:rPr>
        <w:t>Section 12.3</w:t>
      </w:r>
      <w:r>
        <w:rPr>
          <w:rFonts w:ascii="Times New Roman" w:cs="Times New Roman" w:eastAsia="Times New Roman" w:hAnsi="Times New Roman"/>
          <w:sz w:val="20"/>
          <w:szCs w:val="20"/>
          <w:color w:val="auto"/>
        </w:rPr>
        <w:t>. Each Guarantor agrees that each Secured Party may heretofore, now or at any time hereafter do any or all of the foregoing in such manner, upon such terms and at such times as each Secured Party, in its sole and absolute discretion, deems advisable, without in any way or respect impairing, affecting, reducing or releasing such Guarantor from its Guarantors’ Obligations, and each Guarantor hereby consents to each and all of the foregoing events or occurrences.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8" w:name="page409"/>
    <w:bookmarkEnd w:id="408"/>
    <w:p>
      <w:pPr>
        <w:jc w:val="both"/>
        <w:ind w:firstLine="1304"/>
        <w:spacing w:after="0" w:line="241" w:lineRule="auto"/>
        <w:tabs>
          <w:tab w:leader="none" w:pos="1944"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hereby agrees that payment or performance by such Guarantor of its Guarantors’ Obligations under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 xml:space="preserve"> may be enforced by the Administrative Agent on behalf of the Secured Parties upon demand by the Administrative Agent to such Guarantor without the Administrative Agent being required, such Guarantor expressly waiving to the extent not otherwise expressly prohibited by applicable Law any right it may have to require the Administrative Agent, to (i) prosecute collection or seek to enforce or resort to any remedies against the Borrower or any other Guarantor or any other guarantor of the Guaranteed Liabilities, or (ii) seek to enforce or resort to any remedies with respect to any security interests, Liens or encumbrances granted to the Administrative Agent or any Lender or other party to a Related Agreement by the Borrower, any other Guarantor or any other Person on account of the Guaranteed Liabilities or any guaranty thereof, </w:t>
      </w:r>
      <w:r>
        <w:rPr>
          <w:rFonts w:ascii="Times New Roman" w:cs="Times New Roman" w:eastAsia="Times New Roman" w:hAnsi="Times New Roman"/>
          <w:sz w:val="20"/>
          <w:szCs w:val="20"/>
          <w:b w:val="1"/>
          <w:bCs w:val="1"/>
          <w:color w:val="auto"/>
        </w:rPr>
        <w:t>IT BEING EXPRESSLY UNDERSTOOD, ACKNOWLEDGED AND AGREED BY SUCH</w:t>
      </w:r>
    </w:p>
    <w:p>
      <w:pPr>
        <w:spacing w:after="0" w:line="8" w:lineRule="exact"/>
        <w:rPr>
          <w:rFonts w:ascii="Times New Roman" w:cs="Times New Roman" w:eastAsia="Times New Roman" w:hAnsi="Times New Roman"/>
          <w:sz w:val="20"/>
          <w:szCs w:val="20"/>
          <w:color w:val="auto"/>
        </w:rPr>
      </w:pPr>
    </w:p>
    <w:p>
      <w:pPr>
        <w:jc w:val="both"/>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GUARANTOR THAT DEMAND UNDER THE GUARANTY SET FORTH IN THIS ARTICLE XII MAY BE MADE BY THE ADMINISTRATIVE AGENT, AND THE PROVISIONS HEREOF ENFORCED BY THE ADMINISTRATIVE AGENT, EFFECTIVE AS OF THE FIRST DATE ANY EVENT OF DEFAULT OCCURS AND IS CONTINUING.</w:t>
      </w:r>
    </w:p>
    <w:p>
      <w:pPr>
        <w:spacing w:after="0" w:line="188" w:lineRule="exact"/>
        <w:rPr>
          <w:rFonts w:ascii="Times New Roman" w:cs="Times New Roman" w:eastAsia="Times New Roman" w:hAnsi="Times New Roman"/>
          <w:sz w:val="20"/>
          <w:szCs w:val="20"/>
          <w:color w:val="auto"/>
        </w:rPr>
      </w:pPr>
    </w:p>
    <w:p>
      <w:pPr>
        <w:jc w:val="both"/>
        <w:ind w:firstLine="1304"/>
        <w:spacing w:after="0" w:line="242" w:lineRule="auto"/>
        <w:tabs>
          <w:tab w:leader="none" w:pos="1944" w:val="left"/>
        </w:tabs>
        <w:numPr>
          <w:ilvl w:val="0"/>
          <w:numId w:val="4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Guarantor further agrees that such Guarantor shall not exercise any of its rights of subrogation, reimbursement, contribution, indemnity or recourse to security for the Guaranteed Liabilities until at least ninety-five (95) days immediately following Payment In Full of the Secured Obligations shall have elapsed without the filing or commencement, by or against any Loan Party, of any state or federal action, suit, petition or proceeding seeking any reorganization, liquidation or other relief or arrangement in respect of creditors of, or the appointment of a receiver, liquidator, trustee or conservator in respect to, such Loan Party or its assets. If an amount shall be paid to any Guarantor on account of such rights at any time prior to Payment In Full of the Secured Obligations, such amount shall be held in trust for the benefit of the Secured Parties and shall forthwith be paid to the Administrative Agent, for the benefit of the Secured Parties, to be credited and applied upon the Guarantors’ Obligations, whether matured or unmatured, in accordance with the terms of this Agreement or otherwise as the Secured Parties may elect. The agreements in this subsection shall survive repayment of all of the Guarantors’ Obligations, the termination or expiration of this Agreement in any manner and occurrence of the Payment In Full of the Secured Obligations.</w:t>
      </w:r>
    </w:p>
    <w:p>
      <w:pPr>
        <w:spacing w:after="0" w:line="18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9"/>
          <w:szCs w:val="19"/>
          <w:color w:val="auto"/>
        </w:rPr>
        <w:t xml:space="preserve">12.11 </w:t>
      </w:r>
      <w:r>
        <w:rPr>
          <w:rFonts w:ascii="Times New Roman" w:cs="Times New Roman" w:eastAsia="Times New Roman" w:hAnsi="Times New Roman"/>
          <w:sz w:val="19"/>
          <w:szCs w:val="19"/>
          <w:b w:val="1"/>
          <w:bCs w:val="1"/>
          <w:u w:val="single" w:color="auto"/>
          <w:color w:val="auto"/>
        </w:rPr>
        <w:t>No Stay</w:t>
      </w:r>
      <w:r>
        <w:rPr>
          <w:rFonts w:ascii="Times New Roman" w:cs="Times New Roman" w:eastAsia="Times New Roman" w:hAnsi="Times New Roman"/>
          <w:sz w:val="19"/>
          <w:szCs w:val="19"/>
          <w:color w:val="auto"/>
        </w:rPr>
        <w:t xml:space="preserve">. Without limitation of any other provision set forth in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if any declaration of default or acceleration or other exercise or condition to exercise of rights or remedies under or with respect to any Guarantors’ Obligation or any of the Guaranteed Liabilities shall at any time be stayed, enjoined, or prevented for any reason (including but not limited to stay or injunction resulting from the pendency against any Loan Party or any other Person of a bankruptcy, insolvency, reorganization or similar proceeding), the Guarantors agree that, for the purposes of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and their obligations hereunder, the Guarantors’ Obligations and the Guaranteed Liabilities shall be deemed to have been declared in default or accelerated, and such other exercise or conditions to exercise shall be deemed to have been taken or met.</w:t>
      </w:r>
    </w:p>
    <w:p>
      <w:pPr>
        <w:spacing w:after="0" w:line="16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 xml:space="preserve">12.12 </w:t>
      </w:r>
      <w:r>
        <w:rPr>
          <w:rFonts w:ascii="Times New Roman" w:cs="Times New Roman" w:eastAsia="Times New Roman" w:hAnsi="Times New Roman"/>
          <w:sz w:val="20"/>
          <w:szCs w:val="20"/>
          <w:b w:val="1"/>
          <w:bCs w:val="1"/>
          <w:u w:val="single" w:color="auto"/>
          <w:color w:val="auto"/>
        </w:rPr>
        <w:t>Additional Guarantors</w:t>
      </w:r>
      <w:r>
        <w:rPr>
          <w:rFonts w:ascii="Times New Roman" w:cs="Times New Roman" w:eastAsia="Times New Roman" w:hAnsi="Times New Roman"/>
          <w:sz w:val="20"/>
          <w:szCs w:val="20"/>
          <w:color w:val="auto"/>
        </w:rPr>
        <w:t>. At any time after the initial execution and delivery of this Agreement to the Administrative Agent and the Lenders, additional Persons may become parties to this Agreement and thereby acquire the duties and rights of being Guarantors hereunder by executing and delivering to the Administrative Agent and the Lenders a duly executed Joinder Agreement pursuant to this Agreement. No notice of the addition of any Guarantor shall be required to be given to any pre-existing Guarantor and each Guarantor hereby consents thereto.</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b w:val="1"/>
          <w:bCs w:val="1"/>
          <w:u w:val="single" w:color="auto"/>
          <w:color w:val="auto"/>
        </w:rPr>
        <w:t>Reliance</w:t>
      </w:r>
      <w:r>
        <w:rPr>
          <w:rFonts w:ascii="Times New Roman" w:cs="Times New Roman" w:eastAsia="Times New Roman" w:hAnsi="Times New Roman"/>
          <w:sz w:val="20"/>
          <w:szCs w:val="20"/>
          <w:color w:val="auto"/>
        </w:rPr>
        <w:t>. Each Guarantor represents and warrants to the Administrative Agent, for the benefit of the Secured Parties, that: (a) such Guarantor has adequate means to obtain on a continuing basis (i) from the Borrower, information concerning the Loan Parties and the Loan Parties’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09" w:name="page410"/>
    <w:bookmarkEnd w:id="409"/>
    <w:p>
      <w:pPr>
        <w:jc w:val="both"/>
        <w:spacing w:after="0" w:line="255" w:lineRule="auto"/>
        <w:rPr>
          <w:sz w:val="20"/>
          <w:szCs w:val="20"/>
          <w:color w:val="auto"/>
        </w:rPr>
      </w:pPr>
      <w:r>
        <w:rPr>
          <w:rFonts w:ascii="Times New Roman" w:cs="Times New Roman" w:eastAsia="Times New Roman" w:hAnsi="Times New Roman"/>
          <w:sz w:val="19"/>
          <w:szCs w:val="19"/>
          <w:color w:val="auto"/>
        </w:rPr>
        <w:t xml:space="preserve">and affairs and (ii) from other reliable sources, such other information as it deems material in deciding to provide its Guaranty under this </w:t>
      </w:r>
      <w:r>
        <w:rPr>
          <w:rFonts w:ascii="Times New Roman" w:cs="Times New Roman" w:eastAsia="Times New Roman" w:hAnsi="Times New Roman"/>
          <w:sz w:val="19"/>
          <w:szCs w:val="19"/>
          <w:u w:val="single" w:color="auto"/>
          <w:color w:val="auto"/>
        </w:rPr>
        <w:t>Article XII</w:t>
      </w:r>
      <w:r>
        <w:rPr>
          <w:rFonts w:ascii="Times New Roman" w:cs="Times New Roman" w:eastAsia="Times New Roman" w:hAnsi="Times New Roman"/>
          <w:sz w:val="19"/>
          <w:szCs w:val="19"/>
          <w:color w:val="auto"/>
        </w:rPr>
        <w:t xml:space="preserve"> and any Joinder Agreement (“</w:t>
      </w:r>
      <w:r>
        <w:rPr>
          <w:rFonts w:ascii="Times New Roman" w:cs="Times New Roman" w:eastAsia="Times New Roman" w:hAnsi="Times New Roman"/>
          <w:sz w:val="19"/>
          <w:szCs w:val="19"/>
          <w:b w:val="1"/>
          <w:bCs w:val="1"/>
          <w:color w:val="auto"/>
        </w:rPr>
        <w:t>Other Information</w:t>
      </w:r>
      <w:r>
        <w:rPr>
          <w:rFonts w:ascii="Times New Roman" w:cs="Times New Roman" w:eastAsia="Times New Roman" w:hAnsi="Times New Roman"/>
          <w:sz w:val="19"/>
          <w:szCs w:val="19"/>
          <w:color w:val="auto"/>
        </w:rPr>
        <w:t>”), and has full and complete access to the Loan Parties’ books and records and to such Other Information; (b) such Guarantor is not relying on any Secured Party or its or their employees, directors, agents or other representatives or Affiliates, to provide any such information, now or in the future; (c) such Guarantor has been furnished with and reviewed the terms of such Loan Documents and Related Agreements as it has requested, is executing this Agreement (or the Joinder Agreement to which it is a party, as applicable) freely and deliberately, and understands the obligations and financial risk undertaken by providing its Guaranty under this Agreement;</w:t>
      </w:r>
    </w:p>
    <w:p>
      <w:pPr>
        <w:spacing w:after="0" w:line="3" w:lineRule="exact"/>
        <w:rPr>
          <w:sz w:val="20"/>
          <w:szCs w:val="20"/>
          <w:color w:val="auto"/>
        </w:rPr>
      </w:pPr>
    </w:p>
    <w:p>
      <w:pPr>
        <w:jc w:val="both"/>
        <w:ind w:firstLine="8"/>
        <w:spacing w:after="0"/>
        <w:tabs>
          <w:tab w:leader="none" w:pos="326" w:val="left"/>
        </w:tabs>
        <w:numPr>
          <w:ilvl w:val="0"/>
          <w:numId w:val="4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Guarantor has relied solely on the Guarantor’s own independent investigation, appraisal and analysis of the Borrower and the other Loan Parties, such Persons’ financial condition and affairs, the Other Information, and such other matters as it deems material in deciding to provide this Guaranty and is fully aware of the same; and (e) such Guarantor has not depended or relied on any Secured Party or its or their employees, directors, agents or other representatives or Affiliates, for any information whatsoever concerning the Borrower or the Borrower’s financial condition and affairs or any other matters material to such Guarantor’s decision to provide this Guaranty, or for any counseling, guidance, or special consideration or any promise therefor with respect to such decision. Each Guarantor agrees that no Secured Party has any duty or responsibility whatsoever, now or in the future, to provide to such Guarantor any information concerning the Borrower or any other Loan Party or such Persons’ financial condition and affairs, or any Other Information, other than as expressly provided herein, and that, if such Guarantor receives any such information from any Secured Party or its or their employees, directors, agents or other representatives or Affiliates, such Guarantor will independently verify the information and will not rely on any Secured Party or its or their employees, directors, agents or other representatives or Affiliates, with respect to such information.</w:t>
      </w:r>
    </w:p>
    <w:p>
      <w:pPr>
        <w:spacing w:after="0" w:line="18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12.14</w:t>
      </w:r>
      <w:r>
        <w:rPr>
          <w:sz w:val="20"/>
          <w:szCs w:val="20"/>
          <w:color w:val="auto"/>
        </w:rPr>
        <w:tab/>
      </w:r>
      <w:r>
        <w:rPr>
          <w:rFonts w:ascii="Times New Roman" w:cs="Times New Roman" w:eastAsia="Times New Roman" w:hAnsi="Times New Roman"/>
          <w:sz w:val="19"/>
          <w:szCs w:val="19"/>
          <w:b w:val="1"/>
          <w:bCs w:val="1"/>
          <w:u w:val="single" w:color="auto"/>
          <w:color w:val="auto"/>
        </w:rPr>
        <w:t>Receipt of Credit Agreement, Other Loan Documents, Benefits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304"/>
        <w:spacing w:after="0" w:line="266" w:lineRule="auto"/>
        <w:tabs>
          <w:tab w:leader="none" w:pos="1944" w:val="left"/>
        </w:tabs>
        <w:numPr>
          <w:ilvl w:val="0"/>
          <w:numId w:val="4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Guarantor hereby acknowledges that it has received a copy of this Agreement and the other Loan Documents and each Guarantor certifies that the representations and warranties made therein with respect to such Guarantor are true and correct in all material respects. Further, each Guarantor acknowledges and agrees to perform, comply with, and be bound by all of the provisions of this Agreement and the other Loan Documents applicable to such Guarantor.</w:t>
      </w:r>
    </w:p>
    <w:p>
      <w:pPr>
        <w:spacing w:after="0" w:line="165" w:lineRule="exact"/>
        <w:rPr>
          <w:rFonts w:ascii="Times New Roman" w:cs="Times New Roman" w:eastAsia="Times New Roman" w:hAnsi="Times New Roman"/>
          <w:sz w:val="19"/>
          <w:szCs w:val="19"/>
          <w:color w:val="auto"/>
        </w:rPr>
      </w:pPr>
    </w:p>
    <w:p>
      <w:pPr>
        <w:jc w:val="both"/>
        <w:ind w:firstLine="1304"/>
        <w:spacing w:after="0" w:line="246" w:lineRule="auto"/>
        <w:tabs>
          <w:tab w:leader="none" w:pos="1944" w:val="left"/>
        </w:tabs>
        <w:numPr>
          <w:ilvl w:val="0"/>
          <w:numId w:val="4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Guarantor hereby acknowledges, represents, and warrants that it receives direct and indirect benefits by virtue of its affiliation with the Borrower and the other Guarantors and that it will receive direct and indirect benefits from the financing arrangements contemplated by this Agreement and that such benefits, together with the rights of contribution and subrogation that may arise in connection herewith are a reasonably equivalent exchange of value in return for providing the Guaranty set forth in this </w:t>
      </w:r>
      <w:r>
        <w:rPr>
          <w:rFonts w:ascii="Times New Roman" w:cs="Times New Roman" w:eastAsia="Times New Roman" w:hAnsi="Times New Roman"/>
          <w:sz w:val="20"/>
          <w:szCs w:val="20"/>
          <w:u w:val="single" w:color="auto"/>
          <w:color w:val="auto"/>
        </w:rPr>
        <w:t>Article XII</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356870</wp:posOffset>
            </wp:positionV>
            <wp:extent cx="629221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10" w:name="page411"/>
    <w:bookmarkEnd w:id="41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 PAGE TO CREDIT AGREEMENT]</w:t>
      </w:r>
    </w:p>
    <w:p>
      <w:pPr>
        <w:spacing w:after="0" w:line="21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by their officers thereunto duly authorized, have executed this Agreement as of the day and year first above written.</w:t>
      </w:r>
    </w:p>
    <w:p>
      <w:pPr>
        <w:spacing w:after="0" w:line="16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i w:val="1"/>
          <w:iCs w:val="1"/>
          <w:color w:val="auto"/>
        </w:rPr>
        <w:t>BORROWER:</w:t>
      </w:r>
    </w:p>
    <w:p>
      <w:pPr>
        <w:spacing w:after="0" w:line="200" w:lineRule="exact"/>
        <w:rPr>
          <w:sz w:val="20"/>
          <w:szCs w:val="20"/>
          <w:color w:val="auto"/>
        </w:rPr>
      </w:pPr>
    </w:p>
    <w:p>
      <w:pPr>
        <w:spacing w:after="0" w:line="2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ATN INTERNATIONAL, INC.</w:t>
      </w:r>
      <w:r>
        <w:rPr>
          <w:rFonts w:ascii="Times New Roman" w:cs="Times New Roman" w:eastAsia="Times New Roman" w:hAnsi="Times New Roman"/>
          <w:sz w:val="20"/>
          <w:szCs w:val="20"/>
          <w:color w:val="auto"/>
        </w:rPr>
        <w:t>, as the Borrower</w:t>
      </w:r>
    </w:p>
    <w:p>
      <w:pPr>
        <w:spacing w:after="0" w:line="200" w:lineRule="exact"/>
        <w:rPr>
          <w:sz w:val="20"/>
          <w:szCs w:val="20"/>
          <w:color w:val="auto"/>
        </w:rPr>
      </w:pPr>
    </w:p>
    <w:p>
      <w:pPr>
        <w:spacing w:after="0" w:line="2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color w:val="auto"/>
        </w:rPr>
        <w:t>Name: Justin D. Benincasa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-144780</wp:posOffset>
            </wp:positionV>
            <wp:extent cx="27774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20"/>
          <w:szCs w:val="20"/>
          <w:color w:val="auto"/>
        </w:rPr>
        <w:t>Title:  Chief Executive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797560</wp:posOffset>
            </wp:positionV>
            <wp:extent cx="629221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11" w:name="page412"/>
    <w:bookmarkEnd w:id="411"/>
    <w:p>
      <w:pPr>
        <w:jc w:val="center"/>
        <w:spacing w:after="0"/>
        <w:rPr>
          <w:sz w:val="20"/>
          <w:szCs w:val="20"/>
          <w:color w:val="auto"/>
        </w:rPr>
      </w:pPr>
      <w:r>
        <w:rPr>
          <w:rFonts w:ascii="Times New Roman" w:cs="Times New Roman" w:eastAsia="Times New Roman" w:hAnsi="Times New Roman"/>
          <w:sz w:val="19"/>
          <w:szCs w:val="19"/>
          <w:b w:val="1"/>
          <w:bCs w:val="1"/>
          <w:color w:val="auto"/>
        </w:rPr>
        <w:t>[SIGNATURE PAGE TO CREDIT AGREEMENT]</w:t>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i w:val="1"/>
          <w:iCs w:val="1"/>
          <w:color w:val="auto"/>
        </w:rPr>
        <w:t>GUARANTORS:</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COMMNET WIRELESS, LLC</w:t>
      </w:r>
    </w:p>
    <w:p>
      <w:pPr>
        <w:spacing w:after="0" w:line="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COMMNET FOUR CORNERS,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AZ,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NM,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NEVADA SUBCO,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WIRELESS SUBCO,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OF ARIZONA,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RURAL AMERICA,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TOWERS,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FIBER SOLUTIONS, LLC</w:t>
      </w:r>
    </w:p>
    <w:p>
      <w:pPr>
        <w:ind w:left="4520"/>
        <w:spacing w:after="0"/>
        <w:rPr>
          <w:sz w:val="20"/>
          <w:szCs w:val="20"/>
          <w:color w:val="auto"/>
        </w:rPr>
      </w:pPr>
      <w:r>
        <w:rPr>
          <w:rFonts w:ascii="Times New Roman" w:cs="Times New Roman" w:eastAsia="Times New Roman" w:hAnsi="Times New Roman"/>
          <w:sz w:val="20"/>
          <w:szCs w:val="20"/>
          <w:b w:val="1"/>
          <w:bCs w:val="1"/>
          <w:color w:val="auto"/>
        </w:rPr>
        <w:t>GILA COUNTY WIRELESS, LLC</w:t>
      </w:r>
    </w:p>
    <w:p>
      <w:pPr>
        <w:ind w:left="4520"/>
        <w:spacing w:after="0"/>
        <w:rPr>
          <w:sz w:val="20"/>
          <w:szCs w:val="20"/>
          <w:color w:val="auto"/>
        </w:rPr>
      </w:pPr>
      <w:r>
        <w:rPr>
          <w:rFonts w:ascii="Times New Roman" w:cs="Times New Roman" w:eastAsia="Times New Roman" w:hAnsi="Times New Roman"/>
          <w:sz w:val="20"/>
          <w:szCs w:val="20"/>
          <w:b w:val="1"/>
          <w:bCs w:val="1"/>
          <w:color w:val="auto"/>
        </w:rPr>
        <w:t>EXCOMM,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OF NEVADA, LLC</w:t>
      </w:r>
    </w:p>
    <w:p>
      <w:pPr>
        <w:ind w:left="4520"/>
        <w:spacing w:after="0"/>
        <w:rPr>
          <w:sz w:val="20"/>
          <w:szCs w:val="20"/>
          <w:color w:val="auto"/>
        </w:rPr>
      </w:pPr>
      <w:r>
        <w:rPr>
          <w:rFonts w:ascii="Times New Roman" w:cs="Times New Roman" w:eastAsia="Times New Roman" w:hAnsi="Times New Roman"/>
          <w:sz w:val="20"/>
          <w:szCs w:val="20"/>
          <w:b w:val="1"/>
          <w:bCs w:val="1"/>
          <w:color w:val="auto"/>
        </w:rPr>
        <w:t>TISDALE TELEPHONE COMPANY,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OF GEORGIA,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NEWCO, LLC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OF TEXAS, LLC</w:t>
      </w:r>
    </w:p>
    <w:p>
      <w:pPr>
        <w:ind w:left="4520"/>
        <w:spacing w:after="0"/>
        <w:rPr>
          <w:sz w:val="20"/>
          <w:szCs w:val="20"/>
          <w:color w:val="auto"/>
        </w:rPr>
      </w:pPr>
      <w:r>
        <w:rPr>
          <w:rFonts w:ascii="Times New Roman" w:cs="Times New Roman" w:eastAsia="Times New Roman" w:hAnsi="Times New Roman"/>
          <w:sz w:val="20"/>
          <w:szCs w:val="20"/>
          <w:b w:val="1"/>
          <w:bCs w:val="1"/>
          <w:color w:val="auto"/>
        </w:rPr>
        <w:t>ESSEXTEL, INC.</w:t>
      </w:r>
    </w:p>
    <w:p>
      <w:pPr>
        <w:ind w:left="4520"/>
        <w:spacing w:after="0"/>
        <w:rPr>
          <w:sz w:val="20"/>
          <w:szCs w:val="20"/>
          <w:color w:val="auto"/>
        </w:rPr>
      </w:pPr>
      <w:r>
        <w:rPr>
          <w:rFonts w:ascii="Times New Roman" w:cs="Times New Roman" w:eastAsia="Times New Roman" w:hAnsi="Times New Roman"/>
          <w:sz w:val="20"/>
          <w:szCs w:val="20"/>
          <w:b w:val="1"/>
          <w:bCs w:val="1"/>
          <w:color w:val="auto"/>
        </w:rPr>
        <w:t>TISDALE NEBRASKA, LLC</w:t>
      </w:r>
    </w:p>
    <w:p>
      <w:pPr>
        <w:ind w:left="4520"/>
        <w:spacing w:after="0"/>
        <w:rPr>
          <w:sz w:val="20"/>
          <w:szCs w:val="20"/>
          <w:color w:val="auto"/>
        </w:rPr>
      </w:pPr>
      <w:r>
        <w:rPr>
          <w:rFonts w:ascii="Times New Roman" w:cs="Times New Roman" w:eastAsia="Times New Roman" w:hAnsi="Times New Roman"/>
          <w:sz w:val="20"/>
          <w:szCs w:val="20"/>
          <w:b w:val="1"/>
          <w:bCs w:val="1"/>
          <w:color w:val="auto"/>
        </w:rPr>
        <w:t>SAL SPECTRUM LLC</w:t>
      </w:r>
    </w:p>
    <w:p>
      <w:pPr>
        <w:ind w:left="4520"/>
        <w:spacing w:after="0"/>
        <w:rPr>
          <w:sz w:val="20"/>
          <w:szCs w:val="20"/>
          <w:color w:val="auto"/>
        </w:rPr>
      </w:pPr>
      <w:r>
        <w:rPr>
          <w:rFonts w:ascii="Times New Roman" w:cs="Times New Roman" w:eastAsia="Times New Roman" w:hAnsi="Times New Roman"/>
          <w:sz w:val="19"/>
          <w:szCs w:val="19"/>
          <w:b w:val="1"/>
          <w:bCs w:val="1"/>
          <w:color w:val="auto"/>
        </w:rPr>
        <w:t>COMMNET FOUR CORNERS SUBCO, LLC</w:t>
      </w:r>
    </w:p>
    <w:p>
      <w:pPr>
        <w:spacing w:after="0" w:line="1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ATN VI, INC.</w:t>
      </w:r>
    </w:p>
    <w:p>
      <w:pPr>
        <w:ind w:left="4520"/>
        <w:spacing w:after="0"/>
        <w:rPr>
          <w:sz w:val="20"/>
          <w:szCs w:val="20"/>
          <w:color w:val="auto"/>
        </w:rPr>
      </w:pPr>
      <w:r>
        <w:rPr>
          <w:rFonts w:ascii="Times New Roman" w:cs="Times New Roman" w:eastAsia="Times New Roman" w:hAnsi="Times New Roman"/>
          <w:sz w:val="20"/>
          <w:szCs w:val="20"/>
          <w:b w:val="1"/>
          <w:bCs w:val="1"/>
          <w:color w:val="auto"/>
        </w:rPr>
        <w:t>CHOICE SPLASH, LLC</w:t>
      </w:r>
    </w:p>
    <w:p>
      <w:pPr>
        <w:ind w:left="4520"/>
        <w:spacing w:after="0"/>
        <w:rPr>
          <w:sz w:val="20"/>
          <w:szCs w:val="20"/>
          <w:color w:val="auto"/>
        </w:rPr>
      </w:pPr>
      <w:r>
        <w:rPr>
          <w:rFonts w:ascii="Times New Roman" w:cs="Times New Roman" w:eastAsia="Times New Roman" w:hAnsi="Times New Roman"/>
          <w:sz w:val="20"/>
          <w:szCs w:val="20"/>
          <w:b w:val="1"/>
          <w:bCs w:val="1"/>
          <w:color w:val="auto"/>
        </w:rPr>
        <w:t>WESTNET NEVADA, LLC</w:t>
      </w:r>
    </w:p>
    <w:p>
      <w:pPr>
        <w:ind w:left="4520"/>
        <w:spacing w:after="0"/>
        <w:rPr>
          <w:sz w:val="20"/>
          <w:szCs w:val="20"/>
          <w:color w:val="auto"/>
        </w:rPr>
      </w:pPr>
      <w:r>
        <w:rPr>
          <w:rFonts w:ascii="Times New Roman" w:cs="Times New Roman" w:eastAsia="Times New Roman" w:hAnsi="Times New Roman"/>
          <w:sz w:val="20"/>
          <w:szCs w:val="20"/>
          <w:b w:val="1"/>
          <w:bCs w:val="1"/>
          <w:color w:val="auto"/>
        </w:rPr>
        <w:t>ATN INTERNATIONAL SERVICES, LLC</w:t>
      </w:r>
    </w:p>
    <w:p>
      <w:pPr>
        <w:ind w:left="4520"/>
        <w:spacing w:after="0"/>
        <w:rPr>
          <w:sz w:val="20"/>
          <w:szCs w:val="20"/>
          <w:color w:val="auto"/>
        </w:rPr>
      </w:pPr>
      <w:r>
        <w:rPr>
          <w:rFonts w:ascii="Times New Roman" w:cs="Times New Roman" w:eastAsia="Times New Roman" w:hAnsi="Times New Roman"/>
          <w:sz w:val="20"/>
          <w:szCs w:val="20"/>
          <w:b w:val="1"/>
          <w:bCs w:val="1"/>
          <w:color w:val="auto"/>
        </w:rPr>
        <w:t>ATLANTIC TELE-NETWORK, LLC</w:t>
      </w:r>
    </w:p>
    <w:p>
      <w:pPr>
        <w:ind w:left="4520"/>
        <w:spacing w:after="0"/>
        <w:rPr>
          <w:sz w:val="20"/>
          <w:szCs w:val="20"/>
          <w:color w:val="auto"/>
        </w:rPr>
      </w:pPr>
      <w:r>
        <w:rPr>
          <w:rFonts w:ascii="Times New Roman" w:cs="Times New Roman" w:eastAsia="Times New Roman" w:hAnsi="Times New Roman"/>
          <w:sz w:val="20"/>
          <w:szCs w:val="20"/>
          <w:b w:val="1"/>
          <w:bCs w:val="1"/>
          <w:color w:val="auto"/>
        </w:rPr>
        <w:t>ALLOY, INC.</w:t>
      </w:r>
    </w:p>
    <w:p>
      <w:pPr>
        <w:ind w:left="4520"/>
        <w:spacing w:after="0"/>
        <w:rPr>
          <w:sz w:val="20"/>
          <w:szCs w:val="20"/>
          <w:color w:val="auto"/>
        </w:rPr>
      </w:pPr>
      <w:r>
        <w:rPr>
          <w:rFonts w:ascii="Times New Roman" w:cs="Times New Roman" w:eastAsia="Times New Roman" w:hAnsi="Times New Roman"/>
          <w:sz w:val="20"/>
          <w:szCs w:val="20"/>
          <w:b w:val="1"/>
          <w:bCs w:val="1"/>
          <w:color w:val="auto"/>
        </w:rPr>
        <w:t>COMMNET BROADBAND, LLC</w:t>
      </w:r>
    </w:p>
    <w:p>
      <w:pPr>
        <w:ind w:left="4520"/>
        <w:spacing w:after="0"/>
        <w:rPr>
          <w:sz w:val="20"/>
          <w:szCs w:val="20"/>
          <w:color w:val="auto"/>
        </w:rPr>
      </w:pPr>
      <w:r>
        <w:rPr>
          <w:rFonts w:ascii="Times New Roman" w:cs="Times New Roman" w:eastAsia="Times New Roman" w:hAnsi="Times New Roman"/>
          <w:sz w:val="20"/>
          <w:szCs w:val="20"/>
          <w:b w:val="1"/>
          <w:bCs w:val="1"/>
          <w:color w:val="auto"/>
        </w:rPr>
        <w:t>SACRED WIND ENTERPRISES, INC.</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Justin D. Benincasa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-144780</wp:posOffset>
            </wp:positionV>
            <wp:extent cx="272605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ind w:left="4520"/>
        <w:spacing w:after="0"/>
        <w:tabs>
          <w:tab w:leader="none" w:pos="5140" w:val="left"/>
        </w:tabs>
        <w:rPr>
          <w:sz w:val="20"/>
          <w:szCs w:val="20"/>
          <w:color w:val="auto"/>
        </w:rPr>
      </w:pPr>
      <w:r>
        <w:rPr>
          <w:rFonts w:ascii="Times New Roman" w:cs="Times New Roman" w:eastAsia="Times New Roman" w:hAnsi="Times New Roman"/>
          <w:sz w:val="20"/>
          <w:szCs w:val="20"/>
          <w:color w:val="auto"/>
        </w:rPr>
        <w:t>Title</w:t>
        <w:tab/>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788670</wp:posOffset>
            </wp:positionV>
            <wp:extent cx="629221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2" w:name="page413"/>
    <w:bookmarkEnd w:id="412"/>
    <w:p>
      <w:pPr>
        <w:jc w:val="center"/>
        <w:spacing w:after="0"/>
        <w:rPr>
          <w:sz w:val="20"/>
          <w:szCs w:val="20"/>
          <w:color w:val="auto"/>
        </w:rPr>
      </w:pPr>
      <w:r>
        <w:rPr>
          <w:rFonts w:ascii="Times New Roman" w:cs="Times New Roman" w:eastAsia="Times New Roman" w:hAnsi="Times New Roman"/>
          <w:sz w:val="19"/>
          <w:szCs w:val="19"/>
          <w:b w:val="1"/>
          <w:bCs w:val="1"/>
          <w:color w:val="auto"/>
        </w:rPr>
        <w:t>[SIGNATURE PAGE TO CREDIT AGREEMENT]</w:t>
      </w:r>
    </w:p>
    <w:p>
      <w:pPr>
        <w:spacing w:after="0" w:line="22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9"/>
          <w:szCs w:val="19"/>
          <w:b w:val="1"/>
          <w:bCs w:val="1"/>
          <w:color w:val="auto"/>
        </w:rPr>
        <w:t>COBANK, ACB</w:t>
      </w:r>
      <w:r>
        <w:rPr>
          <w:rFonts w:ascii="Times New Roman" w:cs="Times New Roman" w:eastAsia="Times New Roman" w:hAnsi="Times New Roman"/>
          <w:sz w:val="19"/>
          <w:szCs w:val="19"/>
          <w:color w:val="auto"/>
        </w:rPr>
        <w:t>, as Administrative Agent, Issuing</w:t>
      </w:r>
    </w:p>
    <w:p>
      <w:pPr>
        <w:spacing w:after="0" w:line="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Lender, Swing Line Lender and as a Lender</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By:</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Name: Gary Franke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-144780</wp:posOffset>
            </wp:positionV>
            <wp:extent cx="27774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651510</wp:posOffset>
            </wp:positionV>
            <wp:extent cx="6292215" cy="260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3" w:name="page414"/>
    <w:bookmarkEnd w:id="41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Brad W. Martin, certify that:</w:t>
      </w:r>
    </w:p>
    <w:p>
      <w:pPr>
        <w:spacing w:after="0" w:line="225" w:lineRule="exact"/>
        <w:rPr>
          <w:sz w:val="20"/>
          <w:szCs w:val="20"/>
          <w:color w:val="auto"/>
        </w:rPr>
      </w:pPr>
    </w:p>
    <w:p>
      <w:pPr>
        <w:ind w:left="880" w:hanging="438"/>
        <w:spacing w:after="0"/>
        <w:tabs>
          <w:tab w:leader="none" w:pos="8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80" w:right="140" w:hanging="439"/>
        <w:spacing w:after="0" w:line="261" w:lineRule="auto"/>
        <w:tabs>
          <w:tab w:leader="none" w:pos="18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80" w:right="200" w:hanging="439"/>
        <w:spacing w:after="0" w:line="266" w:lineRule="auto"/>
        <w:tabs>
          <w:tab w:leader="none" w:pos="18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2024</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5440" w:type="dxa"/>
            <w:vAlign w:val="bottom"/>
          </w:tcPr>
          <w:p>
            <w:pPr>
              <w:spacing w:after="0"/>
              <w:rPr>
                <w:sz w:val="16"/>
                <w:szCs w:val="16"/>
                <w:color w:val="auto"/>
              </w:rPr>
            </w:pPr>
          </w:p>
        </w:tc>
        <w:tc>
          <w:tcPr>
            <w:tcW w:w="47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Brad W. Martin</w:t>
            </w:r>
          </w:p>
        </w:tc>
        <w:tc>
          <w:tcPr>
            <w:tcW w:w="20" w:type="dxa"/>
            <w:vAlign w:val="bottom"/>
          </w:tcPr>
          <w:p>
            <w:pPr>
              <w:spacing w:after="0"/>
              <w:rPr>
                <w:sz w:val="16"/>
                <w:szCs w:val="16"/>
                <w:color w:val="auto"/>
              </w:rPr>
            </w:pPr>
          </w:p>
        </w:tc>
      </w:t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4"/>
        </w:trPr>
        <w:tc>
          <w:tcPr>
            <w:tcW w:w="54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414" w:name="page415"/>
    <w:bookmarkEnd w:id="41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Carlos R. Doglioli, certify that:</w:t>
      </w:r>
    </w:p>
    <w:p>
      <w:pPr>
        <w:spacing w:after="0" w:line="225" w:lineRule="exact"/>
        <w:rPr>
          <w:sz w:val="20"/>
          <w:szCs w:val="20"/>
          <w:color w:val="auto"/>
        </w:rPr>
      </w:pPr>
    </w:p>
    <w:p>
      <w:pPr>
        <w:ind w:left="880" w:hanging="438"/>
        <w:spacing w:after="0"/>
        <w:tabs>
          <w:tab w:leader="none" w:pos="8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60" w:right="160" w:hanging="432"/>
        <w:spacing w:after="0" w:line="261" w:lineRule="auto"/>
        <w:tabs>
          <w:tab w:leader="none" w:pos="186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60" w:right="200" w:hanging="432"/>
        <w:spacing w:after="0" w:line="266" w:lineRule="auto"/>
        <w:tabs>
          <w:tab w:leader="none" w:pos="1860" w:val="left"/>
        </w:tabs>
        <w:numPr>
          <w:ilvl w:val="1"/>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688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9, 2024</w:t>
            </w:r>
          </w:p>
        </w:tc>
        <w:tc>
          <w:tcPr>
            <w:tcW w:w="6880" w:type="dxa"/>
            <w:vAlign w:val="bottom"/>
            <w:gridSpan w:val="3"/>
          </w:tcPr>
          <w:p>
            <w:pPr>
              <w:ind w:left="1800"/>
              <w:spacing w:after="0"/>
              <w:rPr>
                <w:sz w:val="20"/>
                <w:szCs w:val="20"/>
                <w:color w:val="auto"/>
              </w:rPr>
            </w:pPr>
            <w:r>
              <w:rPr>
                <w:rFonts w:ascii="Times New Roman" w:cs="Times New Roman" w:eastAsia="Times New Roman" w:hAnsi="Times New Roman"/>
                <w:sz w:val="18"/>
                <w:szCs w:val="18"/>
                <w:color w:val="auto"/>
              </w:rPr>
              <w:t>By:  /s/ Carlos R. Doglioli</w:t>
            </w:r>
          </w:p>
        </w:tc>
      </w:tr>
      <w:tr>
        <w:trPr>
          <w:trHeight w:val="191"/>
        </w:trPr>
        <w:tc>
          <w:tcPr>
            <w:tcW w:w="33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c>
          <w:tcPr>
            <w:tcW w:w="20" w:type="dxa"/>
            <w:vAlign w:val="bottom"/>
          </w:tcPr>
          <w:p>
            <w:pPr>
              <w:spacing w:after="0"/>
              <w:rPr>
                <w:sz w:val="16"/>
                <w:szCs w:val="16"/>
                <w:color w:val="auto"/>
              </w:rPr>
            </w:pPr>
          </w:p>
        </w:tc>
      </w:tr>
      <w:tr>
        <w:trPr>
          <w:trHeight w:val="234"/>
        </w:trPr>
        <w:tc>
          <w:tcPr>
            <w:tcW w:w="33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33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415" w:name="page416"/>
    <w:bookmarkEnd w:id="415"/>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11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June 30, 2024 as filed with the Securities and Exchange Commission on the date hereof (the “Report”), I, Brad W. Martin, Chief Executive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588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By:/s/ Brad W. Martin</w:t>
            </w:r>
          </w:p>
        </w:tc>
      </w:tr>
      <w:tr>
        <w:trPr>
          <w:trHeight w:val="191"/>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3"/>
        </w:trPr>
        <w:tc>
          <w:tcPr>
            <w:tcW w:w="30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16" w:name="page417"/>
    <w:bookmarkEnd w:id="41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5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June 30, 2024 as filed with the Securities and Exchange Commission on the date hereof (the “Report”), I, Carlos R. Doglioli, Chief Financial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9, 2024</w:t>
            </w:r>
          </w:p>
        </w:tc>
        <w:tc>
          <w:tcPr>
            <w:tcW w:w="5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By:/s/ Carlos R. Doglioli</w:t>
            </w:r>
          </w:p>
        </w:tc>
      </w:tr>
      <w:tr>
        <w:trPr>
          <w:trHeight w:val="191"/>
        </w:trPr>
        <w:tc>
          <w:tcPr>
            <w:tcW w:w="30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30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30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17530C"/>
    <w:multiLevelType w:val="hybridMultilevel"/>
    <w:lvl w:ilvl="0">
      <w:lvlJc w:val="left"/>
      <w:lvlText w:val="☒"/>
      <w:numFmt w:val="bullet"/>
      <w:start w:val="1"/>
    </w:lvl>
  </w:abstractNum>
  <w:abstractNum w:abstractNumId="1">
    <w:nsid w:val="19A52566"/>
    <w:multiLevelType w:val="hybridMultilevel"/>
    <w:lvl w:ilvl="0">
      <w:lvlJc w:val="left"/>
      <w:lvlText w:val="(%1)"/>
      <w:numFmt w:val="decimal"/>
      <w:start w:val="13"/>
    </w:lvl>
  </w:abstractNum>
  <w:abstractNum w:abstractNumId="2">
    <w:nsid w:val="335A1DF1"/>
    <w:multiLevelType w:val="hybridMultilevel"/>
    <w:lvl w:ilvl="0">
      <w:lvlJc w:val="left"/>
      <w:lvlText w:val="●"/>
      <w:numFmt w:val="bullet"/>
      <w:start w:val="1"/>
    </w:lvl>
  </w:abstractNum>
  <w:abstractNum w:abstractNumId="3">
    <w:nsid w:val="28677B7C"/>
    <w:multiLevelType w:val="hybridMultilevel"/>
    <w:lvl w:ilvl="0">
      <w:lvlJc w:val="left"/>
      <w:lvlText w:val="●"/>
      <w:numFmt w:val="bullet"/>
      <w:start w:val="1"/>
    </w:lvl>
  </w:abstractNum>
  <w:abstractNum w:abstractNumId="4">
    <w:nsid w:val="378D97C0"/>
    <w:multiLevelType w:val="hybridMultilevel"/>
    <w:lvl w:ilvl="0">
      <w:lvlJc w:val="left"/>
      <w:lvlText w:val="●"/>
      <w:numFmt w:val="bullet"/>
      <w:start w:val="1"/>
    </w:lvl>
  </w:abstractNum>
  <w:abstractNum w:abstractNumId="5">
    <w:nsid w:val="1D91467C"/>
    <w:multiLevelType w:val="hybridMultilevel"/>
    <w:lvl w:ilvl="0">
      <w:lvlJc w:val="left"/>
      <w:lvlText w:val="(%1)"/>
      <w:numFmt w:val="lowerRoman"/>
      <w:start w:val="2"/>
    </w:lvl>
  </w:abstractNum>
  <w:abstractNum w:abstractNumId="6">
    <w:nsid w:val="316032BB"/>
    <w:multiLevelType w:val="hybridMultilevel"/>
    <w:lvl w:ilvl="0">
      <w:lvlJc w:val="left"/>
      <w:lvlText w:val="(%1)"/>
      <w:numFmt w:val="decimal"/>
      <w:start w:val="1"/>
    </w:lvl>
  </w:abstractNum>
  <w:abstractNum w:abstractNumId="7">
    <w:nsid w:val="44344C22"/>
    <w:multiLevelType w:val="hybridMultilevel"/>
    <w:lvl w:ilvl="0">
      <w:lvlJc w:val="left"/>
      <w:lvlText w:val="(%1)"/>
      <w:numFmt w:val="decimal"/>
      <w:start w:val="1"/>
    </w:lvl>
  </w:abstractNum>
  <w:abstractNum w:abstractNumId="8">
    <w:nsid w:val="13CDFCFC"/>
    <w:multiLevelType w:val="hybridMultilevel"/>
    <w:lvl w:ilvl="0">
      <w:lvlJc w:val="left"/>
      <w:lvlText w:val="(%1)"/>
      <w:numFmt w:val="decimal"/>
      <w:start w:val="1"/>
    </w:lvl>
  </w:abstractNum>
  <w:abstractNum w:abstractNumId="9">
    <w:nsid w:val="471745E4"/>
    <w:multiLevelType w:val="hybridMultilevel"/>
    <w:lvl w:ilvl="0">
      <w:lvlJc w:val="left"/>
      <w:lvlText w:val="(%1)"/>
      <w:numFmt w:val="decimal"/>
      <w:start w:val="1"/>
    </w:lvl>
  </w:abstractNum>
  <w:abstractNum w:abstractNumId="10">
    <w:nsid w:val="1DDBC66"/>
    <w:multiLevelType w:val="hybridMultilevel"/>
    <w:lvl w:ilvl="0">
      <w:lvlJc w:val="left"/>
      <w:lvlText w:val="%1"/>
      <w:numFmt w:val="decimal"/>
      <w:start w:val="1"/>
    </w:lvl>
    <w:lvl w:ilvl="1">
      <w:lvlJc w:val="left"/>
      <w:lvlText w:val="(%2)"/>
      <w:numFmt w:val="decimal"/>
      <w:start w:val="1"/>
    </w:lvl>
  </w:abstractNum>
  <w:abstractNum w:abstractNumId="11">
    <w:nsid w:val="30AADFDA"/>
    <w:multiLevelType w:val="hybridMultilevel"/>
    <w:lvl w:ilvl="0">
      <w:lvlJc w:val="left"/>
      <w:lvlText w:val="%1."/>
      <w:numFmt w:val="decimal"/>
      <w:start w:val="13"/>
    </w:lvl>
    <w:lvl w:ilvl="1">
      <w:lvlJc w:val="left"/>
      <w:lvlText w:val="%2"/>
      <w:numFmt w:val="decimal"/>
      <w:start w:val="1"/>
    </w:lvl>
  </w:abstractNum>
  <w:abstractNum w:abstractNumId="12">
    <w:nsid w:val="30EADA61"/>
    <w:multiLevelType w:val="hybridMultilevel"/>
    <w:lvl w:ilvl="0">
      <w:lvlJc w:val="left"/>
      <w:lvlText w:val="(%1)"/>
      <w:numFmt w:val="lowerRoman"/>
      <w:start w:val="2"/>
    </w:lvl>
  </w:abstractNum>
  <w:abstractNum w:abstractNumId="13">
    <w:nsid w:val="27179C0B"/>
    <w:multiLevelType w:val="hybridMultilevel"/>
    <w:lvl w:ilvl="0">
      <w:lvlJc w:val="left"/>
      <w:lvlText w:val="●"/>
      <w:numFmt w:val="bullet"/>
      <w:start w:val="1"/>
    </w:lvl>
  </w:abstractNum>
  <w:abstractNum w:abstractNumId="14">
    <w:nsid w:val="5E636063"/>
    <w:multiLevelType w:val="hybridMultilevel"/>
    <w:lvl w:ilvl="0">
      <w:lvlJc w:val="left"/>
      <w:lvlText w:val="●"/>
      <w:numFmt w:val="bullet"/>
      <w:start w:val="1"/>
    </w:lvl>
  </w:abstractNum>
  <w:abstractNum w:abstractNumId="15">
    <w:nsid w:val="215641AF"/>
    <w:multiLevelType w:val="hybridMultilevel"/>
    <w:lvl w:ilvl="0">
      <w:lvlJc w:val="left"/>
      <w:lvlText w:val="(%1)"/>
      <w:numFmt w:val="decimal"/>
      <w:start w:val="1"/>
    </w:lvl>
  </w:abstractNum>
  <w:abstractNum w:abstractNumId="16">
    <w:nsid w:val="53280662"/>
    <w:multiLevelType w:val="hybridMultilevel"/>
    <w:lvl w:ilvl="0">
      <w:lvlJc w:val="left"/>
      <w:lvlText w:val="●"/>
      <w:numFmt w:val="bullet"/>
      <w:start w:val="1"/>
    </w:lvl>
  </w:abstractNum>
  <w:abstractNum w:abstractNumId="17">
    <w:nsid w:val="46B24DBC"/>
    <w:multiLevelType w:val="hybridMultilevel"/>
    <w:lvl w:ilvl="0">
      <w:lvlJc w:val="left"/>
      <w:lvlText w:val="●"/>
      <w:numFmt w:val="bullet"/>
      <w:start w:val="1"/>
    </w:lvl>
  </w:abstractNum>
  <w:abstractNum w:abstractNumId="18">
    <w:nsid w:val="75B52783"/>
    <w:multiLevelType w:val="hybridMultilevel"/>
    <w:lvl w:ilvl="0">
      <w:lvlJc w:val="left"/>
      <w:lvlText w:val="●"/>
      <w:numFmt w:val="bullet"/>
      <w:start w:val="1"/>
    </w:lvl>
  </w:abstractNum>
  <w:abstractNum w:abstractNumId="19">
    <w:nsid w:val="57CE66B4"/>
    <w:multiLevelType w:val="hybridMultilevel"/>
    <w:lvl w:ilvl="0">
      <w:lvlJc w:val="left"/>
      <w:lvlText w:val="●"/>
      <w:numFmt w:val="bullet"/>
      <w:start w:val="1"/>
    </w:lvl>
  </w:abstractNum>
  <w:abstractNum w:abstractNumId="20">
    <w:nsid w:val="67A70B69"/>
    <w:multiLevelType w:val="hybridMultilevel"/>
    <w:lvl w:ilvl="0">
      <w:lvlJc w:val="left"/>
      <w:lvlText w:val="●"/>
      <w:numFmt w:val="bullet"/>
      <w:start w:val="1"/>
    </w:lvl>
  </w:abstractNum>
  <w:abstractNum w:abstractNumId="21">
    <w:nsid w:val="5953172F"/>
    <w:multiLevelType w:val="hybridMultilevel"/>
    <w:lvl w:ilvl="0">
      <w:lvlJc w:val="left"/>
      <w:lvlText w:val="●"/>
      <w:numFmt w:val="bullet"/>
      <w:start w:val="1"/>
    </w:lvl>
  </w:abstractNum>
  <w:abstractNum w:abstractNumId="22">
    <w:nsid w:val="27EDFE3A"/>
    <w:multiLevelType w:val="hybridMultilevel"/>
    <w:lvl w:ilvl="0">
      <w:lvlJc w:val="left"/>
      <w:lvlText w:val="●"/>
      <w:numFmt w:val="bullet"/>
      <w:start w:val="1"/>
    </w:lvl>
  </w:abstractNum>
  <w:abstractNum w:abstractNumId="23">
    <w:nsid w:val="52AC7DFF"/>
    <w:multiLevelType w:val="hybridMultilevel"/>
    <w:lvl w:ilvl="0">
      <w:lvlJc w:val="left"/>
      <w:lvlText w:val="●"/>
      <w:numFmt w:val="bullet"/>
      <w:start w:val="1"/>
    </w:lvl>
  </w:abstractNum>
  <w:abstractNum w:abstractNumId="24">
    <w:nsid w:val="C4C3AF"/>
    <w:multiLevelType w:val="hybridMultilevel"/>
    <w:lvl w:ilvl="0">
      <w:lvlJc w:val="left"/>
      <w:lvlText w:val="●"/>
      <w:numFmt w:val="bullet"/>
      <w:start w:val="1"/>
    </w:lvl>
  </w:abstractNum>
  <w:abstractNum w:abstractNumId="25">
    <w:nsid w:val="44380727"/>
    <w:multiLevelType w:val="hybridMultilevel"/>
    <w:lvl w:ilvl="0">
      <w:lvlJc w:val="left"/>
      <w:lvlText w:val="(%1)"/>
      <w:numFmt w:val="decimal"/>
      <w:start w:val="1"/>
    </w:lvl>
  </w:abstractNum>
  <w:abstractNum w:abstractNumId="26">
    <w:nsid w:val="6C053B16"/>
    <w:multiLevelType w:val="hybridMultilevel"/>
    <w:lvl w:ilvl="0">
      <w:lvlJc w:val="left"/>
      <w:lvlText w:val="●"/>
      <w:numFmt w:val="bullet"/>
      <w:start w:val="1"/>
    </w:lvl>
  </w:abstractNum>
  <w:abstractNum w:abstractNumId="27">
    <w:nsid w:val="4F294393"/>
    <w:multiLevelType w:val="hybridMultilevel"/>
    <w:lvl w:ilvl="0">
      <w:lvlJc w:val="left"/>
      <w:lvlText w:val="●"/>
      <w:numFmt w:val="bullet"/>
      <w:start w:val="1"/>
    </w:lvl>
  </w:abstractNum>
  <w:abstractNum w:abstractNumId="28">
    <w:nsid w:val="5243BFAC"/>
    <w:multiLevelType w:val="hybridMultilevel"/>
    <w:lvl w:ilvl="0">
      <w:lvlJc w:val="left"/>
      <w:lvlText w:val="●"/>
      <w:numFmt w:val="bullet"/>
      <w:start w:val="1"/>
    </w:lvl>
  </w:abstractNum>
  <w:abstractNum w:abstractNumId="29">
    <w:nsid w:val="425EB207"/>
    <w:multiLevelType w:val="hybridMultilevel"/>
    <w:lvl w:ilvl="0">
      <w:lvlJc w:val="left"/>
      <w:lvlText w:val="●"/>
      <w:numFmt w:val="bullet"/>
      <w:start w:val="1"/>
    </w:lvl>
  </w:abstractNum>
  <w:abstractNum w:abstractNumId="30">
    <w:nsid w:val="334A6F1F"/>
    <w:multiLevelType w:val="hybridMultilevel"/>
    <w:lvl w:ilvl="0">
      <w:lvlJc w:val="left"/>
      <w:lvlText w:val="●"/>
      <w:numFmt w:val="bullet"/>
      <w:start w:val="1"/>
    </w:lvl>
  </w:abstractNum>
  <w:abstractNum w:abstractNumId="31">
    <w:nsid w:val="2E5B12B8"/>
    <w:multiLevelType w:val="hybridMultilevel"/>
    <w:lvl w:ilvl="0">
      <w:lvlJc w:val="left"/>
      <w:lvlText w:val="●"/>
      <w:numFmt w:val="bullet"/>
      <w:start w:val="1"/>
    </w:lvl>
  </w:abstractNum>
  <w:abstractNum w:abstractNumId="32">
    <w:nsid w:val="5C03D76D"/>
    <w:multiLevelType w:val="hybridMultilevel"/>
    <w:lvl w:ilvl="0">
      <w:lvlJc w:val="left"/>
      <w:lvlText w:val="●"/>
      <w:numFmt w:val="bullet"/>
      <w:start w:val="1"/>
    </w:lvl>
  </w:abstractNum>
  <w:abstractNum w:abstractNumId="33">
    <w:nsid w:val="66A48D11"/>
    <w:multiLevelType w:val="hybridMultilevel"/>
    <w:lvl w:ilvl="0">
      <w:lvlJc w:val="left"/>
      <w:lvlText w:val="●"/>
      <w:numFmt w:val="bullet"/>
      <w:start w:val="1"/>
    </w:lvl>
  </w:abstractNum>
  <w:abstractNum w:abstractNumId="34">
    <w:nsid w:val="56C28E34"/>
    <w:multiLevelType w:val="hybridMultilevel"/>
    <w:lvl w:ilvl="0">
      <w:lvlJc w:val="left"/>
      <w:lvlText w:val="(%1)"/>
      <w:numFmt w:val="decimal"/>
      <w:start w:val="1"/>
    </w:lvl>
  </w:abstractNum>
  <w:abstractNum w:abstractNumId="35">
    <w:nsid w:val="13916F2D"/>
    <w:multiLevelType w:val="hybridMultilevel"/>
    <w:lvl w:ilvl="0">
      <w:lvlJc w:val="left"/>
      <w:lvlText w:val="*"/>
      <w:numFmt w:val="bullet"/>
      <w:start w:val="1"/>
    </w:lvl>
    <w:lvl w:ilvl="1">
      <w:lvlJc w:val="left"/>
      <w:lvlText w:val="%2"/>
      <w:numFmt w:val="decimal"/>
      <w:start w:val="104"/>
    </w:lvl>
  </w:abstractNum>
  <w:abstractNum w:abstractNumId="36">
    <w:nsid w:val="435D38D"/>
    <w:multiLevelType w:val="hybridMultilevel"/>
    <w:lvl w:ilvl="0">
      <w:lvlJc w:val="left"/>
      <w:lvlText w:val="**"/>
      <w:numFmt w:val="bullet"/>
      <w:start w:val="1"/>
    </w:lvl>
    <w:lvl w:ilvl="1">
      <w:lvlJc w:val="left"/>
      <w:lvlText w:val="%2"/>
      <w:numFmt w:val="decimal"/>
      <w:start w:val="1"/>
    </w:lvl>
  </w:abstractNum>
  <w:abstractNum w:abstractNumId="37">
    <w:nsid w:val="822C0EF"/>
    <w:multiLevelType w:val="hybridMultilevel"/>
    <w:lvl w:ilvl="0">
      <w:lvlJc w:val="left"/>
      <w:lvlText w:val="(%1)"/>
      <w:numFmt w:val="upperLetter"/>
      <w:start w:val="1"/>
    </w:lvl>
  </w:abstractNum>
  <w:abstractNum w:abstractNumId="38">
    <w:nsid w:val="57C5BB4F"/>
    <w:multiLevelType w:val="hybridMultilevel"/>
    <w:lvl w:ilvl="0">
      <w:lvlJc w:val="left"/>
      <w:lvlText w:val="(%1)"/>
      <w:numFmt w:val="upperLetter"/>
      <w:start w:val="2"/>
    </w:lvl>
  </w:abstractNum>
  <w:abstractNum w:abstractNumId="39">
    <w:nsid w:val="1803D089"/>
    <w:multiLevelType w:val="hybridMultilevel"/>
    <w:lvl w:ilvl="0">
      <w:lvlJc w:val="left"/>
      <w:lvlText w:val="(%1)"/>
      <w:numFmt w:val="upperLetter"/>
      <w:start w:val="1"/>
    </w:lvl>
  </w:abstractNum>
  <w:abstractNum w:abstractNumId="40">
    <w:nsid w:val="4F3A06D4"/>
    <w:multiLevelType w:val="hybridMultilevel"/>
    <w:lvl w:ilvl="0">
      <w:lvlJc w:val="left"/>
      <w:lvlText w:val="(%1)"/>
      <w:numFmt w:val="upperLetter"/>
      <w:start w:val="5"/>
    </w:lvl>
  </w:abstractNum>
  <w:abstractNum w:abstractNumId="41">
    <w:nsid w:val="59A377B6"/>
    <w:multiLevelType w:val="hybridMultilevel"/>
    <w:lvl w:ilvl="0">
      <w:lvlJc w:val="left"/>
      <w:lvlText w:val="(%1)"/>
      <w:numFmt w:val="upperLetter"/>
      <w:start w:val="1"/>
    </w:lvl>
  </w:abstractNum>
  <w:abstractNum w:abstractNumId="42">
    <w:nsid w:val="48AEB063"/>
    <w:multiLevelType w:val="hybridMultilevel"/>
    <w:lvl w:ilvl="0">
      <w:lvlJc w:val="left"/>
      <w:lvlText w:val="(%1)"/>
      <w:numFmt w:val="upperLetter"/>
      <w:start w:val="3"/>
    </w:lvl>
  </w:abstractNum>
  <w:abstractNum w:abstractNumId="43">
    <w:nsid w:val="24E135"/>
    <w:multiLevelType w:val="hybridMultilevel"/>
    <w:lvl w:ilvl="0">
      <w:lvlJc w:val="left"/>
      <w:lvlText w:val="(%1)"/>
      <w:numFmt w:val="upperLetter"/>
      <w:start w:val="1"/>
    </w:lvl>
  </w:abstractNum>
  <w:abstractNum w:abstractNumId="44">
    <w:nsid w:val="BB13C1"/>
    <w:multiLevelType w:val="hybridMultilevel"/>
    <w:lvl w:ilvl="0">
      <w:lvlJc w:val="left"/>
      <w:lvlText w:val="(%1)"/>
      <w:numFmt w:val="upperLetter"/>
      <w:start w:val="5"/>
    </w:lvl>
  </w:abstractNum>
  <w:abstractNum w:abstractNumId="45">
    <w:nsid w:val="271210C7"/>
    <w:multiLevelType w:val="hybridMultilevel"/>
    <w:lvl w:ilvl="0">
      <w:lvlJc w:val="left"/>
      <w:lvlText w:val="(%1)"/>
      <w:numFmt w:val="upperLetter"/>
      <w:start w:val="1"/>
    </w:lvl>
  </w:abstractNum>
  <w:abstractNum w:abstractNumId="46">
    <w:nsid w:val="217B22E4"/>
    <w:multiLevelType w:val="hybridMultilevel"/>
    <w:lvl w:ilvl="0">
      <w:lvlJc w:val="left"/>
      <w:lvlText w:val="(%1)"/>
      <w:numFmt w:val="upperLetter"/>
      <w:start w:val="2"/>
    </w:lvl>
  </w:abstractNum>
  <w:abstractNum w:abstractNumId="47">
    <w:nsid w:val="53E31A24"/>
    <w:multiLevelType w:val="hybridMultilevel"/>
    <w:lvl w:ilvl="0">
      <w:lvlJc w:val="left"/>
      <w:lvlText w:val="(%1)"/>
      <w:numFmt w:val="lowerLetter"/>
      <w:start w:val="1"/>
    </w:lvl>
  </w:abstractNum>
  <w:abstractNum w:abstractNumId="48">
    <w:nsid w:val="6DC45E83"/>
    <w:multiLevelType w:val="hybridMultilevel"/>
    <w:lvl w:ilvl="0">
      <w:lvlJc w:val="left"/>
      <w:lvlText w:val="(%1)"/>
      <w:numFmt w:val="lowerLetter"/>
      <w:start w:val="4"/>
    </w:lvl>
  </w:abstractNum>
  <w:abstractNum w:abstractNumId="49">
    <w:nsid w:val="17304A67"/>
    <w:multiLevelType w:val="hybridMultilevel"/>
    <w:lvl w:ilvl="0">
      <w:lvlJc w:val="left"/>
      <w:lvlText w:val="(%1)"/>
      <w:numFmt w:val="lowerLetter"/>
      <w:start w:val="1"/>
    </w:lvl>
    <w:lvl w:ilvl="1">
      <w:lvlJc w:val="left"/>
      <w:lvlText w:val="(%2)"/>
      <w:numFmt w:val="lowerRoman"/>
      <w:start w:val="1"/>
    </w:lvl>
  </w:abstractNum>
  <w:abstractNum w:abstractNumId="50">
    <w:nsid w:val="2BB180D8"/>
    <w:multiLevelType w:val="hybridMultilevel"/>
    <w:lvl w:ilvl="0">
      <w:lvlJc w:val="left"/>
      <w:lvlText w:val="(%1)"/>
      <w:numFmt w:val="lowerLetter"/>
      <w:start w:val="1"/>
    </w:lvl>
  </w:abstractNum>
  <w:abstractNum w:abstractNumId="51">
    <w:nsid w:val="556B69ED"/>
    <w:multiLevelType w:val="hybridMultilevel"/>
    <w:lvl w:ilvl="0">
      <w:lvlJc w:val="left"/>
      <w:lvlText w:val="(%1)"/>
      <w:numFmt w:val="lowerRoman"/>
      <w:start w:val="2"/>
    </w:lvl>
  </w:abstractNum>
  <w:abstractNum w:abstractNumId="52">
    <w:nsid w:val="70836196"/>
    <w:multiLevelType w:val="hybridMultilevel"/>
    <w:lvl w:ilvl="0">
      <w:lvlJc w:val="left"/>
      <w:lvlText w:val="(%1)"/>
      <w:numFmt w:val="lowerLetter"/>
      <w:start w:val="2"/>
    </w:lvl>
  </w:abstractNum>
  <w:abstractNum w:abstractNumId="53">
    <w:nsid w:val="539F7F12"/>
    <w:multiLevelType w:val="hybridMultilevel"/>
    <w:lvl w:ilvl="0">
      <w:lvlJc w:val="left"/>
      <w:lvlText w:val="(%1)"/>
      <w:numFmt w:val="decimal"/>
      <w:start w:val="3"/>
    </w:lvl>
  </w:abstractNum>
  <w:abstractNum w:abstractNumId="54">
    <w:nsid w:val="2817E7EC"/>
    <w:multiLevelType w:val="hybridMultilevel"/>
    <w:lvl w:ilvl="0">
      <w:lvlJc w:val="left"/>
      <w:lvlText w:val="(%1)"/>
      <w:numFmt w:val="lowerLetter"/>
      <w:start w:val="1"/>
    </w:lvl>
  </w:abstractNum>
  <w:abstractNum w:abstractNumId="55">
    <w:nsid w:val="71482545"/>
    <w:multiLevelType w:val="hybridMultilevel"/>
    <w:lvl w:ilvl="0">
      <w:lvlJc w:val="left"/>
      <w:lvlText w:val="(%1)"/>
      <w:numFmt w:val="lowerLetter"/>
      <w:start w:val="4"/>
    </w:lvl>
  </w:abstractNum>
  <w:abstractNum w:abstractNumId="56">
    <w:nsid w:val="17D78639"/>
    <w:multiLevelType w:val="hybridMultilevel"/>
    <w:lvl w:ilvl="0">
      <w:lvlJc w:val="left"/>
      <w:lvlText w:val="(%1)"/>
      <w:numFmt w:val="upperLetter"/>
      <w:start w:val="5"/>
    </w:lvl>
  </w:abstractNum>
  <w:abstractNum w:abstractNumId="57">
    <w:nsid w:val="141D2302"/>
    <w:multiLevelType w:val="hybridMultilevel"/>
    <w:lvl w:ilvl="0">
      <w:lvlJc w:val="left"/>
      <w:lvlText w:val="(%1)"/>
      <w:numFmt w:val="lowerLetter"/>
      <w:start w:val="1"/>
    </w:lvl>
  </w:abstractNum>
  <w:abstractNum w:abstractNumId="58">
    <w:nsid w:val="407168D8"/>
    <w:multiLevelType w:val="hybridMultilevel"/>
    <w:lvl w:ilvl="0">
      <w:lvlJc w:val="left"/>
      <w:lvlText w:val="(%1)"/>
      <w:numFmt w:val="lowerRoman"/>
      <w:start w:val="2"/>
    </w:lvl>
  </w:abstractNum>
  <w:abstractNum w:abstractNumId="59">
    <w:nsid w:val="6A1B45E5"/>
    <w:multiLevelType w:val="hybridMultilevel"/>
    <w:lvl w:ilvl="0">
      <w:lvlJc w:val="left"/>
      <w:lvlText w:val="(%1)"/>
      <w:numFmt w:val="lowerLetter"/>
      <w:start w:val="1"/>
    </w:lvl>
  </w:abstractNum>
  <w:abstractNum w:abstractNumId="60">
    <w:nsid w:val="567BD50A"/>
    <w:multiLevelType w:val="hybridMultilevel"/>
    <w:lvl w:ilvl="0">
      <w:lvlJc w:val="left"/>
      <w:lvlText w:val="(%1)"/>
      <w:numFmt w:val="lowerLetter"/>
      <w:start w:val="3"/>
    </w:lvl>
  </w:abstractNum>
  <w:abstractNum w:abstractNumId="61">
    <w:nsid w:val="73BBD7F8"/>
    <w:multiLevelType w:val="hybridMultilevel"/>
    <w:lvl w:ilvl="0">
      <w:lvlJc w:val="left"/>
      <w:lvlText w:val="(%1)"/>
      <w:numFmt w:val="lowerLetter"/>
      <w:start w:val="1"/>
    </w:lvl>
  </w:abstractNum>
  <w:abstractNum w:abstractNumId="62">
    <w:nsid w:val="1876589D"/>
    <w:multiLevelType w:val="hybridMultilevel"/>
    <w:lvl w:ilvl="0">
      <w:lvlJc w:val="left"/>
      <w:lvlText w:val="(%1)"/>
      <w:numFmt w:val="lowerLetter"/>
      <w:start w:val="7"/>
    </w:lvl>
  </w:abstractNum>
  <w:abstractNum w:abstractNumId="63">
    <w:nsid w:val="327FAC77"/>
    <w:multiLevelType w:val="hybridMultilevel"/>
    <w:lvl w:ilvl="0">
      <w:lvlJc w:val="left"/>
      <w:lvlText w:val="%1"/>
      <w:numFmt w:val="lowerLetter"/>
      <w:start w:val="1"/>
    </w:lvl>
    <w:lvl w:ilvl="1">
      <w:lvlJc w:val="left"/>
      <w:lvlText w:val="(%2)"/>
      <w:numFmt w:val="lowerLetter"/>
      <w:start w:val="1"/>
    </w:lvl>
  </w:abstractNum>
  <w:abstractNum w:abstractNumId="64">
    <w:nsid w:val="5A606509"/>
    <w:multiLevelType w:val="hybridMultilevel"/>
    <w:lvl w:ilvl="0">
      <w:lvlJc w:val="left"/>
      <w:lvlText w:val="(%1)"/>
      <w:numFmt w:val="lowerLetter"/>
      <w:start w:val="35"/>
    </w:lvl>
    <w:lvl w:ilvl="1">
      <w:lvlJc w:val="left"/>
      <w:lvlText w:val="(%2)"/>
      <w:numFmt w:val="lowerLetter"/>
      <w:start w:val="2"/>
    </w:lvl>
  </w:abstractNum>
  <w:abstractNum w:abstractNumId="65">
    <w:nsid w:val="6F38E6D1"/>
    <w:multiLevelType w:val="hybridMultilevel"/>
    <w:lvl w:ilvl="0">
      <w:lvlJc w:val="left"/>
      <w:lvlText w:val="(%1)"/>
      <w:numFmt w:val="lowerLetter"/>
      <w:start w:val="1"/>
    </w:lvl>
  </w:abstractNum>
  <w:abstractNum w:abstractNumId="66">
    <w:nsid w:val="46111BA5"/>
    <w:multiLevelType w:val="hybridMultilevel"/>
    <w:lvl w:ilvl="0">
      <w:lvlJc w:val="left"/>
      <w:lvlText w:val="(%1)"/>
      <w:numFmt w:val="lowerLetter"/>
      <w:start w:val="4"/>
    </w:lvl>
  </w:abstractNum>
  <w:abstractNum w:abstractNumId="67">
    <w:nsid w:val="5E963896"/>
    <w:multiLevelType w:val="hybridMultilevel"/>
    <w:lvl w:ilvl="0">
      <w:lvlJc w:val="left"/>
      <w:lvlText w:val="(%1)"/>
      <w:numFmt w:val="lowerLetter"/>
      <w:start w:val="16"/>
    </w:lvl>
  </w:abstractNum>
  <w:abstractNum w:abstractNumId="68">
    <w:nsid w:val="775BA7C1"/>
    <w:multiLevelType w:val="hybridMultilevel"/>
    <w:lvl w:ilvl="0">
      <w:lvlJc w:val="left"/>
      <w:lvlText w:val="(%1)"/>
      <w:numFmt w:val="lowerLetter"/>
      <w:start w:val="1"/>
    </w:lvl>
  </w:abstractNum>
  <w:abstractNum w:abstractNumId="69">
    <w:nsid w:val="1DD6D6F4"/>
    <w:multiLevelType w:val="hybridMultilevel"/>
    <w:lvl w:ilvl="0">
      <w:lvlJc w:val="left"/>
      <w:lvlText w:val="(%1)"/>
      <w:numFmt w:val="lowerLetter"/>
      <w:start w:val="3"/>
    </w:lvl>
  </w:abstractNum>
  <w:abstractNum w:abstractNumId="70">
    <w:nsid w:val="769A091F"/>
    <w:multiLevelType w:val="hybridMultilevel"/>
    <w:lvl w:ilvl="0">
      <w:lvlJc w:val="left"/>
      <w:lvlText w:val="(%1)"/>
      <w:numFmt w:val="lowerLetter"/>
      <w:start w:val="1"/>
    </w:lvl>
  </w:abstractNum>
  <w:abstractNum w:abstractNumId="71">
    <w:nsid w:val="4695AE95"/>
    <w:multiLevelType w:val="hybridMultilevel"/>
    <w:lvl w:ilvl="0">
      <w:lvlJc w:val="left"/>
      <w:lvlText w:val="(%1)"/>
      <w:numFmt w:val="lowerLetter"/>
      <w:start w:val="1"/>
    </w:lvl>
  </w:abstractNum>
  <w:abstractNum w:abstractNumId="72">
    <w:nsid w:val="777A4EAA"/>
    <w:multiLevelType w:val="hybridMultilevel"/>
    <w:lvl w:ilvl="0">
      <w:lvlJc w:val="left"/>
      <w:lvlText w:val="(%1)"/>
      <w:numFmt w:val="lowerLetter"/>
      <w:start w:val="2"/>
    </w:lvl>
  </w:abstractNum>
  <w:abstractNum w:abstractNumId="73">
    <w:nsid w:val="3F48B982"/>
    <w:multiLevelType w:val="hybridMultilevel"/>
    <w:lvl w:ilvl="0">
      <w:lvlJc w:val="left"/>
      <w:lvlText w:val="(%1)"/>
      <w:numFmt w:val="lowerRoman"/>
      <w:start w:val="1"/>
    </w:lvl>
  </w:abstractNum>
  <w:abstractNum w:abstractNumId="74">
    <w:nsid w:val="46BA8FCA"/>
    <w:multiLevelType w:val="hybridMultilevel"/>
    <w:lvl w:ilvl="0">
      <w:lvlJc w:val="left"/>
      <w:lvlText w:val="(%1)"/>
      <w:numFmt w:val="lowerLetter"/>
      <w:start w:val="2"/>
    </w:lvl>
  </w:abstractNum>
  <w:abstractNum w:abstractNumId="75">
    <w:nsid w:val="7835626C"/>
    <w:multiLevelType w:val="hybridMultilevel"/>
    <w:lvl w:ilvl="0">
      <w:lvlJc w:val="left"/>
      <w:lvlText w:val="(%1)"/>
      <w:numFmt w:val="lowerLetter"/>
      <w:start w:val="1"/>
    </w:lvl>
  </w:abstractNum>
  <w:abstractNum w:abstractNumId="76">
    <w:nsid w:val="665ACA49"/>
    <w:multiLevelType w:val="hybridMultilevel"/>
    <w:lvl w:ilvl="0">
      <w:lvlJc w:val="left"/>
      <w:lvlText w:val="(%1)"/>
      <w:numFmt w:val="lowerLetter"/>
      <w:start w:val="2"/>
    </w:lvl>
  </w:abstractNum>
  <w:abstractNum w:abstractNumId="77">
    <w:nsid w:val="6835B2AE"/>
    <w:multiLevelType w:val="hybridMultilevel"/>
    <w:lvl w:ilvl="0">
      <w:lvlJc w:val="left"/>
      <w:lvlText w:val="(%1)"/>
      <w:numFmt w:val="lowerLetter"/>
      <w:start w:val="1"/>
    </w:lvl>
  </w:abstractNum>
  <w:abstractNum w:abstractNumId="78">
    <w:nsid w:val="4C187C90"/>
    <w:multiLevelType w:val="hybridMultilevel"/>
    <w:lvl w:ilvl="0">
      <w:lvlJc w:val="left"/>
      <w:lvlText w:val="(%1)"/>
      <w:numFmt w:val="lowerLetter"/>
      <w:start w:val="1"/>
    </w:lvl>
  </w:abstractNum>
  <w:abstractNum w:abstractNumId="79">
    <w:nsid w:val="541F28CD"/>
    <w:multiLevelType w:val="hybridMultilevel"/>
    <w:lvl w:ilvl="0">
      <w:lvlJc w:val="left"/>
      <w:lvlText w:val="(%1)"/>
      <w:numFmt w:val="lowerLetter"/>
      <w:start w:val="1"/>
    </w:lvl>
  </w:abstractNum>
  <w:abstractNum w:abstractNumId="80">
    <w:nsid w:val="7F65FD16"/>
    <w:multiLevelType w:val="hybridMultilevel"/>
    <w:lvl w:ilvl="0">
      <w:lvlJc w:val="left"/>
      <w:lvlText w:val="(%1)"/>
      <w:numFmt w:val="lowerLetter"/>
      <w:start w:val="1"/>
    </w:lvl>
  </w:abstractNum>
  <w:abstractNum w:abstractNumId="81">
    <w:nsid w:val="77C9FD68"/>
    <w:multiLevelType w:val="hybridMultilevel"/>
    <w:lvl w:ilvl="0">
      <w:lvlJc w:val="left"/>
      <w:lvlText w:val="(%1)"/>
      <w:numFmt w:val="lowerLetter"/>
      <w:start w:val="5"/>
    </w:lvl>
  </w:abstractNum>
  <w:abstractNum w:abstractNumId="82">
    <w:nsid w:val="298A92BA"/>
    <w:multiLevelType w:val="hybridMultilevel"/>
    <w:lvl w:ilvl="0">
      <w:lvlJc w:val="left"/>
      <w:lvlText w:val="(%1)"/>
      <w:numFmt w:val="lowerLetter"/>
      <w:start w:val="1"/>
    </w:lvl>
  </w:abstractNum>
  <w:abstractNum w:abstractNumId="83">
    <w:nsid w:val="6FE95EAC"/>
    <w:multiLevelType w:val="hybridMultilevel"/>
    <w:lvl w:ilvl="0">
      <w:lvlJc w:val="left"/>
      <w:lvlText w:val="(%1)"/>
      <w:numFmt w:val="lowerLetter"/>
      <w:start w:val="4"/>
    </w:lvl>
    <w:lvl w:ilvl="1">
      <w:lvlJc w:val="left"/>
      <w:lvlText w:val="(%2)"/>
      <w:numFmt w:val="lowerRoman"/>
      <w:start w:val="1"/>
    </w:lvl>
  </w:abstractNum>
  <w:abstractNum w:abstractNumId="84">
    <w:nsid w:val="4B697C7A"/>
    <w:multiLevelType w:val="hybridMultilevel"/>
    <w:lvl w:ilvl="0">
      <w:lvlJc w:val="left"/>
      <w:lvlText w:val="%1"/>
      <w:numFmt w:val="lowerLetter"/>
      <w:start w:val="1"/>
    </w:lvl>
    <w:lvl w:ilvl="1">
      <w:lvlJc w:val="left"/>
      <w:lvlText w:val="(%2)"/>
      <w:numFmt w:val="lowerRoman"/>
      <w:start w:val="4"/>
    </w:lvl>
  </w:abstractNum>
  <w:abstractNum w:abstractNumId="85">
    <w:nsid w:val="51A27AA6"/>
    <w:multiLevelType w:val="hybridMultilevel"/>
    <w:lvl w:ilvl="0">
      <w:lvlJc w:val="left"/>
      <w:lvlText w:val="(%1)"/>
      <w:numFmt w:val="lowerLetter"/>
      <w:start w:val="5"/>
    </w:lvl>
    <w:lvl w:ilvl="1">
      <w:lvlJc w:val="left"/>
      <w:lvlText w:val="%2"/>
      <w:numFmt w:val="lowerRoman"/>
      <w:start w:val="1"/>
    </w:lvl>
  </w:abstractNum>
  <w:abstractNum w:abstractNumId="86">
    <w:nsid w:val="613183F2"/>
    <w:multiLevelType w:val="hybridMultilevel"/>
    <w:lvl w:ilvl="0">
      <w:lvlJc w:val="left"/>
      <w:lvlText w:val="(%1)"/>
      <w:numFmt w:val="lowerLetter"/>
      <w:start w:val="6"/>
    </w:lvl>
  </w:abstractNum>
  <w:abstractNum w:abstractNumId="87">
    <w:nsid w:val="634102B4"/>
    <w:multiLevelType w:val="hybridMultilevel"/>
    <w:lvl w:ilvl="0">
      <w:lvlJc w:val="left"/>
      <w:lvlText w:val="(%1)"/>
      <w:numFmt w:val="lowerLetter"/>
      <w:start w:val="1"/>
    </w:lvl>
    <w:lvl w:ilvl="1">
      <w:lvlJc w:val="left"/>
      <w:lvlText w:val="(%2)"/>
      <w:numFmt w:val="lowerRoman"/>
      <w:start w:val="1"/>
    </w:lvl>
  </w:abstractNum>
  <w:abstractNum w:abstractNumId="88">
    <w:nsid w:val="65BF9DA8"/>
    <w:multiLevelType w:val="hybridMultilevel"/>
    <w:lvl w:ilvl="0">
      <w:lvlJc w:val="left"/>
      <w:lvlText w:val="(%1)"/>
      <w:numFmt w:val="lowerLetter"/>
      <w:start w:val="2"/>
    </w:lvl>
  </w:abstractNum>
  <w:abstractNum w:abstractNumId="89">
    <w:nsid w:val="21A2ECCA"/>
    <w:multiLevelType w:val="hybridMultilevel"/>
    <w:lvl w:ilvl="0">
      <w:lvlJc w:val="left"/>
      <w:lvlText w:val="(%1)"/>
      <w:numFmt w:val="lowerLetter"/>
      <w:start w:val="61"/>
    </w:lvl>
    <w:lvl w:ilvl="1">
      <w:lvlJc w:val="left"/>
      <w:lvlText w:val="(%2)"/>
      <w:numFmt w:val="lowerLetter"/>
      <w:start w:val="1"/>
    </w:lvl>
  </w:abstractNum>
  <w:abstractNum w:abstractNumId="90">
    <w:nsid w:val="4D5C4899"/>
    <w:multiLevelType w:val="hybridMultilevel"/>
    <w:lvl w:ilvl="0">
      <w:lvlJc w:val="left"/>
      <w:lvlText w:val="(%1)"/>
      <w:numFmt w:val="lowerLetter"/>
      <w:start w:val="1"/>
    </w:lvl>
  </w:abstractNum>
  <w:abstractNum w:abstractNumId="91">
    <w:nsid w:val="3C3B72B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2">
    <w:nsid w:val="155EC4C2"/>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2"/>
    </w:lvl>
  </w:abstractNum>
  <w:abstractNum w:abstractNumId="93">
    <w:nsid w:val="65D2A137"/>
    <w:multiLevelType w:val="hybridMultilevel"/>
    <w:lvl w:ilvl="0">
      <w:lvlJc w:val="left"/>
      <w:lvlText w:val="(%1)"/>
      <w:numFmt w:val="lowerLetter"/>
      <w:start w:val="1"/>
    </w:lvl>
  </w:abstractNum>
  <w:abstractNum w:abstractNumId="94">
    <w:nsid w:val="6EBB1F2A"/>
    <w:multiLevelType w:val="hybridMultilevel"/>
    <w:lvl w:ilvl="0">
      <w:lvlJc w:val="left"/>
      <w:lvlText w:val="(%1)"/>
      <w:numFmt w:val="lowerRoman"/>
      <w:start w:val="1"/>
    </w:lvl>
  </w:abstractNum>
  <w:abstractNum w:abstractNumId="95">
    <w:nsid w:val="6FBF29CB"/>
    <w:multiLevelType w:val="hybridMultilevel"/>
    <w:lvl w:ilvl="0">
      <w:lvlJc w:val="left"/>
      <w:lvlText w:val="(%1)"/>
      <w:numFmt w:val="lowerLetter"/>
      <w:start w:val="4"/>
    </w:lvl>
    <w:lvl w:ilvl="1">
      <w:lvlJc w:val="left"/>
      <w:lvlText w:val="(%2)"/>
      <w:numFmt w:val="lowerRoman"/>
      <w:start w:val="1"/>
    </w:lvl>
  </w:abstractNum>
  <w:abstractNum w:abstractNumId="96">
    <w:nsid w:val="550B8808"/>
    <w:multiLevelType w:val="hybridMultilevel"/>
    <w:lvl w:ilvl="0">
      <w:lvlJc w:val="left"/>
      <w:lvlText w:val="(%1)"/>
      <w:numFmt w:val="lowerRoman"/>
      <w:start w:val="1"/>
    </w:lvl>
  </w:abstractNum>
  <w:abstractNum w:abstractNumId="97">
    <w:nsid w:val="34CC3ACF"/>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0"/>
    </w:lvl>
  </w:abstractNum>
  <w:abstractNum w:abstractNumId="98">
    <w:nsid w:val="4E556261"/>
    <w:multiLevelType w:val="hybridMultilevel"/>
    <w:lvl w:ilvl="0">
      <w:lvlJc w:val="left"/>
      <w:lvlText w:val="%1"/>
      <w:numFmt w:val="lowerRoman"/>
      <w:start w:val="1"/>
    </w:lvl>
    <w:lvl w:ilvl="1">
      <w:lvlJc w:val="left"/>
      <w:lvlText w:val="(%2)"/>
      <w:numFmt w:val="lowerLetter"/>
      <w:start w:val="8"/>
    </w:lvl>
    <w:lvl w:ilvl="2">
      <w:lvlJc w:val="left"/>
      <w:lvlText w:val="%3"/>
      <w:numFmt w:val="lowerRoman"/>
      <w:start w:val="1"/>
    </w:lvl>
  </w:abstractNum>
  <w:abstractNum w:abstractNumId="99">
    <w:nsid w:val="4C672FC9"/>
    <w:multiLevelType w:val="hybridMultilevel"/>
    <w:lvl w:ilvl="0">
      <w:lvlJc w:val="left"/>
      <w:lvlText w:val="(%1)"/>
      <w:numFmt w:val="lowerRoman"/>
      <w:start w:val="8"/>
    </w:lvl>
    <w:lvl w:ilvl="1">
      <w:lvlJc w:val="left"/>
      <w:lvlText w:val="%2"/>
      <w:numFmt w:val="lowerLetter"/>
      <w:start w:val="1"/>
    </w:lvl>
    <w:lvl w:ilvl="2">
      <w:lvlJc w:val="left"/>
      <w:lvlText w:val="%3"/>
      <w:numFmt w:val="lowerRoman"/>
      <w:start w:val="1"/>
    </w:lvl>
  </w:abstractNum>
  <w:abstractNum w:abstractNumId="100">
    <w:nsid w:val="52A311C3"/>
    <w:multiLevelType w:val="hybridMultilevel"/>
    <w:lvl w:ilvl="0">
      <w:lvlJc w:val="left"/>
      <w:lvlText w:val="(%1)"/>
      <w:numFmt w:val="lowerLetter"/>
      <w:start w:val="10"/>
    </w:lvl>
  </w:abstractNum>
  <w:abstractNum w:abstractNumId="101">
    <w:nsid w:val="44EF6B80"/>
    <w:multiLevelType w:val="hybridMultilevel"/>
    <w:lvl w:ilvl="0">
      <w:lvlJc w:val="left"/>
      <w:lvlText w:val="(%1)"/>
      <w:numFmt w:val="lowerLetter"/>
      <w:start w:val="1"/>
    </w:lvl>
  </w:abstractNum>
  <w:abstractNum w:abstractNumId="102">
    <w:nsid w:val="12FCDE5E"/>
    <w:multiLevelType w:val="hybridMultilevel"/>
    <w:lvl w:ilvl="0">
      <w:lvlJc w:val="left"/>
      <w:lvlText w:val="(%1)"/>
      <w:numFmt w:val="lowerLetter"/>
      <w:start w:val="1"/>
    </w:lvl>
  </w:abstractNum>
  <w:abstractNum w:abstractNumId="103">
    <w:nsid w:val="4A1D606E"/>
    <w:multiLevelType w:val="hybridMultilevel"/>
    <w:lvl w:ilvl="0">
      <w:lvlJc w:val="left"/>
      <w:lvlText w:val="(%1)"/>
      <w:numFmt w:val="lowerRoman"/>
      <w:start w:val="1"/>
    </w:lvl>
  </w:abstractNum>
  <w:abstractNum w:abstractNumId="104">
    <w:nsid w:val="4382503"/>
    <w:multiLevelType w:val="hybridMultilevel"/>
    <w:lvl w:ilvl="0">
      <w:lvlJc w:val="left"/>
      <w:lvlText w:val="(%1)"/>
      <w:numFmt w:val="lowerLetter"/>
      <w:start w:val="2"/>
    </w:lvl>
    <w:lvl w:ilvl="1">
      <w:lvlJc w:val="left"/>
      <w:lvlText w:val="(%2)"/>
      <w:numFmt w:val="lowerRoman"/>
      <w:start w:val="1"/>
    </w:lvl>
  </w:abstractNum>
  <w:abstractNum w:abstractNumId="105">
    <w:nsid w:val="59B76E28"/>
    <w:multiLevelType w:val="hybridMultilevel"/>
    <w:lvl w:ilvl="0">
      <w:lvlJc w:val="left"/>
      <w:lvlText w:val="(%1)"/>
      <w:numFmt w:val="lowerRoman"/>
      <w:start w:val="3"/>
    </w:lvl>
  </w:abstractNum>
  <w:abstractNum w:abstractNumId="106">
    <w:nsid w:val="4252C2DA"/>
    <w:multiLevelType w:val="hybridMultilevel"/>
    <w:lvl w:ilvl="0">
      <w:lvlJc w:val="left"/>
      <w:lvlText w:val="(%1)"/>
      <w:numFmt w:val="lowerLetter"/>
      <w:start w:val="1"/>
    </w:lvl>
  </w:abstractNum>
  <w:abstractNum w:abstractNumId="107">
    <w:nsid w:val="6A92EF4C"/>
    <w:multiLevelType w:val="hybridMultilevel"/>
    <w:lvl w:ilvl="0">
      <w:lvlJc w:val="left"/>
      <w:lvlText w:val="(%1)"/>
      <w:numFmt w:val="lowerLetter"/>
      <w:start w:val="4"/>
    </w:lvl>
  </w:abstractNum>
  <w:abstractNum w:abstractNumId="108">
    <w:nsid w:val="41ED20D7"/>
    <w:multiLevelType w:val="hybridMultilevel"/>
    <w:lvl w:ilvl="0">
      <w:lvlJc w:val="left"/>
      <w:lvlText w:val="(%1)"/>
      <w:numFmt w:val="lowerLetter"/>
      <w:start w:val="1"/>
    </w:lvl>
  </w:abstractNum>
  <w:abstractNum w:abstractNumId="109">
    <w:nsid w:val="E6B3F6A"/>
    <w:multiLevelType w:val="hybridMultilevel"/>
    <w:lvl w:ilvl="0">
      <w:lvlJc w:val="left"/>
      <w:lvlText w:val="(%1)"/>
      <w:numFmt w:val="lowerLetter"/>
      <w:start w:val="1"/>
    </w:lvl>
    <w:lvl w:ilvl="1">
      <w:lvlJc w:val="left"/>
      <w:lvlText w:val="(%2)"/>
      <w:numFmt w:val="lowerRoman"/>
      <w:start w:val="1"/>
    </w:lvl>
  </w:abstractNum>
  <w:abstractNum w:abstractNumId="110">
    <w:nsid w:val="3EB21819"/>
    <w:multiLevelType w:val="hybridMultilevel"/>
    <w:lvl w:ilvl="0">
      <w:lvlJc w:val="left"/>
      <w:lvlText w:val="(%1)"/>
      <w:numFmt w:val="lowerRoman"/>
      <w:start w:val="10"/>
    </w:lvl>
    <w:lvl w:ilvl="1">
      <w:lvlJc w:val="left"/>
      <w:lvlText w:val="(%2)"/>
      <w:numFmt w:val="lowerRoman"/>
      <w:start w:val="3"/>
    </w:lvl>
    <w:lvl w:ilvl="2">
      <w:lvlJc w:val="left"/>
      <w:lvlText w:val="(%3)"/>
      <w:numFmt w:val="upperLetter"/>
      <w:start w:val="1"/>
    </w:lvl>
  </w:abstractNum>
  <w:abstractNum w:abstractNumId="111">
    <w:nsid w:val="41531DE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12">
    <w:nsid w:val="6353CD2"/>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abstractNum>
  <w:abstractNum w:abstractNumId="113">
    <w:nsid w:val="683CAAD3"/>
    <w:multiLevelType w:val="hybridMultilevel"/>
    <w:lvl w:ilvl="0">
      <w:lvlJc w:val="left"/>
      <w:lvlText w:val="(%1)"/>
      <w:numFmt w:val="lowerLetter"/>
      <w:start w:val="1"/>
    </w:lvl>
  </w:abstractNum>
  <w:abstractNum w:abstractNumId="114">
    <w:nsid w:val="313C7C99"/>
    <w:multiLevelType w:val="hybridMultilevel"/>
    <w:lvl w:ilvl="0">
      <w:lvlJc w:val="left"/>
      <w:lvlText w:val="(%1)"/>
      <w:numFmt w:val="lowerLetter"/>
      <w:start w:val="1"/>
    </w:lvl>
  </w:abstractNum>
  <w:abstractNum w:abstractNumId="115">
    <w:nsid w:val="519EB94C"/>
    <w:multiLevelType w:val="hybridMultilevel"/>
    <w:lvl w:ilvl="0">
      <w:lvlJc w:val="left"/>
      <w:lvlText w:val="(%1)"/>
      <w:numFmt w:val="lowerLetter"/>
      <w:start w:val="3"/>
    </w:lvl>
    <w:lvl w:ilvl="1">
      <w:lvlJc w:val="left"/>
      <w:lvlText w:val="(%2)"/>
      <w:numFmt w:val="lowerRoman"/>
      <w:start w:val="1"/>
    </w:lvl>
  </w:abstractNum>
  <w:abstractNum w:abstractNumId="116">
    <w:nsid w:val="39DF2579"/>
    <w:multiLevelType w:val="hybridMultilevel"/>
    <w:lvl w:ilvl="0">
      <w:lvlJc w:val="left"/>
      <w:lvlText w:val="(%1)"/>
      <w:numFmt w:val="lowerLetter"/>
      <w:start w:val="7"/>
    </w:lvl>
  </w:abstractNum>
  <w:abstractNum w:abstractNumId="117">
    <w:nsid w:val="126E008B"/>
    <w:multiLevelType w:val="hybridMultilevel"/>
    <w:lvl w:ilvl="0">
      <w:lvlJc w:val="left"/>
      <w:lvlText w:val="(%1)"/>
      <w:numFmt w:val="lowerLetter"/>
      <w:start w:val="1"/>
    </w:lvl>
    <w:lvl w:ilvl="1">
      <w:lvlJc w:val="left"/>
      <w:lvlText w:val="(%2)"/>
      <w:numFmt w:val="lowerRoman"/>
      <w:start w:val="1"/>
    </w:lvl>
  </w:abstractNum>
  <w:abstractNum w:abstractNumId="118">
    <w:nsid w:val="34DFBC00"/>
    <w:multiLevelType w:val="hybridMultilevel"/>
    <w:lvl w:ilvl="0">
      <w:lvlJc w:val="left"/>
      <w:lvlText w:val="(%1)"/>
      <w:numFmt w:val="lowerLetter"/>
      <w:start w:val="2"/>
    </w:lvl>
  </w:abstractNum>
  <w:abstractNum w:abstractNumId="119">
    <w:nsid w:val="1F9EC322"/>
    <w:multiLevelType w:val="hybridMultilevel"/>
    <w:lvl w:ilvl="0">
      <w:lvlJc w:val="left"/>
      <w:lvlText w:val="(%1)"/>
      <w:numFmt w:val="lowerLetter"/>
      <w:start w:val="3"/>
    </w:lvl>
  </w:abstractNum>
  <w:abstractNum w:abstractNumId="120">
    <w:nsid w:val="3410ED56"/>
    <w:multiLevelType w:val="hybridMultilevel"/>
    <w:lvl w:ilvl="0">
      <w:lvlJc w:val="left"/>
      <w:lvlText w:val="(%1)"/>
      <w:numFmt w:val="lowerLetter"/>
      <w:start w:val="1"/>
    </w:lvl>
  </w:abstractNum>
  <w:abstractNum w:abstractNumId="121">
    <w:nsid w:val="23C049A"/>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22">
    <w:nsid w:val="5BDA35D4"/>
    <w:multiLevelType w:val="hybridMultilevel"/>
    <w:lvl w:ilvl="0">
      <w:lvlJc w:val="left"/>
      <w:lvlText w:val="%1"/>
      <w:numFmt w:val="upperLetter"/>
      <w:start w:val="1"/>
    </w:lvl>
    <w:lvl w:ilvl="1">
      <w:lvlJc w:val="left"/>
      <w:lvlText w:val="(%2)"/>
      <w:numFmt w:val="decimal"/>
      <w:start w:val="1"/>
    </w:lvl>
  </w:abstractNum>
  <w:abstractNum w:abstractNumId="123">
    <w:nsid w:val="496FB218"/>
    <w:multiLevelType w:val="hybridMultilevel"/>
    <w:lvl w:ilvl="0">
      <w:lvlJc w:val="left"/>
      <w:lvlText w:val="(%1)"/>
      <w:numFmt w:val="upperLetter"/>
      <w:start w:val="3"/>
    </w:lvl>
    <w:lvl w:ilvl="1">
      <w:lvlJc w:val="left"/>
      <w:lvlText w:val="%2"/>
      <w:numFmt w:val="decimal"/>
      <w:start w:val="1"/>
    </w:lvl>
  </w:abstractNum>
  <w:abstractNum w:abstractNumId="124">
    <w:nsid w:val="680EA5D1"/>
    <w:multiLevelType w:val="hybridMultilevel"/>
    <w:lvl w:ilvl="0">
      <w:lvlJc w:val="left"/>
      <w:lvlText w:val="(%1)"/>
      <w:numFmt w:val="lowerLetter"/>
      <w:start w:val="8"/>
    </w:lvl>
  </w:abstractNum>
  <w:abstractNum w:abstractNumId="125">
    <w:nsid w:val="4A9554FE"/>
    <w:multiLevelType w:val="hybridMultilevel"/>
    <w:lvl w:ilvl="0">
      <w:lvlJc w:val="left"/>
      <w:lvlText w:val="(%1)"/>
      <w:numFmt w:val="lowerRoman"/>
      <w:start w:val="1"/>
    </w:lvl>
    <w:lvl w:ilvl="1">
      <w:lvlJc w:val="left"/>
      <w:lvlText w:val="(%2)"/>
      <w:numFmt w:val="upperLetter"/>
      <w:start w:val="1"/>
    </w:lvl>
  </w:abstractNum>
  <w:abstractNum w:abstractNumId="126">
    <w:nsid w:val="392EDBE4"/>
    <w:multiLevelType w:val="hybridMultilevel"/>
    <w:lvl w:ilvl="0">
      <w:lvlJc w:val="left"/>
      <w:lvlText w:val="(%1)"/>
      <w:numFmt w:val="lowerRoman"/>
      <w:start w:val="2"/>
    </w:lvl>
  </w:abstractNum>
  <w:abstractNum w:abstractNumId="127">
    <w:nsid w:val="3D1A2DD9"/>
    <w:multiLevelType w:val="hybridMultilevel"/>
    <w:lvl w:ilvl="0">
      <w:lvlJc w:val="left"/>
      <w:lvlText w:val="(%1)"/>
      <w:numFmt w:val="lowerLetter"/>
      <w:start w:val="1"/>
    </w:lvl>
    <w:lvl w:ilvl="1">
      <w:lvlJc w:val="left"/>
      <w:lvlText w:val="(%2)"/>
      <w:numFmt w:val="lowerRoman"/>
      <w:start w:val="1"/>
    </w:lvl>
  </w:abstractNum>
  <w:abstractNum w:abstractNumId="128">
    <w:nsid w:val="7F618FCD"/>
    <w:multiLevelType w:val="hybridMultilevel"/>
    <w:lvl w:ilvl="0">
      <w:lvlJc w:val="left"/>
      <w:lvlText w:val="(%1)"/>
      <w:numFmt w:val="decimal"/>
      <w:start w:val="1"/>
    </w:lvl>
  </w:abstractNum>
  <w:abstractNum w:abstractNumId="129">
    <w:nsid w:val="7843E45"/>
    <w:multiLevelType w:val="hybridMultilevel"/>
    <w:lvl w:ilvl="0">
      <w:lvlJc w:val="left"/>
      <w:lvlText w:val="(%1)"/>
      <w:numFmt w:val="decimal"/>
      <w:start w:val="4"/>
    </w:lvl>
  </w:abstractNum>
  <w:abstractNum w:abstractNumId="130">
    <w:nsid w:val="9815DA3"/>
    <w:multiLevelType w:val="hybridMultilevel"/>
    <w:lvl w:ilvl="0">
      <w:lvlJc w:val="left"/>
      <w:lvlText w:val="(%1)"/>
      <w:numFmt w:val="lowerLetter"/>
      <w:start w:val="2"/>
    </w:lvl>
  </w:abstractNum>
  <w:abstractNum w:abstractNumId="131">
    <w:nsid w:val="5204A191"/>
    <w:multiLevelType w:val="hybridMultilevel"/>
    <w:lvl w:ilvl="0">
      <w:lvlJc w:val="left"/>
      <w:lvlText w:val="(%1)"/>
      <w:numFmt w:val="lowerLetter"/>
      <w:start w:val="1"/>
    </w:lvl>
  </w:abstractNum>
  <w:abstractNum w:abstractNumId="132">
    <w:nsid w:val="4C73A9C6"/>
    <w:multiLevelType w:val="hybridMultilevel"/>
    <w:lvl w:ilvl="0">
      <w:lvlJc w:val="left"/>
      <w:lvlText w:val="(%1)"/>
      <w:numFmt w:val="lowerLetter"/>
      <w:start w:val="1"/>
    </w:lvl>
  </w:abstractNum>
  <w:abstractNum w:abstractNumId="133">
    <w:nsid w:val="1C7E3C01"/>
    <w:multiLevelType w:val="hybridMultilevel"/>
    <w:lvl w:ilvl="0">
      <w:lvlJc w:val="left"/>
      <w:lvlText w:val="(%1)"/>
      <w:numFmt w:val="lowerLetter"/>
      <w:start w:val="2"/>
    </w:lvl>
    <w:lvl w:ilvl="1">
      <w:lvlJc w:val="left"/>
      <w:lvlText w:val="(%2)"/>
      <w:numFmt w:val="lowerRoman"/>
      <w:start w:val="1"/>
    </w:lvl>
  </w:abstractNum>
  <w:abstractNum w:abstractNumId="134">
    <w:nsid w:val="1C2201FF"/>
    <w:multiLevelType w:val="hybridMultilevel"/>
    <w:lvl w:ilvl="0">
      <w:lvlJc w:val="left"/>
      <w:lvlText w:val="(%1)"/>
      <w:numFmt w:val="lowerLetter"/>
      <w:start w:val="1"/>
    </w:lvl>
  </w:abstractNum>
  <w:abstractNum w:abstractNumId="135">
    <w:nsid w:val="50ABCEC9"/>
    <w:multiLevelType w:val="hybridMultilevel"/>
    <w:lvl w:ilvl="0">
      <w:lvlJc w:val="left"/>
      <w:lvlText w:val="(%1)"/>
      <w:numFmt w:val="lowerLetter"/>
      <w:start w:val="1"/>
    </w:lvl>
    <w:lvl w:ilvl="1">
      <w:lvlJc w:val="left"/>
      <w:lvlText w:val="(%2)"/>
      <w:numFmt w:val="lowerRoman"/>
      <w:start w:val="1"/>
    </w:lvl>
  </w:abstractNum>
  <w:abstractNum w:abstractNumId="136">
    <w:nsid w:val="7635AA2A"/>
    <w:multiLevelType w:val="hybridMultilevel"/>
    <w:lvl w:ilvl="0">
      <w:lvlJc w:val="left"/>
      <w:lvlText w:val="(%1)"/>
      <w:numFmt w:val="lowerRoman"/>
      <w:start w:val="5"/>
    </w:lvl>
    <w:lvl w:ilvl="1">
      <w:lvlJc w:val="left"/>
      <w:lvlText w:val="(%2)"/>
      <w:numFmt w:val="upperLetter"/>
      <w:start w:val="1"/>
    </w:lvl>
  </w:abstractNum>
  <w:abstractNum w:abstractNumId="137">
    <w:nsid w:val="5E74C4D9"/>
    <w:multiLevelType w:val="hybridMultilevel"/>
    <w:lvl w:ilvl="0">
      <w:lvlJc w:val="left"/>
      <w:lvlText w:val="%1"/>
      <w:numFmt w:val="lowerLetter"/>
      <w:start w:val="1"/>
    </w:lvl>
    <w:lvl w:ilvl="1">
      <w:lvlJc w:val="left"/>
      <w:lvlText w:val="(%2)"/>
      <w:numFmt w:val="lowerRoman"/>
      <w:start w:val="16"/>
    </w:lvl>
  </w:abstractNum>
  <w:abstractNum w:abstractNumId="138">
    <w:nsid w:val="3B3EBE15"/>
    <w:multiLevelType w:val="hybridMultilevel"/>
    <w:lvl w:ilvl="0">
      <w:lvlJc w:val="left"/>
      <w:lvlText w:val="(%1)"/>
      <w:numFmt w:val="lowerLetter"/>
      <w:start w:val="2"/>
    </w:lvl>
    <w:lvl w:ilvl="1">
      <w:lvlJc w:val="left"/>
      <w:lvlText w:val="%2"/>
      <w:numFmt w:val="lowerRoman"/>
      <w:start w:val="1"/>
    </w:lvl>
  </w:abstractNum>
  <w:abstractNum w:abstractNumId="139">
    <w:nsid w:val="3822CB01"/>
    <w:multiLevelType w:val="hybridMultilevel"/>
    <w:lvl w:ilvl="0">
      <w:lvlJc w:val="left"/>
      <w:lvlText w:val="(%1)"/>
      <w:numFmt w:val="lowerLetter"/>
      <w:start w:val="1"/>
    </w:lvl>
  </w:abstractNum>
  <w:abstractNum w:abstractNumId="140">
    <w:nsid w:val="6CE00443"/>
    <w:multiLevelType w:val="hybridMultilevel"/>
    <w:lvl w:ilvl="0">
      <w:lvlJc w:val="left"/>
      <w:lvlText w:val="(%1)"/>
      <w:numFmt w:val="lowerRoman"/>
      <w:start w:val="10"/>
    </w:lvl>
  </w:abstractNum>
  <w:abstractNum w:abstractNumId="141">
    <w:nsid w:val="79F0D62F"/>
    <w:multiLevelType w:val="hybridMultilevel"/>
    <w:lvl w:ilvl="0">
      <w:lvlJc w:val="left"/>
      <w:lvlText w:val="(%1)"/>
      <w:numFmt w:val="lowerLetter"/>
      <w:start w:val="25"/>
    </w:lvl>
  </w:abstractNum>
  <w:abstractNum w:abstractNumId="142">
    <w:nsid w:val="7975E8EE"/>
    <w:multiLevelType w:val="hybridMultilevel"/>
    <w:lvl w:ilvl="0">
      <w:lvlJc w:val="left"/>
      <w:lvlText w:val="(%1)"/>
      <w:numFmt w:val="lowerLetter"/>
      <w:start w:val="1"/>
    </w:lvl>
  </w:abstractNum>
  <w:abstractNum w:abstractNumId="143">
    <w:nsid w:val="73154115"/>
    <w:multiLevelType w:val="hybridMultilevel"/>
    <w:lvl w:ilvl="0">
      <w:lvlJc w:val="left"/>
      <w:lvlText w:val="(%1)"/>
      <w:numFmt w:val="lowerLetter"/>
      <w:start w:val="1"/>
    </w:lvl>
  </w:abstractNum>
  <w:abstractNum w:abstractNumId="144">
    <w:nsid w:val="622D8102"/>
    <w:multiLevelType w:val="hybridMultilevel"/>
    <w:lvl w:ilvl="0">
      <w:lvlJc w:val="left"/>
      <w:lvlText w:val="(%1)"/>
      <w:numFmt w:val="lowerLetter"/>
      <w:start w:val="1"/>
    </w:lvl>
  </w:abstractNum>
  <w:abstractNum w:abstractNumId="145">
    <w:nsid w:val="2AB26587"/>
    <w:multiLevelType w:val="hybridMultilevel"/>
    <w:lvl w:ilvl="0">
      <w:lvlJc w:val="left"/>
      <w:lvlText w:val="(%1)"/>
      <w:numFmt w:val="lowerLetter"/>
      <w:start w:val="1"/>
    </w:lvl>
  </w:abstractNum>
  <w:abstractNum w:abstractNumId="146">
    <w:nsid w:val="44B3FA61"/>
    <w:multiLevelType w:val="hybridMultilevel"/>
    <w:lvl w:ilvl="0">
      <w:lvlJc w:val="left"/>
      <w:lvlText w:val="(%1)"/>
      <w:numFmt w:val="lowerLetter"/>
      <w:start w:val="1"/>
    </w:lvl>
  </w:abstractNum>
  <w:abstractNum w:abstractNumId="147">
    <w:nsid w:val="1C0CA67C"/>
    <w:multiLevelType w:val="hybridMultilevel"/>
    <w:lvl w:ilvl="0">
      <w:lvlJc w:val="left"/>
      <w:lvlText w:val="(%1)"/>
      <w:numFmt w:val="lowerLetter"/>
      <w:start w:val="1"/>
    </w:lvl>
  </w:abstractNum>
  <w:abstractNum w:abstractNumId="148">
    <w:nsid w:val="3D206613"/>
    <w:multiLevelType w:val="hybridMultilevel"/>
    <w:lvl w:ilvl="0">
      <w:lvlJc w:val="left"/>
      <w:lvlText w:val="(%1)"/>
      <w:numFmt w:val="lowerLetter"/>
      <w:start w:val="1"/>
    </w:lvl>
  </w:abstractNum>
  <w:abstractNum w:abstractNumId="149">
    <w:nsid w:val="7993B662"/>
    <w:multiLevelType w:val="hybridMultilevel"/>
    <w:lvl w:ilvl="0">
      <w:lvlJc w:val="left"/>
      <w:lvlText w:val="(%1)"/>
      <w:numFmt w:val="lowerLetter"/>
      <w:start w:val="1"/>
    </w:lvl>
  </w:abstractNum>
  <w:abstractNum w:abstractNumId="150">
    <w:nsid w:val="3BAB699E"/>
    <w:multiLevelType w:val="hybridMultilevel"/>
    <w:lvl w:ilvl="0">
      <w:lvlJc w:val="left"/>
      <w:lvlText w:val="(%1)"/>
      <w:numFmt w:val="lowerLetter"/>
      <w:start w:val="1"/>
    </w:lvl>
  </w:abstractNum>
  <w:abstractNum w:abstractNumId="151">
    <w:nsid w:val="71315369"/>
    <w:multiLevelType w:val="hybridMultilevel"/>
    <w:lvl w:ilvl="0">
      <w:lvlJc w:val="left"/>
      <w:lvlText w:val="(%1)"/>
      <w:numFmt w:val="lowerLetter"/>
      <w:start w:val="1"/>
    </w:lvl>
  </w:abstractNum>
  <w:abstractNum w:abstractNumId="152">
    <w:nsid w:val="7BCFBAFC"/>
    <w:multiLevelType w:val="hybridMultilevel"/>
    <w:lvl w:ilvl="0">
      <w:lvlJc w:val="left"/>
      <w:lvlText w:val="(%1)"/>
      <w:numFmt w:val="lowerLetter"/>
      <w:start w:val="1"/>
    </w:lvl>
  </w:abstractNum>
  <w:abstractNum w:abstractNumId="153">
    <w:nsid w:val="17859F72"/>
    <w:multiLevelType w:val="hybridMultilevel"/>
    <w:lvl w:ilvl="0">
      <w:lvlJc w:val="left"/>
      <w:lvlText w:val="(%1)"/>
      <w:numFmt w:val="lowerLetter"/>
      <w:start w:val="3"/>
    </w:lvl>
    <w:lvl w:ilvl="1">
      <w:lvlJc w:val="left"/>
      <w:lvlText w:val="(%2)"/>
      <w:numFmt w:val="lowerRoman"/>
      <w:start w:val="1"/>
    </w:lvl>
  </w:abstractNum>
  <w:abstractNum w:abstractNumId="154">
    <w:nsid w:val="3AA10581"/>
    <w:multiLevelType w:val="hybridMultilevel"/>
    <w:lvl w:ilvl="0">
      <w:lvlJc w:val="left"/>
      <w:lvlText w:val="(%1)"/>
      <w:numFmt w:val="lowerRoman"/>
      <w:start w:val="2"/>
    </w:lvl>
  </w:abstractNum>
  <w:abstractNum w:abstractNumId="155">
    <w:nsid w:val="63DE60CD"/>
    <w:multiLevelType w:val="hybridMultilevel"/>
    <w:lvl w:ilvl="0">
      <w:lvlJc w:val="left"/>
      <w:lvlText w:val="%1"/>
      <w:numFmt w:val="lowerLetter"/>
      <w:start w:val="1"/>
    </w:lvl>
    <w:lvl w:ilvl="1">
      <w:lvlJc w:val="left"/>
      <w:lvlText w:val="(%2)"/>
      <w:numFmt w:val="lowerRoman"/>
      <w:start w:val="7"/>
    </w:lvl>
  </w:abstractNum>
  <w:abstractNum w:abstractNumId="156">
    <w:nsid w:val="621AF471"/>
    <w:multiLevelType w:val="hybridMultilevel"/>
    <w:lvl w:ilvl="0">
      <w:lvlJc w:val="left"/>
      <w:lvlText w:val="(%1)"/>
      <w:numFmt w:val="lowerLetter"/>
      <w:start w:val="6"/>
    </w:lvl>
    <w:lvl w:ilvl="1">
      <w:lvlJc w:val="left"/>
      <w:lvlText w:val="%2"/>
      <w:numFmt w:val="lowerRoman"/>
      <w:start w:val="1"/>
    </w:lvl>
  </w:abstractNum>
  <w:abstractNum w:abstractNumId="157">
    <w:nsid w:val="73CFE165"/>
    <w:multiLevelType w:val="hybridMultilevel"/>
    <w:lvl w:ilvl="0">
      <w:lvlJc w:val="left"/>
      <w:lvlText w:val="(%1)"/>
      <w:numFmt w:val="lowerLetter"/>
      <w:start w:val="1"/>
    </w:lvl>
  </w:abstractNum>
  <w:abstractNum w:abstractNumId="158">
    <w:nsid w:val="20F88EA6"/>
    <w:multiLevelType w:val="hybridMultilevel"/>
    <w:lvl w:ilvl="0">
      <w:lvlJc w:val="left"/>
      <w:lvlText w:val="(%1)"/>
      <w:numFmt w:val="lowerLetter"/>
      <w:start w:val="2"/>
    </w:lvl>
  </w:abstractNum>
  <w:abstractNum w:abstractNumId="159">
    <w:nsid w:val="617C843E"/>
    <w:multiLevelType w:val="hybridMultilevel"/>
    <w:lvl w:ilvl="0">
      <w:lvlJc w:val="left"/>
      <w:lvlText w:val="(%1)"/>
      <w:numFmt w:val="lowerLetter"/>
      <w:start w:val="1"/>
    </w:lvl>
  </w:abstractNum>
  <w:abstractNum w:abstractNumId="160">
    <w:nsid w:val="7B541FAB"/>
    <w:multiLevelType w:val="hybridMultilevel"/>
    <w:lvl w:ilvl="0">
      <w:lvlJc w:val="left"/>
      <w:lvlText w:val="(%1)"/>
      <w:numFmt w:val="lowerRoman"/>
      <w:start w:val="1"/>
    </w:lvl>
  </w:abstractNum>
  <w:abstractNum w:abstractNumId="161">
    <w:nsid w:val="2A79EC49"/>
    <w:multiLevelType w:val="hybridMultilevel"/>
    <w:lvl w:ilvl="0">
      <w:lvlJc w:val="left"/>
      <w:lvlText w:val="%1"/>
      <w:numFmt w:val="lowerLetter"/>
      <w:start w:val="1"/>
    </w:lvl>
    <w:lvl w:ilvl="1">
      <w:lvlJc w:val="left"/>
      <w:lvlText w:val="(%2)"/>
      <w:numFmt w:val="lowerLetter"/>
      <w:start w:val="3"/>
    </w:lvl>
  </w:abstractNum>
  <w:abstractNum w:abstractNumId="162">
    <w:nsid w:val="338125CF"/>
    <w:multiLevelType w:val="hybridMultilevel"/>
    <w:lvl w:ilvl="0">
      <w:lvlJc w:val="left"/>
      <w:lvlText w:val="(%1)"/>
      <w:numFmt w:val="lowerLetter"/>
      <w:start w:val="35"/>
    </w:lvl>
    <w:lvl w:ilvl="1">
      <w:lvlJc w:val="left"/>
      <w:lvlText w:val="%2"/>
      <w:numFmt w:val="lowerLetter"/>
      <w:start w:val="1"/>
    </w:lvl>
  </w:abstractNum>
  <w:abstractNum w:abstractNumId="163">
    <w:nsid w:val="47C7C971"/>
    <w:multiLevelType w:val="hybridMultilevel"/>
    <w:lvl w:ilvl="0">
      <w:lvlJc w:val="left"/>
      <w:lvlText w:val="(%1)"/>
      <w:numFmt w:val="lowerLetter"/>
      <w:start w:val="1"/>
    </w:lvl>
  </w:abstractNum>
  <w:abstractNum w:abstractNumId="164">
    <w:nsid w:val="46F8284B"/>
    <w:multiLevelType w:val="hybridMultilevel"/>
    <w:lvl w:ilvl="0">
      <w:lvlJc w:val="left"/>
      <w:lvlText w:val="%1"/>
      <w:numFmt w:val="lowerLetter"/>
      <w:start w:val="1"/>
    </w:lvl>
    <w:lvl w:ilvl="1">
      <w:lvlJc w:val="left"/>
      <w:lvlText w:val="(%2)"/>
      <w:numFmt w:val="lowerLetter"/>
      <w:start w:val="3"/>
    </w:lvl>
  </w:abstractNum>
  <w:abstractNum w:abstractNumId="165">
    <w:nsid w:val="4FA327CE"/>
    <w:multiLevelType w:val="hybridMultilevel"/>
    <w:lvl w:ilvl="0">
      <w:lvlJc w:val="left"/>
      <w:lvlText w:val="(%1)"/>
      <w:numFmt w:val="lowerLetter"/>
      <w:start w:val="25"/>
    </w:lvl>
    <w:lvl w:ilvl="1">
      <w:lvlJc w:val="left"/>
      <w:lvlText w:val="%2"/>
      <w:numFmt w:val="lowerLetter"/>
      <w:start w:val="1"/>
    </w:lvl>
  </w:abstractNum>
  <w:abstractNum w:abstractNumId="166">
    <w:nsid w:val="1873983A"/>
    <w:multiLevelType w:val="hybridMultilevel"/>
    <w:lvl w:ilvl="0">
      <w:lvlJc w:val="left"/>
      <w:lvlText w:val="(%1)"/>
      <w:numFmt w:val="lowerLetter"/>
      <w:start w:val="25"/>
    </w:lvl>
    <w:lvl w:ilvl="1">
      <w:lvlJc w:val="left"/>
      <w:lvlText w:val="%2"/>
      <w:numFmt w:val="lowerLetter"/>
      <w:start w:val="1"/>
    </w:lvl>
  </w:abstractNum>
  <w:abstractNum w:abstractNumId="167">
    <w:nsid w:val="3D2DD275"/>
    <w:multiLevelType w:val="hybridMultilevel"/>
    <w:lvl w:ilvl="0">
      <w:lvlJc w:val="left"/>
      <w:lvlText w:val="%1"/>
      <w:numFmt w:val="lowerLetter"/>
      <w:start w:val="1"/>
    </w:lvl>
    <w:lvl w:ilvl="1">
      <w:lvlJc w:val="left"/>
      <w:lvlText w:val="(%2)"/>
      <w:numFmt w:val="lowerLetter"/>
      <w:start w:val="1"/>
    </w:lvl>
  </w:abstractNum>
  <w:abstractNum w:abstractNumId="168">
    <w:nsid w:val="2E17ECA7"/>
    <w:multiLevelType w:val="hybridMultilevel"/>
    <w:lvl w:ilvl="0">
      <w:lvlJc w:val="left"/>
      <w:lvlText w:val="(%1)"/>
      <w:numFmt w:val="lowerLetter"/>
      <w:start w:val="35"/>
    </w:lvl>
    <w:lvl w:ilvl="1">
      <w:lvlJc w:val="left"/>
      <w:lvlText w:val="(%2)"/>
      <w:numFmt w:val="lowerLetter"/>
      <w:start w:val="3"/>
    </w:lvl>
  </w:abstractNum>
  <w:abstractNum w:abstractNumId="169">
    <w:nsid w:val="53B2564F"/>
    <w:multiLevelType w:val="hybridMultilevel"/>
    <w:lvl w:ilvl="0">
      <w:lvlJc w:val="left"/>
      <w:lvlText w:val="(%1)"/>
      <w:numFmt w:val="lowerLetter"/>
      <w:start w:val="1"/>
    </w:lvl>
  </w:abstractNum>
  <w:abstractNum w:abstractNumId="170">
    <w:nsid w:val="75509D76"/>
    <w:multiLevelType w:val="hybridMultilevel"/>
    <w:lvl w:ilvl="0">
      <w:lvlJc w:val="left"/>
      <w:lvlText w:val="(%1)"/>
      <w:numFmt w:val="lowerLetter"/>
      <w:start w:val="1"/>
    </w:lvl>
  </w:abstractNum>
  <w:abstractNum w:abstractNumId="171">
    <w:nsid w:val="1AF7F0EA"/>
    <w:multiLevelType w:val="hybridMultilevel"/>
    <w:lvl w:ilvl="0">
      <w:lvlJc w:val="left"/>
      <w:lvlText w:val="%1"/>
      <w:numFmt w:val="lowerLetter"/>
      <w:start w:val="1"/>
    </w:lvl>
    <w:lvl w:ilvl="1">
      <w:lvlJc w:val="left"/>
      <w:lvlText w:val="(%2)"/>
      <w:numFmt w:val="lowerLetter"/>
      <w:start w:val="9"/>
    </w:lvl>
  </w:abstractNum>
  <w:abstractNum w:abstractNumId="172">
    <w:nsid w:val="4DA32C7E"/>
    <w:multiLevelType w:val="hybridMultilevel"/>
    <w:lvl w:ilvl="0">
      <w:lvlJc w:val="left"/>
      <w:lvlText w:val="(%1)"/>
      <w:numFmt w:val="lowerLetter"/>
      <w:start w:val="35"/>
    </w:lvl>
    <w:lvl w:ilvl="1">
      <w:lvlJc w:val="left"/>
      <w:lvlText w:val="(%2)"/>
      <w:numFmt w:val="lowerLetter"/>
      <w:start w:val="12"/>
    </w:lvl>
  </w:abstractNum>
  <w:abstractNum w:abstractNumId="173">
    <w:nsid w:val="6EC68664"/>
    <w:multiLevelType w:val="hybridMultilevel"/>
    <w:lvl w:ilvl="0">
      <w:lvlJc w:val="left"/>
      <w:lvlText w:val="(%1)"/>
      <w:numFmt w:val="lowerLetter"/>
      <w:start w:val="9"/>
    </w:lvl>
    <w:lvl w:ilvl="1">
      <w:lvlJc w:val="left"/>
      <w:lvlText w:val="%2"/>
      <w:numFmt w:val="lowerLetter"/>
      <w:start w:val="1"/>
    </w:lvl>
  </w:abstractNum>
  <w:abstractNum w:abstractNumId="174">
    <w:nsid w:val="E0D31FF"/>
    <w:multiLevelType w:val="hybridMultilevel"/>
    <w:lvl w:ilvl="0">
      <w:lvlJc w:val="left"/>
      <w:lvlText w:val="(%1)"/>
      <w:numFmt w:val="lowerLetter"/>
      <w:start w:val="61"/>
    </w:lvl>
    <w:lvl w:ilvl="1">
      <w:lvlJc w:val="left"/>
      <w:lvlText w:val="(%2)"/>
      <w:numFmt w:val="lowerLetter"/>
      <w:start w:val="14"/>
    </w:lvl>
  </w:abstractNum>
  <w:abstractNum w:abstractNumId="175">
    <w:nsid w:val="2FD0AD81"/>
    <w:multiLevelType w:val="hybridMultilevel"/>
    <w:lvl w:ilvl="0">
      <w:lvlJc w:val="left"/>
      <w:lvlText w:val="(%1)"/>
      <w:numFmt w:val="lowerLetter"/>
      <w:start w:val="9"/>
    </w:lvl>
    <w:lvl w:ilvl="1">
      <w:lvlJc w:val="left"/>
      <w:lvlText w:val="%2"/>
      <w:numFmt w:val="lowerLetter"/>
      <w:start w:val="1"/>
    </w:lvl>
  </w:abstractNum>
  <w:abstractNum w:abstractNumId="176">
    <w:nsid w:val="1978EBEB"/>
    <w:multiLevelType w:val="hybridMultilevel"/>
    <w:lvl w:ilvl="0">
      <w:lvlJc w:val="left"/>
      <w:lvlText w:val="(%1)"/>
      <w:numFmt w:val="lowerLetter"/>
      <w:start w:val="19"/>
    </w:lvl>
  </w:abstractNum>
  <w:abstractNum w:abstractNumId="177">
    <w:nsid w:val="52C12C61"/>
    <w:multiLevelType w:val="hybridMultilevel"/>
    <w:lvl w:ilvl="0">
      <w:lvlJc w:val="left"/>
      <w:lvlText w:val="(%1)"/>
      <w:numFmt w:val="lowerLetter"/>
      <w:start w:val="2"/>
    </w:lvl>
  </w:abstractNum>
  <w:abstractNum w:abstractNumId="178">
    <w:nsid w:val="4BDD53FD"/>
    <w:multiLevelType w:val="hybridMultilevel"/>
    <w:lvl w:ilvl="0">
      <w:lvlJc w:val="left"/>
      <w:lvlText w:val="(%1)"/>
      <w:numFmt w:val="lowerLetter"/>
      <w:start w:val="1"/>
    </w:lvl>
  </w:abstractNum>
  <w:abstractNum w:abstractNumId="179">
    <w:nsid w:val="569951FE"/>
    <w:multiLevelType w:val="hybridMultilevel"/>
    <w:lvl w:ilvl="0">
      <w:lvlJc w:val="left"/>
      <w:lvlText w:val="(%1)"/>
      <w:numFmt w:val="decimal"/>
      <w:start w:val="2"/>
    </w:lvl>
    <w:lvl w:ilvl="1">
      <w:lvlJc w:val="left"/>
      <w:lvlText w:val="(%2)"/>
      <w:numFmt w:val="lowerLetter"/>
      <w:start w:val="16"/>
    </w:lvl>
  </w:abstractNum>
  <w:abstractNum w:abstractNumId="180">
    <w:nsid w:val="4C54E2C3"/>
    <w:multiLevelType w:val="hybridMultilevel"/>
    <w:lvl w:ilvl="0">
      <w:lvlJc w:val="left"/>
      <w:lvlText w:val="(%1)"/>
      <w:numFmt w:val="lowerLetter"/>
      <w:start w:val="1"/>
    </w:lvl>
  </w:abstractNum>
  <w:abstractNum w:abstractNumId="181">
    <w:nsid w:val="788BD9B"/>
    <w:multiLevelType w:val="hybridMultilevel"/>
    <w:lvl w:ilvl="0">
      <w:lvlJc w:val="left"/>
      <w:lvlText w:val="(%1)"/>
      <w:numFmt w:val="lowerLetter"/>
      <w:start w:val="4"/>
    </w:lvl>
  </w:abstractNum>
  <w:abstractNum w:abstractNumId="182">
    <w:nsid w:val="47CAA567"/>
    <w:multiLevelType w:val="hybridMultilevel"/>
    <w:lvl w:ilvl="0">
      <w:lvlJc w:val="left"/>
      <w:lvlText w:val="(%1)"/>
      <w:numFmt w:val="lowerLetter"/>
      <w:start w:val="1"/>
    </w:lvl>
  </w:abstractNum>
  <w:abstractNum w:abstractNumId="183">
    <w:nsid w:val="48249DBF"/>
    <w:multiLevelType w:val="hybridMultilevel"/>
    <w:lvl w:ilvl="0">
      <w:lvlJc w:val="left"/>
      <w:lvlText w:val="(%1)"/>
      <w:numFmt w:val="lowerLetter"/>
      <w:start w:val="1"/>
    </w:lvl>
  </w:abstractNum>
  <w:abstractNum w:abstractNumId="184">
    <w:nsid w:val="1F0E5D0D"/>
    <w:multiLevelType w:val="hybridMultilevel"/>
    <w:lvl w:ilvl="0">
      <w:lvlJc w:val="left"/>
      <w:lvlText w:val="(%1)"/>
      <w:numFmt w:val="lowerLetter"/>
      <w:start w:val="3"/>
    </w:lvl>
  </w:abstractNum>
  <w:abstractNum w:abstractNumId="185">
    <w:nsid w:val="26BAAE9"/>
    <w:multiLevelType w:val="hybridMultilevel"/>
    <w:lvl w:ilvl="0">
      <w:lvlJc w:val="left"/>
      <w:lvlText w:val="%1"/>
      <w:numFmt w:val="upperLetter"/>
      <w:start w:val="1"/>
    </w:lvl>
    <w:lvl w:ilvl="1">
      <w:lvlJc w:val="left"/>
      <w:lvlText w:val="(%2)"/>
      <w:numFmt w:val="lowerLetter"/>
      <w:start w:val="16"/>
    </w:lvl>
  </w:abstractNum>
  <w:abstractNum w:abstractNumId="186">
    <w:nsid w:val="2C02FE8C"/>
    <w:multiLevelType w:val="hybridMultilevel"/>
    <w:lvl w:ilvl="0">
      <w:lvlJc w:val="left"/>
      <w:lvlText w:val="(%1)"/>
      <w:numFmt w:val="upperLetter"/>
      <w:start w:val="35"/>
    </w:lvl>
    <w:lvl w:ilvl="1">
      <w:lvlJc w:val="left"/>
      <w:lvlText w:val="%2"/>
      <w:numFmt w:val="lowerLetter"/>
      <w:start w:val="1"/>
    </w:lvl>
  </w:abstractNum>
  <w:abstractNum w:abstractNumId="187">
    <w:nsid w:val="129517E"/>
    <w:multiLevelType w:val="hybridMultilevel"/>
    <w:lvl w:ilvl="0">
      <w:lvlJc w:val="left"/>
      <w:lvlText w:val="(%1)"/>
      <w:numFmt w:val="lowerLetter"/>
      <w:start w:val="1"/>
    </w:lvl>
  </w:abstractNum>
  <w:abstractNum w:abstractNumId="188">
    <w:nsid w:val="763B8C4E"/>
    <w:multiLevelType w:val="hybridMultilevel"/>
    <w:lvl w:ilvl="0">
      <w:lvlJc w:val="left"/>
      <w:lvlText w:val="(%1)"/>
      <w:numFmt w:val="lowerLetter"/>
      <w:start w:val="1"/>
    </w:lvl>
  </w:abstractNum>
  <w:abstractNum w:abstractNumId="189">
    <w:nsid w:val="4CFB8D32"/>
    <w:multiLevelType w:val="hybridMultilevel"/>
    <w:lvl w:ilvl="0">
      <w:lvlJc w:val="left"/>
      <w:lvlText w:val="(%1)"/>
      <w:numFmt w:val="lowerLetter"/>
      <w:start w:val="1"/>
    </w:lvl>
  </w:abstractNum>
  <w:abstractNum w:abstractNumId="190">
    <w:nsid w:val="62A5D5B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91">
    <w:nsid w:val="718FABF9"/>
    <w:multiLevelType w:val="hybridMultilevel"/>
    <w:lvl w:ilvl="0">
      <w:lvlJc w:val="left"/>
      <w:lvlText w:val="(%1)"/>
      <w:numFmt w:val="decimal"/>
      <w:start w:val="60"/>
    </w:lvl>
    <w:lvl w:ilvl="1">
      <w:lvlJc w:val="left"/>
      <w:lvlText w:val="(%2)"/>
      <w:numFmt w:val="lowerLetter"/>
      <w:start w:val="7"/>
    </w:lvl>
    <w:lvl w:ilvl="2">
      <w:lvlJc w:val="left"/>
      <w:lvlText w:val="%3"/>
      <w:numFmt w:val="lowerRoman"/>
      <w:start w:val="1"/>
    </w:lvl>
  </w:abstractNum>
  <w:abstractNum w:abstractNumId="192">
    <w:nsid w:val="7775797C"/>
    <w:multiLevelType w:val="hybridMultilevel"/>
    <w:lvl w:ilvl="0">
      <w:lvlJc w:val="left"/>
      <w:lvlText w:val="(%1)"/>
      <w:numFmt w:val="lowerLetter"/>
      <w:start w:val="8"/>
    </w:lvl>
  </w:abstractNum>
  <w:abstractNum w:abstractNumId="193">
    <w:nsid w:val="1626FB8C"/>
    <w:multiLevelType w:val="hybridMultilevel"/>
    <w:lvl w:ilvl="0">
      <w:lvlJc w:val="left"/>
      <w:lvlText w:val="(%1)"/>
      <w:numFmt w:val="lowerLetter"/>
      <w:start w:val="13"/>
    </w:lvl>
  </w:abstractNum>
  <w:abstractNum w:abstractNumId="194">
    <w:nsid w:val="3957756A"/>
    <w:multiLevelType w:val="hybridMultilevel"/>
    <w:lvl w:ilvl="0">
      <w:lvlJc w:val="left"/>
      <w:lvlText w:val="(%1)"/>
      <w:numFmt w:val="lowerLetter"/>
      <w:start w:val="1"/>
    </w:lvl>
  </w:abstractNum>
  <w:abstractNum w:abstractNumId="195">
    <w:nsid w:val="3E6DA1C7"/>
    <w:multiLevelType w:val="hybridMultilevel"/>
    <w:lvl w:ilvl="0">
      <w:lvlJc w:val="left"/>
      <w:lvlText w:val="(%1)"/>
      <w:numFmt w:val="lowerLetter"/>
      <w:start w:val="4"/>
    </w:lvl>
  </w:abstractNum>
  <w:abstractNum w:abstractNumId="196">
    <w:nsid w:val="65CA235B"/>
    <w:multiLevelType w:val="hybridMultilevel"/>
    <w:lvl w:ilvl="0">
      <w:lvlJc w:val="left"/>
      <w:lvlText w:val="(%1)"/>
      <w:numFmt w:val="lowerLetter"/>
      <w:start w:val="1"/>
    </w:lvl>
  </w:abstractNum>
  <w:abstractNum w:abstractNumId="197">
    <w:nsid w:val="51CB0DA4"/>
    <w:multiLevelType w:val="hybridMultilevel"/>
    <w:lvl w:ilvl="0">
      <w:lvlJc w:val="left"/>
      <w:lvlText w:val="%1"/>
      <w:numFmt w:val="decimal"/>
      <w:start w:val="1"/>
    </w:lvl>
    <w:lvl w:ilvl="1">
      <w:lvlJc w:val="left"/>
      <w:lvlText w:val="(%2)"/>
      <w:numFmt w:val="lowerLetter"/>
      <w:start w:val="1"/>
    </w:lvl>
  </w:abstractNum>
  <w:abstractNum w:abstractNumId="198">
    <w:nsid w:val="7B9B743C"/>
    <w:multiLevelType w:val="hybridMultilevel"/>
    <w:lvl w:ilvl="0">
      <w:lvlJc w:val="left"/>
      <w:lvlText w:val="(%1)"/>
      <w:numFmt w:val="decimal"/>
      <w:start w:val="20"/>
    </w:lvl>
    <w:lvl w:ilvl="1">
      <w:lvlJc w:val="left"/>
      <w:lvlText w:val="%2"/>
      <w:numFmt w:val="lowerLetter"/>
      <w:start w:val="1"/>
    </w:lvl>
  </w:abstractNum>
  <w:abstractNum w:abstractNumId="199">
    <w:nsid w:val="13E21002"/>
    <w:multiLevelType w:val="hybridMultilevel"/>
    <w:lvl w:ilvl="0">
      <w:lvlJc w:val="left"/>
      <w:lvlText w:val="(%1)"/>
      <w:numFmt w:val="lowerLetter"/>
      <w:start w:val="2"/>
    </w:lvl>
    <w:lvl w:ilvl="1">
      <w:lvlJc w:val="left"/>
      <w:lvlText w:val="%2."/>
      <w:numFmt w:val="upperLetter"/>
      <w:start w:val="24"/>
    </w:lvl>
  </w:abstractNum>
  <w:abstractNum w:abstractNumId="200">
    <w:nsid w:val="257D63F4"/>
    <w:multiLevelType w:val="hybridMultilevel"/>
    <w:lvl w:ilvl="0">
      <w:lvlJc w:val="left"/>
      <w:lvlText w:val="(%1)"/>
      <w:numFmt w:val="lowerLetter"/>
      <w:start w:val="1"/>
    </w:lvl>
  </w:abstractNum>
  <w:abstractNum w:abstractNumId="201">
    <w:nsid w:val="70EC11B2"/>
    <w:multiLevelType w:val="hybridMultilevel"/>
    <w:lvl w:ilvl="0">
      <w:lvlJc w:val="left"/>
      <w:lvlText w:val="%1"/>
      <w:numFmt w:val="lowerLetter"/>
      <w:start w:val="1"/>
    </w:lvl>
    <w:lvl w:ilvl="1">
      <w:lvlJc w:val="left"/>
      <w:lvlText w:val="(%2)"/>
      <w:numFmt w:val="lowerLetter"/>
      <w:start w:val="1"/>
    </w:lvl>
  </w:abstractNum>
  <w:abstractNum w:abstractNumId="202">
    <w:nsid w:val="2EDA00ED"/>
    <w:multiLevelType w:val="hybridMultilevel"/>
    <w:lvl w:ilvl="0">
      <w:lvlJc w:val="left"/>
      <w:lvlText w:val="(%1)"/>
      <w:numFmt w:val="lowerLetter"/>
      <w:start w:val="9"/>
    </w:lvl>
    <w:lvl w:ilvl="1">
      <w:lvlJc w:val="left"/>
      <w:lvlText w:val="%2"/>
      <w:numFmt w:val="lowerLetter"/>
      <w:start w:val="1"/>
    </w:lvl>
  </w:abstractNum>
  <w:abstractNum w:abstractNumId="203">
    <w:nsid w:val="73209072"/>
    <w:multiLevelType w:val="hybridMultilevel"/>
    <w:lvl w:ilvl="0">
      <w:lvlJc w:val="left"/>
      <w:lvlText w:val="(%1)"/>
      <w:numFmt w:val="lowerLetter"/>
      <w:start w:val="1"/>
    </w:lvl>
  </w:abstractNum>
  <w:abstractNum w:abstractNumId="204">
    <w:nsid w:val="5FB29816"/>
    <w:multiLevelType w:val="hybridMultilevel"/>
    <w:lvl w:ilvl="0">
      <w:lvlJc w:val="left"/>
      <w:lvlText w:val="(%1)"/>
      <w:numFmt w:val="lowerRoman"/>
      <w:start w:val="1"/>
    </w:lvl>
  </w:abstractNum>
  <w:abstractNum w:abstractNumId="205">
    <w:nsid w:val="3CE732EC"/>
    <w:multiLevelType w:val="hybridMultilevel"/>
    <w:lvl w:ilvl="0">
      <w:lvlJc w:val="left"/>
      <w:lvlText w:val="(%1)"/>
      <w:numFmt w:val="lowerLetter"/>
      <w:start w:val="2"/>
    </w:lvl>
  </w:abstractNum>
  <w:abstractNum w:abstractNumId="206">
    <w:nsid w:val="22F13DF3"/>
    <w:multiLevelType w:val="hybridMultilevel"/>
    <w:lvl w:ilvl="0">
      <w:lvlJc w:val="left"/>
      <w:lvlText w:val="(%1)"/>
      <w:numFmt w:val="lowerLetter"/>
      <w:start w:val="1"/>
    </w:lvl>
    <w:lvl w:ilvl="1">
      <w:lvlJc w:val="left"/>
      <w:lvlText w:val="(%2)"/>
      <w:numFmt w:val="lowerRoman"/>
      <w:start w:val="1"/>
    </w:lvl>
  </w:abstractNum>
  <w:abstractNum w:abstractNumId="207">
    <w:nsid w:val="792B8401"/>
    <w:multiLevelType w:val="hybridMultilevel"/>
    <w:lvl w:ilvl="0">
      <w:lvlJc w:val="left"/>
      <w:lvlText w:val="%1"/>
      <w:numFmt w:val="lowerLetter"/>
      <w:start w:val="1"/>
    </w:lvl>
    <w:lvl w:ilvl="1">
      <w:lvlJc w:val="left"/>
      <w:lvlText w:val="(%2)"/>
      <w:numFmt w:val="lowerRoman"/>
      <w:start w:val="4"/>
    </w:lvl>
  </w:abstractNum>
  <w:abstractNum w:abstractNumId="208">
    <w:nsid w:val="FA85F4D"/>
    <w:multiLevelType w:val="hybridMultilevel"/>
    <w:lvl w:ilvl="0">
      <w:lvlJc w:val="left"/>
      <w:lvlText w:val="(%1)"/>
      <w:numFmt w:val="lowerLetter"/>
      <w:start w:val="2"/>
    </w:lvl>
    <w:lvl w:ilvl="1">
      <w:lvlJc w:val="left"/>
      <w:lvlText w:val="%2"/>
      <w:numFmt w:val="lowerRoman"/>
      <w:start w:val="1"/>
    </w:lvl>
  </w:abstractNum>
  <w:abstractNum w:abstractNumId="209">
    <w:nsid w:val="6ECE91F0"/>
    <w:multiLevelType w:val="hybridMultilevel"/>
    <w:lvl w:ilvl="0">
      <w:lvlJc w:val="left"/>
      <w:lvlText w:val="(%1)"/>
      <w:numFmt w:val="lowerLetter"/>
      <w:start w:val="1"/>
    </w:lvl>
  </w:abstractNum>
  <w:abstractNum w:abstractNumId="210">
    <w:nsid w:val="4FC4D600"/>
    <w:multiLevelType w:val="hybridMultilevel"/>
    <w:lvl w:ilvl="0">
      <w:lvlJc w:val="left"/>
      <w:lvlText w:val="(%1)"/>
      <w:numFmt w:val="lowerLetter"/>
      <w:start w:val="8"/>
    </w:lvl>
  </w:abstractNum>
  <w:abstractNum w:abstractNumId="211">
    <w:nsid w:val="5BFD4210"/>
    <w:multiLevelType w:val="hybridMultilevel"/>
    <w:lvl w:ilvl="0">
      <w:lvlJc w:val="left"/>
      <w:lvlText w:val="(%1)"/>
      <w:numFmt w:val="lowerLetter"/>
      <w:start w:val="1"/>
    </w:lvl>
  </w:abstractNum>
  <w:abstractNum w:abstractNumId="212">
    <w:nsid w:val="76574F8B"/>
    <w:multiLevelType w:val="hybridMultilevel"/>
    <w:lvl w:ilvl="0">
      <w:lvlJc w:val="left"/>
      <w:lvlText w:val="(%1)"/>
      <w:numFmt w:val="lowerLetter"/>
      <w:start w:val="26"/>
    </w:lvl>
    <w:lvl w:ilvl="1">
      <w:lvlJc w:val="left"/>
      <w:lvlText w:val="(%2)"/>
      <w:numFmt w:val="lowerLetter"/>
      <w:start w:val="3"/>
    </w:lvl>
  </w:abstractNum>
  <w:abstractNum w:abstractNumId="213">
    <w:nsid w:val="178F7B67"/>
    <w:multiLevelType w:val="hybridMultilevel"/>
    <w:lvl w:ilvl="0">
      <w:lvlJc w:val="left"/>
      <w:lvlText w:val="(%1)"/>
      <w:numFmt w:val="lowerLetter"/>
      <w:start w:val="4"/>
    </w:lvl>
  </w:abstractNum>
  <w:abstractNum w:abstractNumId="214">
    <w:nsid w:val="2421DFCF"/>
    <w:multiLevelType w:val="hybridMultilevel"/>
    <w:lvl w:ilvl="0">
      <w:lvlJc w:val="left"/>
      <w:lvlText w:val="(%1)"/>
      <w:numFmt w:val="lowerLetter"/>
      <w:start w:val="1"/>
    </w:lvl>
  </w:abstractNum>
  <w:abstractNum w:abstractNumId="215">
    <w:nsid w:val="1565AC99"/>
    <w:multiLevelType w:val="hybridMultilevel"/>
    <w:lvl w:ilvl="0">
      <w:lvlJc w:val="left"/>
      <w:lvlText w:val="(%1)"/>
      <w:numFmt w:val="lowerLetter"/>
      <w:start w:val="3"/>
    </w:lvl>
    <w:lvl w:ilvl="1">
      <w:lvlJc w:val="left"/>
      <w:lvlText w:val="(%2)"/>
      <w:numFmt w:val="lowerRoman"/>
      <w:start w:val="1"/>
    </w:lvl>
  </w:abstractNum>
  <w:abstractNum w:abstractNumId="216">
    <w:nsid w:val="19FB26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7">
    <w:nsid w:val="5024DE5B"/>
    <w:multiLevelType w:val="hybridMultilevel"/>
    <w:lvl w:ilvl="0">
      <w:lvlJc w:val="left"/>
      <w:lvlText w:val="(%1)"/>
      <w:numFmt w:val="lowerRoman"/>
      <w:start w:val="3"/>
    </w:lvl>
    <w:lvl w:ilvl="1">
      <w:lvlJc w:val="left"/>
      <w:lvlText w:val="(%2)"/>
      <w:numFmt w:val="upperLetter"/>
      <w:start w:val="1"/>
    </w:lvl>
  </w:abstractNum>
  <w:abstractNum w:abstractNumId="218">
    <w:nsid w:val="168EFE17"/>
    <w:multiLevelType w:val="hybridMultilevel"/>
    <w:lvl w:ilvl="0">
      <w:lvlJc w:val="left"/>
      <w:lvlText w:val="%1"/>
      <w:numFmt w:val="lowerLetter"/>
      <w:start w:val="1"/>
    </w:lvl>
    <w:lvl w:ilvl="1">
      <w:lvlJc w:val="left"/>
      <w:lvlText w:val="(%2)"/>
      <w:numFmt w:val="lowerLetter"/>
      <w:start w:val="3"/>
    </w:lvl>
  </w:abstractNum>
  <w:abstractNum w:abstractNumId="219">
    <w:nsid w:val="1036B29F"/>
    <w:multiLevelType w:val="hybridMultilevel"/>
    <w:lvl w:ilvl="0">
      <w:lvlJc w:val="left"/>
      <w:lvlText w:val="(%1)"/>
      <w:numFmt w:val="lowerLetter"/>
      <w:start w:val="25"/>
    </w:lvl>
    <w:lvl w:ilvl="1">
      <w:lvlJc w:val="left"/>
      <w:lvlText w:val="%2"/>
      <w:numFmt w:val="lowerLetter"/>
      <w:start w:val="1"/>
    </w:lvl>
  </w:abstractNum>
  <w:abstractNum w:abstractNumId="220">
    <w:nsid w:val="1D206B8E"/>
    <w:multiLevelType w:val="hybridMultilevel"/>
    <w:lvl w:ilvl="0">
      <w:lvlJc w:val="left"/>
      <w:lvlText w:val="(%1)"/>
      <w:numFmt w:val="lowerLetter"/>
      <w:start w:val="5"/>
    </w:lvl>
  </w:abstractNum>
  <w:abstractNum w:abstractNumId="221">
    <w:nsid w:val="7934D3D4"/>
    <w:multiLevelType w:val="hybridMultilevel"/>
    <w:lvl w:ilvl="0">
      <w:lvlJc w:val="left"/>
      <w:lvlText w:val="(%1)"/>
      <w:numFmt w:val="lowerLetter"/>
      <w:start w:val="1"/>
    </w:lvl>
  </w:abstractNum>
  <w:abstractNum w:abstractNumId="222">
    <w:nsid w:val="1C65E98"/>
    <w:multiLevelType w:val="hybridMultilevel"/>
    <w:lvl w:ilvl="0">
      <w:lvlJc w:val="left"/>
      <w:lvlText w:val="(%1)"/>
      <w:numFmt w:val="lowerLetter"/>
      <w:start w:val="1"/>
    </w:lvl>
  </w:abstractNum>
  <w:abstractNum w:abstractNumId="223">
    <w:nsid w:val="1495E50A"/>
    <w:multiLevelType w:val="hybridMultilevel"/>
    <w:lvl w:ilvl="0">
      <w:lvlJc w:val="left"/>
      <w:lvlText w:val="(%1)"/>
      <w:numFmt w:val="lowerLetter"/>
      <w:start w:val="2"/>
    </w:lvl>
  </w:abstractNum>
  <w:abstractNum w:abstractNumId="224">
    <w:nsid w:val="F5BCF61"/>
    <w:multiLevelType w:val="hybridMultilevel"/>
    <w:lvl w:ilvl="0">
      <w:lvlJc w:val="left"/>
      <w:lvlText w:val="(%1)"/>
      <w:numFmt w:val="lowerLetter"/>
      <w:start w:val="5"/>
    </w:lvl>
  </w:abstractNum>
  <w:abstractNum w:abstractNumId="225">
    <w:nsid w:val="3B1DD403"/>
    <w:multiLevelType w:val="hybridMultilevel"/>
    <w:lvl w:ilvl="0">
      <w:lvlJc w:val="left"/>
      <w:lvlText w:val="(%1)"/>
      <w:numFmt w:val="lowerRoman"/>
      <w:start w:val="1"/>
    </w:lvl>
  </w:abstractNum>
  <w:abstractNum w:abstractNumId="226">
    <w:nsid w:val="530386D1"/>
    <w:multiLevelType w:val="hybridMultilevel"/>
    <w:lvl w:ilvl="0">
      <w:lvlJc w:val="left"/>
      <w:lvlText w:val="(%1)"/>
      <w:numFmt w:val="lowerLetter"/>
      <w:start w:val="1"/>
    </w:lvl>
    <w:lvl w:ilvl="1">
      <w:lvlJc w:val="left"/>
      <w:lvlText w:val="(%2)"/>
      <w:numFmt w:val="lowerRoman"/>
      <w:start w:val="1"/>
    </w:lvl>
  </w:abstractNum>
  <w:abstractNum w:abstractNumId="227">
    <w:nsid w:val="7525F2BC"/>
    <w:multiLevelType w:val="hybridMultilevel"/>
    <w:lvl w:ilvl="0">
      <w:lvlJc w:val="left"/>
      <w:lvlText w:val="(%1)"/>
      <w:numFmt w:val="lowerLetter"/>
      <w:start w:val="1"/>
    </w:lvl>
  </w:abstractNum>
  <w:abstractNum w:abstractNumId="228">
    <w:nsid w:val="CE8E1A7"/>
    <w:multiLevelType w:val="hybridMultilevel"/>
    <w:lvl w:ilvl="0">
      <w:lvlJc w:val="left"/>
      <w:lvlText w:val="(%1)"/>
      <w:numFmt w:val="lowerLetter"/>
      <w:start w:val="7"/>
    </w:lvl>
  </w:abstractNum>
  <w:abstractNum w:abstractNumId="229">
    <w:nsid w:val="4E9EFB0D"/>
    <w:multiLevelType w:val="hybridMultilevel"/>
    <w:lvl w:ilvl="0">
      <w:lvlJc w:val="left"/>
      <w:lvlText w:val="(%1)"/>
      <w:numFmt w:val="lowerLetter"/>
      <w:start w:val="12"/>
    </w:lvl>
  </w:abstractNum>
  <w:abstractNum w:abstractNumId="230">
    <w:nsid w:val="90802B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1">
    <w:nsid w:val="3266459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232">
    <w:nsid w:val="3F8B0CB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233">
    <w:nsid w:val="37E203AB"/>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34">
    <w:nsid w:val="2586D60E"/>
    <w:multiLevelType w:val="hybridMultilevel"/>
    <w:lvl w:ilvl="0">
      <w:lvlJc w:val="left"/>
      <w:lvlText w:val="(%1)"/>
      <w:numFmt w:val="lowerLetter"/>
      <w:start w:val="1"/>
    </w:lvl>
  </w:abstractNum>
  <w:abstractNum w:abstractNumId="235">
    <w:nsid w:val="1F3DA4D5"/>
    <w:multiLevelType w:val="hybridMultilevel"/>
    <w:lvl w:ilvl="0">
      <w:lvlJc w:val="left"/>
      <w:lvlText w:val="(%1)"/>
      <w:numFmt w:val="lowerLetter"/>
      <w:start w:val="1"/>
    </w:lvl>
  </w:abstractNum>
  <w:abstractNum w:abstractNumId="236">
    <w:nsid w:val="74C93698"/>
    <w:multiLevelType w:val="hybridMultilevel"/>
    <w:lvl w:ilvl="0">
      <w:lvlJc w:val="left"/>
      <w:lvlText w:val="(%1)"/>
      <w:numFmt w:val="lowerLetter"/>
      <w:start w:val="2"/>
    </w:lvl>
  </w:abstractNum>
  <w:abstractNum w:abstractNumId="237">
    <w:nsid w:val="48781401"/>
    <w:multiLevelType w:val="hybridMultilevel"/>
    <w:lvl w:ilvl="0">
      <w:lvlJc w:val="left"/>
      <w:lvlText w:val="(%1)"/>
      <w:numFmt w:val="lowerLetter"/>
      <w:start w:val="1"/>
    </w:lvl>
  </w:abstractNum>
  <w:abstractNum w:abstractNumId="238">
    <w:nsid w:val="186928D6"/>
    <w:multiLevelType w:val="hybridMultilevel"/>
    <w:lvl w:ilvl="0">
      <w:lvlJc w:val="left"/>
      <w:lvlText w:val="(%1)"/>
      <w:numFmt w:val="lowerLetter"/>
      <w:start w:val="4"/>
    </w:lvl>
  </w:abstractNum>
  <w:abstractNum w:abstractNumId="239">
    <w:nsid w:val="47195E5"/>
    <w:multiLevelType w:val="hybridMultilevel"/>
    <w:lvl w:ilvl="0">
      <w:lvlJc w:val="left"/>
      <w:lvlText w:val="(%1)"/>
      <w:numFmt w:val="lowerLetter"/>
      <w:start w:val="1"/>
    </w:lvl>
    <w:lvl w:ilvl="1">
      <w:lvlJc w:val="left"/>
      <w:lvlText w:val="(%2)"/>
      <w:numFmt w:val="lowerRoman"/>
      <w:start w:val="1"/>
    </w:lvl>
  </w:abstractNum>
  <w:abstractNum w:abstractNumId="240">
    <w:nsid w:val="3746A5F2"/>
    <w:multiLevelType w:val="hybridMultilevel"/>
    <w:lvl w:ilvl="0">
      <w:lvlJc w:val="left"/>
      <w:lvlText w:val="(%1)"/>
      <w:numFmt w:val="lowerLetter"/>
      <w:start w:val="1"/>
    </w:lvl>
  </w:abstractNum>
  <w:abstractNum w:abstractNumId="241">
    <w:nsid w:val="682DFED6"/>
    <w:multiLevelType w:val="hybridMultilevel"/>
    <w:lvl w:ilvl="0">
      <w:lvlJc w:val="left"/>
      <w:lvlText w:val="(%1)"/>
      <w:numFmt w:val="lowerLetter"/>
      <w:start w:val="3"/>
    </w:lvl>
  </w:abstractNum>
  <w:abstractNum w:abstractNumId="242">
    <w:nsid w:val="606ED7F6"/>
    <w:multiLevelType w:val="hybridMultilevel"/>
    <w:lvl w:ilvl="0">
      <w:lvlJc w:val="left"/>
      <w:lvlText w:val="(%1)"/>
      <w:numFmt w:val="lowerRoman"/>
      <w:start w:val="2"/>
    </w:lvl>
  </w:abstractNum>
  <w:abstractNum w:abstractNumId="243">
    <w:nsid w:val="2D9DF57D"/>
    <w:multiLevelType w:val="hybridMultilevel"/>
    <w:lvl w:ilvl="0">
      <w:lvlJc w:val="left"/>
      <w:lvlText w:val="(%1)"/>
      <w:numFmt w:val="lowerLetter"/>
      <w:start w:val="2"/>
    </w:lvl>
  </w:abstractNum>
  <w:abstractNum w:abstractNumId="244">
    <w:nsid w:val="7FBD7A3E"/>
    <w:multiLevelType w:val="hybridMultilevel"/>
    <w:lvl w:ilvl="0">
      <w:lvlJc w:val="left"/>
      <w:lvlText w:val="(%1)"/>
      <w:numFmt w:val="lowerLetter"/>
      <w:start w:val="3"/>
    </w:lvl>
  </w:abstractNum>
  <w:abstractNum w:abstractNumId="245">
    <w:nsid w:val="490B7C5"/>
    <w:multiLevelType w:val="hybridMultilevel"/>
    <w:lvl w:ilvl="0">
      <w:lvlJc w:val="left"/>
      <w:lvlText w:val="(%1)"/>
      <w:numFmt w:val="lowerLetter"/>
      <w:start w:val="1"/>
    </w:lvl>
  </w:abstractNum>
  <w:abstractNum w:abstractNumId="246">
    <w:nsid w:val="4303A216"/>
    <w:multiLevelType w:val="hybridMultilevel"/>
    <w:lvl w:ilvl="0">
      <w:lvlJc w:val="left"/>
      <w:lvlText w:val="(%1)"/>
      <w:numFmt w:val="lowerLetter"/>
      <w:start w:val="2"/>
    </w:lvl>
  </w:abstractNum>
  <w:abstractNum w:abstractNumId="247">
    <w:nsid w:val="19B8A08E"/>
    <w:multiLevelType w:val="hybridMultilevel"/>
    <w:lvl w:ilvl="0">
      <w:lvlJc w:val="left"/>
      <w:lvlText w:val="(%1)"/>
      <w:numFmt w:val="lowerLetter"/>
      <w:start w:val="4"/>
    </w:lvl>
  </w:abstractNum>
  <w:abstractNum w:abstractNumId="248">
    <w:nsid w:val="54B59621"/>
    <w:multiLevelType w:val="hybridMultilevel"/>
    <w:lvl w:ilvl="0">
      <w:lvlJc w:val="left"/>
      <w:lvlText w:val="(%1)"/>
      <w:numFmt w:val="upperLetter"/>
      <w:start w:val="5"/>
    </w:lvl>
  </w:abstractNum>
  <w:abstractNum w:abstractNumId="249">
    <w:nsid w:val="5992A02E"/>
    <w:multiLevelType w:val="hybridMultilevel"/>
    <w:lvl w:ilvl="0">
      <w:lvlJc w:val="left"/>
      <w:lvlText w:val="(%1)"/>
      <w:numFmt w:val="lowerLetter"/>
      <w:start w:val="25"/>
    </w:lvl>
  </w:abstractNum>
  <w:abstractNum w:abstractNumId="250">
    <w:nsid w:val="29EF532D"/>
    <w:multiLevelType w:val="hybridMultilevel"/>
    <w:lvl w:ilvl="0">
      <w:lvlJc w:val="left"/>
      <w:lvlText w:val="(%1)"/>
      <w:numFmt w:val="lowerLetter"/>
      <w:start w:val="1"/>
    </w:lvl>
  </w:abstractNum>
  <w:abstractNum w:abstractNumId="251">
    <w:nsid w:val="71D601AF"/>
    <w:multiLevelType w:val="hybridMultilevel"/>
    <w:lvl w:ilvl="0">
      <w:lvlJc w:val="left"/>
      <w:lvlText w:val="(%1)"/>
      <w:numFmt w:val="lowerLetter"/>
      <w:start w:val="5"/>
    </w:lvl>
  </w:abstractNum>
  <w:abstractNum w:abstractNumId="252">
    <w:nsid w:val="52C77402"/>
    <w:multiLevelType w:val="hybridMultilevel"/>
    <w:lvl w:ilvl="0">
      <w:lvlJc w:val="left"/>
      <w:lvlText w:val="(%1)"/>
      <w:numFmt w:val="lowerRoman"/>
      <w:start w:val="2"/>
    </w:lvl>
  </w:abstractNum>
  <w:abstractNum w:abstractNumId="253">
    <w:nsid w:val="2BB5B1C6"/>
    <w:multiLevelType w:val="hybridMultilevel"/>
    <w:lvl w:ilvl="0">
      <w:lvlJc w:val="left"/>
      <w:lvlText w:val="(%1)"/>
      <w:numFmt w:val="lowerLetter"/>
      <w:start w:val="1"/>
    </w:lvl>
  </w:abstractNum>
  <w:abstractNum w:abstractNumId="254">
    <w:nsid w:val="66BE6B9"/>
    <w:multiLevelType w:val="hybridMultilevel"/>
    <w:lvl w:ilvl="0">
      <w:lvlJc w:val="left"/>
      <w:lvlText w:val="(%1)"/>
      <w:numFmt w:val="lowerLetter"/>
      <w:start w:val="1"/>
    </w:lvl>
  </w:abstractNum>
  <w:abstractNum w:abstractNumId="255">
    <w:nsid w:val="62234363"/>
    <w:multiLevelType w:val="hybridMultilevel"/>
    <w:lvl w:ilvl="0">
      <w:lvlJc w:val="left"/>
      <w:lvlText w:val="(%1)"/>
      <w:numFmt w:val="lowerLetter"/>
      <w:start w:val="3"/>
    </w:lvl>
  </w:abstractNum>
  <w:abstractNum w:abstractNumId="256">
    <w:nsid w:val="66D385C9"/>
    <w:multiLevelType w:val="hybridMultilevel"/>
    <w:lvl w:ilvl="0">
      <w:lvlJc w:val="left"/>
      <w:lvlText w:val="(%1)"/>
      <w:numFmt w:val="lowerLetter"/>
      <w:start w:val="13"/>
    </w:lvl>
  </w:abstractNum>
  <w:abstractNum w:abstractNumId="257">
    <w:nsid w:val="596F6D8A"/>
    <w:multiLevelType w:val="hybridMultilevel"/>
    <w:lvl w:ilvl="0">
      <w:lvlJc w:val="left"/>
      <w:lvlText w:val="%1"/>
      <w:numFmt w:val="lowerLetter"/>
      <w:start w:val="1"/>
    </w:lvl>
    <w:lvl w:ilvl="1">
      <w:lvlJc w:val="left"/>
      <w:lvlText w:val="(%2)"/>
      <w:numFmt w:val="lowerLetter"/>
      <w:start w:val="1"/>
    </w:lvl>
  </w:abstractNum>
  <w:abstractNum w:abstractNumId="258">
    <w:nsid w:val="5749361F"/>
    <w:multiLevelType w:val="hybridMultilevel"/>
    <w:lvl w:ilvl="0">
      <w:lvlJc w:val="left"/>
      <w:lvlText w:val="(%1)"/>
      <w:numFmt w:val="lowerLetter"/>
      <w:start w:val="35"/>
    </w:lvl>
    <w:lvl w:ilvl="1">
      <w:lvlJc w:val="left"/>
      <w:lvlText w:val="(%2)"/>
      <w:numFmt w:val="lowerLetter"/>
      <w:start w:val="2"/>
    </w:lvl>
  </w:abstractNum>
  <w:abstractNum w:abstractNumId="259">
    <w:nsid w:val="73BC6770"/>
    <w:multiLevelType w:val="hybridMultilevel"/>
    <w:lvl w:ilvl="0">
      <w:lvlJc w:val="left"/>
      <w:lvlText w:val="(%1)"/>
      <w:numFmt w:val="lowerLetter"/>
      <w:start w:val="1"/>
    </w:lvl>
  </w:abstractNum>
  <w:abstractNum w:abstractNumId="260">
    <w:nsid w:val="280E6897"/>
    <w:multiLevelType w:val="hybridMultilevel"/>
    <w:lvl w:ilvl="0">
      <w:lvlJc w:val="left"/>
      <w:lvlText w:val="(%1)"/>
      <w:numFmt w:val="lowerLetter"/>
      <w:start w:val="2"/>
    </w:lvl>
  </w:abstractNum>
  <w:abstractNum w:abstractNumId="261">
    <w:nsid w:val="605138DE"/>
    <w:multiLevelType w:val="hybridMultilevel"/>
    <w:lvl w:ilvl="0">
      <w:lvlJc w:val="left"/>
      <w:lvlText w:val="(%1)"/>
      <w:numFmt w:val="lowerLetter"/>
      <w:start w:val="13"/>
    </w:lvl>
  </w:abstractNum>
  <w:abstractNum w:abstractNumId="262">
    <w:nsid w:val="2622AD0C"/>
    <w:multiLevelType w:val="hybridMultilevel"/>
    <w:lvl w:ilvl="0">
      <w:lvlJc w:val="left"/>
      <w:lvlText w:val="(%1)"/>
      <w:numFmt w:val="lowerLetter"/>
      <w:start w:val="24"/>
    </w:lvl>
  </w:abstractNum>
  <w:abstractNum w:abstractNumId="263">
    <w:nsid w:val="67997556"/>
    <w:multiLevelType w:val="hybridMultilevel"/>
    <w:lvl w:ilvl="0">
      <w:lvlJc w:val="left"/>
      <w:lvlText w:val="(%1)"/>
      <w:numFmt w:val="lowerLetter"/>
      <w:start w:val="1"/>
    </w:lvl>
  </w:abstractNum>
  <w:abstractNum w:abstractNumId="264">
    <w:nsid w:val="18333C89"/>
    <w:multiLevelType w:val="hybridMultilevel"/>
    <w:lvl w:ilvl="0">
      <w:lvlJc w:val="left"/>
      <w:lvlText w:val="(%1)"/>
      <w:numFmt w:val="lowerRoman"/>
      <w:start w:val="1"/>
    </w:lvl>
  </w:abstractNum>
  <w:abstractNum w:abstractNumId="265">
    <w:nsid w:val="4BA9831A"/>
    <w:multiLevelType w:val="hybridMultilevel"/>
    <w:lvl w:ilvl="0">
      <w:lvlJc w:val="left"/>
      <w:lvlText w:val="(%1)"/>
      <w:numFmt w:val="lowerLetter"/>
      <w:start w:val="1"/>
    </w:lvl>
  </w:abstractNum>
  <w:abstractNum w:abstractNumId="266">
    <w:nsid w:val="6D71A2B"/>
    <w:multiLevelType w:val="hybridMultilevel"/>
    <w:lvl w:ilvl="0">
      <w:lvlJc w:val="left"/>
      <w:lvlText w:val="(%1)"/>
      <w:numFmt w:val="lowerLetter"/>
      <w:start w:val="1"/>
    </w:lvl>
  </w:abstractNum>
  <w:abstractNum w:abstractNumId="267">
    <w:nsid w:val="CFC7321"/>
    <w:multiLevelType w:val="hybridMultilevel"/>
    <w:lvl w:ilvl="0">
      <w:lvlJc w:val="left"/>
      <w:lvlText w:val="(%1)"/>
      <w:numFmt w:val="lowerRoman"/>
      <w:start w:val="1"/>
    </w:lvl>
  </w:abstractNum>
  <w:abstractNum w:abstractNumId="268">
    <w:nsid w:val="1421971B"/>
    <w:multiLevelType w:val="hybridMultilevel"/>
    <w:lvl w:ilvl="0">
      <w:lvlJc w:val="left"/>
      <w:lvlText w:val="(%1)"/>
      <w:numFmt w:val="lowerLetter"/>
      <w:start w:val="2"/>
    </w:lvl>
  </w:abstractNum>
  <w:abstractNum w:abstractNumId="269">
    <w:nsid w:val="1F404301"/>
    <w:multiLevelType w:val="hybridMultilevel"/>
    <w:lvl w:ilvl="0">
      <w:lvlJc w:val="left"/>
      <w:lvlText w:val="(%1)"/>
      <w:numFmt w:val="lowerLetter"/>
      <w:start w:val="1"/>
    </w:lvl>
  </w:abstractNum>
  <w:abstractNum w:abstractNumId="270">
    <w:nsid w:val="116E0907"/>
    <w:multiLevelType w:val="hybridMultilevel"/>
    <w:lvl w:ilvl="0">
      <w:lvlJc w:val="left"/>
      <w:lvlText w:val="(%1)"/>
      <w:numFmt w:val="lowerLetter"/>
      <w:start w:val="2"/>
    </w:lvl>
  </w:abstractNum>
  <w:abstractNum w:abstractNumId="271">
    <w:nsid w:val="4B683D0D"/>
    <w:multiLevelType w:val="hybridMultilevel"/>
    <w:lvl w:ilvl="0">
      <w:lvlJc w:val="left"/>
      <w:lvlText w:val="(%1)"/>
      <w:numFmt w:val="lowerLetter"/>
      <w:start w:val="1"/>
    </w:lvl>
  </w:abstractNum>
  <w:abstractNum w:abstractNumId="272">
    <w:nsid w:val="76E41D8"/>
    <w:multiLevelType w:val="hybridMultilevel"/>
    <w:lvl w:ilvl="0">
      <w:lvlJc w:val="left"/>
      <w:lvlText w:val="(%1)"/>
      <w:numFmt w:val="lowerLetter"/>
      <w:start w:val="1"/>
    </w:lvl>
  </w:abstractNum>
  <w:abstractNum w:abstractNumId="273">
    <w:nsid w:val="71DCE0FD"/>
    <w:multiLevelType w:val="hybridMultilevel"/>
    <w:lvl w:ilvl="0">
      <w:lvlJc w:val="left"/>
      <w:lvlText w:val="(%1)"/>
      <w:numFmt w:val="lowerLetter"/>
      <w:start w:val="1"/>
    </w:lvl>
  </w:abstractNum>
  <w:abstractNum w:abstractNumId="274">
    <w:nsid w:val="7906328B"/>
    <w:multiLevelType w:val="hybridMultilevel"/>
    <w:lvl w:ilvl="0">
      <w:lvlJc w:val="left"/>
      <w:lvlText w:val="(%1)"/>
      <w:numFmt w:val="lowerLetter"/>
      <w:start w:val="4"/>
    </w:lvl>
  </w:abstractNum>
  <w:abstractNum w:abstractNumId="275">
    <w:nsid w:val="72BBC16"/>
    <w:multiLevelType w:val="hybridMultilevel"/>
    <w:lvl w:ilvl="0">
      <w:lvlJc w:val="left"/>
      <w:lvlText w:val="(%1)"/>
      <w:numFmt w:val="lowerLetter"/>
      <w:start w:val="1"/>
    </w:lvl>
  </w:abstractNum>
  <w:abstractNum w:abstractNumId="276">
    <w:nsid w:val="766D98C2"/>
    <w:multiLevelType w:val="hybridMultilevel"/>
    <w:lvl w:ilvl="0">
      <w:lvlJc w:val="left"/>
      <w:lvlText w:val="(%1)"/>
      <w:numFmt w:val="lowerLetter"/>
      <w:start w:val="5"/>
    </w:lvl>
  </w:abstractNum>
  <w:abstractNum w:abstractNumId="277">
    <w:nsid w:val="3C09D4A1"/>
    <w:multiLevelType w:val="hybridMultilevel"/>
    <w:lvl w:ilvl="0">
      <w:lvlJc w:val="left"/>
      <w:lvlText w:val="(%1)"/>
      <w:numFmt w:val="lowerLetter"/>
      <w:start w:val="1"/>
    </w:lvl>
  </w:abstractNum>
  <w:abstractNum w:abstractNumId="278">
    <w:nsid w:val="20E45CA4"/>
    <w:multiLevelType w:val="hybridMultilevel"/>
    <w:lvl w:ilvl="0">
      <w:lvlJc w:val="left"/>
      <w:lvlText w:val="(%1)"/>
      <w:numFmt w:val="lowerLetter"/>
      <w:start w:val="4"/>
    </w:lvl>
    <w:lvl w:ilvl="1">
      <w:lvlJc w:val="left"/>
      <w:lvlText w:val="(%2)"/>
      <w:numFmt w:val="lowerRoman"/>
      <w:start w:val="1"/>
    </w:lvl>
  </w:abstractNum>
  <w:abstractNum w:abstractNumId="279">
    <w:nsid w:val="4B232EE3"/>
    <w:multiLevelType w:val="hybridMultilevel"/>
    <w:lvl w:ilvl="0">
      <w:lvlJc w:val="left"/>
      <w:lvlText w:val="%1"/>
      <w:numFmt w:val="lowerLetter"/>
      <w:start w:val="1"/>
    </w:lvl>
    <w:lvl w:ilvl="1">
      <w:lvlJc w:val="left"/>
      <w:lvlText w:val="(%2)"/>
      <w:numFmt w:val="lowerRoman"/>
      <w:start w:val="5"/>
    </w:lvl>
  </w:abstractNum>
  <w:abstractNum w:abstractNumId="280">
    <w:nsid w:val="159C74CF"/>
    <w:multiLevelType w:val="hybridMultilevel"/>
    <w:lvl w:ilvl="0">
      <w:lvlJc w:val="left"/>
      <w:lvlText w:val="(%1)"/>
      <w:numFmt w:val="lowerLetter"/>
      <w:start w:val="5"/>
    </w:lvl>
    <w:lvl w:ilvl="1">
      <w:lvlJc w:val="left"/>
      <w:lvlText w:val="%2"/>
      <w:numFmt w:val="lowerRoman"/>
      <w:start w:val="1"/>
    </w:lvl>
  </w:abstractNum>
  <w:abstractNum w:abstractNumId="281">
    <w:nsid w:val="4AD3AFD2"/>
    <w:multiLevelType w:val="hybridMultilevel"/>
    <w:lvl w:ilvl="0">
      <w:lvlJc w:val="left"/>
      <w:lvlText w:val="(%1)"/>
      <w:numFmt w:val="lowerLetter"/>
      <w:start w:val="6"/>
    </w:lvl>
  </w:abstractNum>
  <w:abstractNum w:abstractNumId="282">
    <w:nsid w:val="3CF93092"/>
    <w:multiLevelType w:val="hybridMultilevel"/>
    <w:lvl w:ilvl="0">
      <w:lvlJc w:val="left"/>
      <w:lvlText w:val="(%1)"/>
      <w:numFmt w:val="lowerLetter"/>
      <w:start w:val="1"/>
    </w:lvl>
    <w:lvl w:ilvl="1">
      <w:lvlJc w:val="left"/>
      <w:lvlText w:val="(%2)"/>
      <w:numFmt w:val="lowerRoman"/>
      <w:start w:val="1"/>
    </w:lvl>
  </w:abstractNum>
  <w:abstractNum w:abstractNumId="283">
    <w:nsid w:val="6863E8D2"/>
    <w:multiLevelType w:val="hybridMultilevel"/>
    <w:lvl w:ilvl="0">
      <w:lvlJc w:val="left"/>
      <w:lvlText w:val="(%1)"/>
      <w:numFmt w:val="lowerLetter"/>
      <w:start w:val="3"/>
    </w:lvl>
  </w:abstractNum>
  <w:abstractNum w:abstractNumId="284">
    <w:nsid w:val="76896198"/>
    <w:multiLevelType w:val="hybridMultilevel"/>
    <w:lvl w:ilvl="0">
      <w:lvlJc w:val="left"/>
      <w:lvlText w:val="(%1)"/>
      <w:numFmt w:val="lowerLetter"/>
      <w:start w:val="61"/>
    </w:lvl>
    <w:lvl w:ilvl="1">
      <w:lvlJc w:val="left"/>
      <w:lvlText w:val="(%2)"/>
      <w:numFmt w:val="lowerLetter"/>
      <w:start w:val="1"/>
    </w:lvl>
  </w:abstractNum>
  <w:abstractNum w:abstractNumId="285">
    <w:nsid w:val="4365174B"/>
    <w:multiLevelType w:val="hybridMultilevel"/>
    <w:lvl w:ilvl="0">
      <w:lvlJc w:val="left"/>
      <w:lvlText w:val="(%1)"/>
      <w:numFmt w:val="lowerLetter"/>
      <w:start w:val="1"/>
    </w:lvl>
  </w:abstractNum>
  <w:abstractNum w:abstractNumId="286">
    <w:nsid w:val="4A872C35"/>
    <w:multiLevelType w:val="hybridMultilevel"/>
    <w:lvl w:ilvl="0">
      <w:lvlJc w:val="left"/>
      <w:lvlText w:val="(%1)"/>
      <w:numFmt w:val="lowerLetter"/>
      <w:start w:val="1"/>
    </w:lvl>
    <w:lvl w:ilvl="1">
      <w:lvlJc w:val="left"/>
      <w:lvlText w:val="(%2)"/>
      <w:numFmt w:val="lowerLetter"/>
      <w:start w:val="9"/>
    </w:lvl>
  </w:abstractNum>
  <w:abstractNum w:abstractNumId="287">
    <w:nsid w:val="5D5CE761"/>
    <w:multiLevelType w:val="hybridMultilevel"/>
    <w:lvl w:ilvl="0">
      <w:lvlJc w:val="left"/>
      <w:lvlText w:val="(%1)"/>
      <w:numFmt w:val="lowerRoman"/>
      <w:start w:val="2"/>
    </w:lvl>
  </w:abstractNum>
  <w:abstractNum w:abstractNumId="288">
    <w:nsid w:val="1CD484D5"/>
    <w:multiLevelType w:val="hybridMultilevel"/>
    <w:lvl w:ilvl="0">
      <w:lvlJc w:val="left"/>
      <w:lvlText w:val="(%1)"/>
      <w:numFmt w:val="lowerLetter"/>
      <w:start w:val="2"/>
    </w:lvl>
  </w:abstractNum>
  <w:abstractNum w:abstractNumId="289">
    <w:nsid w:val="21D06255"/>
    <w:multiLevelType w:val="hybridMultilevel"/>
    <w:lvl w:ilvl="0">
      <w:lvlJc w:val="left"/>
      <w:lvlText w:val="(%1)"/>
      <w:numFmt w:val="lowerLetter"/>
      <w:start w:val="1"/>
    </w:lvl>
  </w:abstractNum>
  <w:abstractNum w:abstractNumId="290">
    <w:nsid w:val="51194ED1"/>
    <w:multiLevelType w:val="hybridMultilevel"/>
    <w:lvl w:ilvl="0">
      <w:lvlJc w:val="left"/>
      <w:lvlText w:val="(%1)"/>
      <w:numFmt w:val="lowerLetter"/>
      <w:start w:val="2"/>
    </w:lvl>
    <w:lvl w:ilvl="1">
      <w:lvlJc w:val="left"/>
      <w:lvlText w:val="(%2)"/>
      <w:numFmt w:val="lowerLetter"/>
      <w:start w:val="9"/>
    </w:lvl>
  </w:abstractNum>
  <w:abstractNum w:abstractNumId="291">
    <w:nsid w:val="44E2ED6C"/>
    <w:multiLevelType w:val="hybridMultilevel"/>
    <w:lvl w:ilvl="0">
      <w:lvlJc w:val="left"/>
      <w:lvlText w:val="%1"/>
      <w:numFmt w:val="lowerLetter"/>
      <w:start w:val="1"/>
    </w:lvl>
    <w:lvl w:ilvl="1">
      <w:lvlJc w:val="left"/>
      <w:lvlText w:val="(%2)"/>
      <w:numFmt w:val="lowerRoman"/>
      <w:start w:val="2"/>
    </w:lvl>
  </w:abstractNum>
  <w:abstractNum w:abstractNumId="292">
    <w:nsid w:val="2219B33"/>
    <w:multiLevelType w:val="hybridMultilevel"/>
    <w:lvl w:ilvl="0">
      <w:lvlJc w:val="left"/>
      <w:lvlText w:val="(%1)"/>
      <w:numFmt w:val="lowerLetter"/>
      <w:start w:val="4"/>
    </w:lvl>
    <w:lvl w:ilvl="1">
      <w:lvlJc w:val="left"/>
      <w:lvlText w:val="(%2)"/>
      <w:numFmt w:val="lowerRoman"/>
      <w:start w:val="1"/>
    </w:lvl>
  </w:abstractNum>
  <w:abstractNum w:abstractNumId="293">
    <w:nsid w:val="773BFBDD"/>
    <w:multiLevelType w:val="hybridMultilevel"/>
    <w:lvl w:ilvl="0">
      <w:lvlJc w:val="left"/>
      <w:lvlText w:val="%1"/>
      <w:numFmt w:val="lowerLetter"/>
      <w:start w:val="1"/>
    </w:lvl>
    <w:lvl w:ilvl="1">
      <w:lvlJc w:val="left"/>
      <w:lvlText w:val="(%2)"/>
      <w:numFmt w:val="lowerLetter"/>
      <w:start w:val="35"/>
    </w:lvl>
  </w:abstractNum>
  <w:abstractNum w:abstractNumId="294">
    <w:nsid w:val="2C7C62C2"/>
    <w:multiLevelType w:val="hybridMultilevel"/>
    <w:lvl w:ilvl="0">
      <w:lvlJc w:val="left"/>
      <w:lvlText w:val="(%1)"/>
      <w:numFmt w:val="lowerLetter"/>
      <w:start w:val="5"/>
    </w:lvl>
    <w:lvl w:ilvl="1">
      <w:lvlJc w:val="left"/>
      <w:lvlText w:val="(%2)"/>
      <w:numFmt w:val="lowerLetter"/>
      <w:start w:val="9"/>
    </w:lvl>
  </w:abstractNum>
  <w:abstractNum w:abstractNumId="295">
    <w:nsid w:val="1A54D7BC"/>
    <w:multiLevelType w:val="hybridMultilevel"/>
    <w:lvl w:ilvl="0">
      <w:lvlJc w:val="left"/>
      <w:lvlText w:val="(%1)"/>
      <w:numFmt w:val="lowerRoman"/>
      <w:start w:val="2"/>
    </w:lvl>
  </w:abstractNum>
  <w:abstractNum w:abstractNumId="296">
    <w:nsid w:val="42E57EF7"/>
    <w:multiLevelType w:val="hybridMultilevel"/>
    <w:lvl w:ilvl="0">
      <w:lvlJc w:val="left"/>
      <w:lvlText w:val="%1"/>
      <w:numFmt w:val="lowerLetter"/>
      <w:start w:val="1"/>
    </w:lvl>
    <w:lvl w:ilvl="1">
      <w:lvlJc w:val="left"/>
      <w:lvlText w:val="(%2)"/>
      <w:numFmt w:val="lowerRoman"/>
      <w:start w:val="4"/>
    </w:lvl>
  </w:abstractNum>
  <w:abstractNum w:abstractNumId="297">
    <w:nsid w:val="33537CED"/>
    <w:multiLevelType w:val="hybridMultilevel"/>
    <w:lvl w:ilvl="0">
      <w:lvlJc w:val="left"/>
      <w:lvlText w:val="(%1)"/>
      <w:numFmt w:val="lowerLetter"/>
      <w:start w:val="8"/>
    </w:lvl>
    <w:lvl w:ilvl="1">
      <w:lvlJc w:val="left"/>
      <w:lvlText w:val="%2"/>
      <w:numFmt w:val="lowerRoman"/>
      <w:start w:val="1"/>
    </w:lvl>
  </w:abstractNum>
  <w:abstractNum w:abstractNumId="298">
    <w:nsid w:val="27514ADE"/>
    <w:multiLevelType w:val="hybridMultilevel"/>
    <w:lvl w:ilvl="0">
      <w:lvlJc w:val="left"/>
      <w:lvlText w:val="%1"/>
      <w:numFmt w:val="lowerRoman"/>
      <w:start w:val="1"/>
    </w:lvl>
    <w:lvl w:ilvl="1">
      <w:lvlJc w:val="left"/>
      <w:lvlText w:val="(%2)"/>
      <w:numFmt w:val="lowerRoman"/>
      <w:start w:val="1"/>
    </w:lvl>
  </w:abstractNum>
  <w:abstractNum w:abstractNumId="299">
    <w:nsid w:val="57071613"/>
    <w:multiLevelType w:val="hybridMultilevel"/>
    <w:lvl w:ilvl="0">
      <w:lvlJc w:val="left"/>
      <w:lvlText w:val="(%1)"/>
      <w:numFmt w:val="lowerRoman"/>
      <w:start w:val="8"/>
    </w:lvl>
    <w:lvl w:ilvl="1">
      <w:lvlJc w:val="left"/>
      <w:lvlText w:val="%2"/>
      <w:numFmt w:val="lowerRoman"/>
      <w:start w:val="1"/>
    </w:lvl>
  </w:abstractNum>
  <w:abstractNum w:abstractNumId="300">
    <w:nsid w:val="5293BFEF"/>
    <w:multiLevelType w:val="hybridMultilevel"/>
    <w:lvl w:ilvl="0">
      <w:lvlJc w:val="left"/>
      <w:lvlText w:val="(%1)"/>
      <w:numFmt w:val="lowerLetter"/>
      <w:start w:val="10"/>
    </w:lvl>
  </w:abstractNum>
  <w:abstractNum w:abstractNumId="301">
    <w:nsid w:val="38BF53E5"/>
    <w:multiLevelType w:val="hybridMultilevel"/>
    <w:lvl w:ilvl="0">
      <w:lvlJc w:val="left"/>
      <w:lvlText w:val="(%1)"/>
      <w:numFmt w:val="lowerLetter"/>
      <w:start w:val="1"/>
    </w:lvl>
  </w:abstractNum>
  <w:abstractNum w:abstractNumId="302">
    <w:nsid w:val="226F5320"/>
    <w:multiLevelType w:val="hybridMultilevel"/>
    <w:lvl w:ilvl="0">
      <w:lvlJc w:val="left"/>
      <w:lvlText w:val="(%1)"/>
      <w:numFmt w:val="lowerLetter"/>
      <w:start w:val="1"/>
    </w:lvl>
    <w:lvl w:ilvl="1">
      <w:lvlJc w:val="left"/>
      <w:lvlText w:val="(%2)"/>
      <w:numFmt w:val="lowerRoman"/>
      <w:start w:val="1"/>
    </w:lvl>
  </w:abstractNum>
  <w:abstractNum w:abstractNumId="303">
    <w:nsid w:val="5A0201C7"/>
    <w:multiLevelType w:val="hybridMultilevel"/>
    <w:lvl w:ilvl="0">
      <w:lvlJc w:val="left"/>
      <w:lvlText w:val="(%1)"/>
      <w:numFmt w:val="lowerLetter"/>
      <w:start w:val="2"/>
    </w:lvl>
    <w:lvl w:ilvl="1">
      <w:lvlJc w:val="left"/>
      <w:lvlText w:val="(%2)"/>
      <w:numFmt w:val="lowerRoman"/>
      <w:start w:val="1"/>
    </w:lvl>
  </w:abstractNum>
  <w:abstractNum w:abstractNumId="304">
    <w:nsid w:val="2A9C34E2"/>
    <w:multiLevelType w:val="hybridMultilevel"/>
    <w:lvl w:ilvl="0">
      <w:lvlJc w:val="left"/>
      <w:lvlText w:val="(%1)"/>
      <w:numFmt w:val="lowerLetter"/>
      <w:start w:val="1"/>
    </w:lvl>
  </w:abstractNum>
  <w:abstractNum w:abstractNumId="305">
    <w:nsid w:val="1B7585AB"/>
    <w:multiLevelType w:val="hybridMultilevel"/>
    <w:lvl w:ilvl="0">
      <w:lvlJc w:val="left"/>
      <w:lvlText w:val="(%1)"/>
      <w:numFmt w:val="lowerLetter"/>
      <w:start w:val="2"/>
    </w:lvl>
  </w:abstractNum>
  <w:abstractNum w:abstractNumId="306">
    <w:nsid w:val="612DBDDD"/>
    <w:multiLevelType w:val="hybridMultilevel"/>
    <w:lvl w:ilvl="0">
      <w:lvlJc w:val="left"/>
      <w:lvlText w:val="(%1)"/>
      <w:numFmt w:val="lowerLetter"/>
      <w:start w:val="8"/>
    </w:lvl>
  </w:abstractNum>
  <w:abstractNum w:abstractNumId="307">
    <w:nsid w:val="2109CDA4"/>
    <w:multiLevelType w:val="hybridMultilevel"/>
    <w:lvl w:ilvl="0">
      <w:lvlJc w:val="left"/>
      <w:lvlText w:val="(%1)"/>
      <w:numFmt w:val="lowerLetter"/>
      <w:start w:val="1"/>
    </w:lvl>
  </w:abstractNum>
  <w:abstractNum w:abstractNumId="308">
    <w:nsid w:val="577F5A4D"/>
    <w:multiLevelType w:val="hybridMultilevel"/>
    <w:lvl w:ilvl="0">
      <w:lvlJc w:val="left"/>
      <w:lvlText w:val="(%1)"/>
      <w:numFmt w:val="lowerLetter"/>
      <w:start w:val="1"/>
    </w:lvl>
    <w:lvl w:ilvl="1">
      <w:lvlJc w:val="left"/>
      <w:lvlText w:val="(%2)"/>
      <w:numFmt w:val="lowerRoman"/>
      <w:start w:val="1"/>
    </w:lvl>
  </w:abstractNum>
  <w:abstractNum w:abstractNumId="309">
    <w:nsid w:val="2121A8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310">
    <w:nsid w:val="6C2CFC88"/>
    <w:multiLevelType w:val="hybridMultilevel"/>
    <w:lvl w:ilvl="0">
      <w:lvlJc w:val="left"/>
      <w:lvlText w:val="(%1)"/>
      <w:numFmt w:val="lowerRoman"/>
      <w:start w:val="4"/>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11">
    <w:nsid w:val="6D1BCF1C"/>
    <w:multiLevelType w:val="hybridMultilevel"/>
    <w:lvl w:ilvl="0">
      <w:lvlJc w:val="left"/>
      <w:lvlText w:val="(%1)"/>
      <w:numFmt w:val="lowerLetter"/>
      <w:start w:val="3"/>
    </w:lvl>
  </w:abstractNum>
  <w:abstractNum w:abstractNumId="312">
    <w:nsid w:val="4CE5CA53"/>
    <w:multiLevelType w:val="hybridMultilevel"/>
    <w:lvl w:ilvl="0">
      <w:lvlJc w:val="left"/>
      <w:lvlText w:val="(%1)"/>
      <w:numFmt w:val="lowerLetter"/>
      <w:start w:val="1"/>
    </w:lvl>
  </w:abstractNum>
  <w:abstractNum w:abstractNumId="313">
    <w:nsid w:val="29262D1A"/>
    <w:multiLevelType w:val="hybridMultilevel"/>
    <w:lvl w:ilvl="0">
      <w:lvlJc w:val="left"/>
      <w:lvlText w:val="(%1)"/>
      <w:numFmt w:val="lowerLetter"/>
      <w:start w:val="1"/>
    </w:lvl>
    <w:lvl w:ilvl="1">
      <w:lvlJc w:val="left"/>
      <w:lvlText w:val="(%2)"/>
      <w:numFmt w:val="lowerLetter"/>
      <w:start w:val="9"/>
    </w:lvl>
  </w:abstractNum>
  <w:abstractNum w:abstractNumId="314">
    <w:nsid w:val="557FB7EE"/>
    <w:multiLevelType w:val="hybridMultilevel"/>
    <w:lvl w:ilvl="0">
      <w:lvlJc w:val="left"/>
      <w:lvlText w:val="%1"/>
      <w:numFmt w:val="lowerLetter"/>
      <w:start w:val="1"/>
    </w:lvl>
    <w:lvl w:ilvl="1">
      <w:lvlJc w:val="left"/>
      <w:lvlText w:val="(%2)"/>
      <w:numFmt w:val="lowerRoman"/>
      <w:start w:val="2"/>
    </w:lvl>
  </w:abstractNum>
  <w:abstractNum w:abstractNumId="315">
    <w:nsid w:val="436F2BEB"/>
    <w:multiLevelType w:val="hybridMultilevel"/>
    <w:lvl w:ilvl="0">
      <w:lvlJc w:val="left"/>
      <w:lvlText w:val="(%1)"/>
      <w:numFmt w:val="lowerLetter"/>
      <w:start w:val="6"/>
    </w:lvl>
    <w:lvl w:ilvl="1">
      <w:lvlJc w:val="left"/>
      <w:lvlText w:val="%2"/>
      <w:numFmt w:val="lowerRoman"/>
      <w:start w:val="1"/>
    </w:lvl>
  </w:abstractNum>
  <w:abstractNum w:abstractNumId="316">
    <w:nsid w:val="6C8B4466"/>
    <w:multiLevelType w:val="hybridMultilevel"/>
    <w:lvl w:ilvl="0">
      <w:lvlJc w:val="left"/>
      <w:lvlText w:val="(%1)"/>
      <w:numFmt w:val="lowerLetter"/>
      <w:start w:val="8"/>
    </w:lvl>
    <w:lvl w:ilvl="1">
      <w:lvlJc w:val="left"/>
      <w:lvlText w:val="%2."/>
      <w:numFmt w:val="upperLetter"/>
      <w:start w:val="61"/>
    </w:lvl>
  </w:abstractNum>
  <w:abstractNum w:abstractNumId="317">
    <w:nsid w:val="2006E424"/>
    <w:multiLevelType w:val="hybridMultilevel"/>
    <w:lvl w:ilvl="0">
      <w:lvlJc w:val="left"/>
      <w:lvlText w:val="(%1)"/>
      <w:numFmt w:val="lowerLetter"/>
      <w:start w:val="1"/>
    </w:lvl>
    <w:lvl w:ilvl="1">
      <w:lvlJc w:val="left"/>
      <w:lvlText w:val="(%2)"/>
      <w:numFmt w:val="lowerRoman"/>
      <w:start w:val="1"/>
    </w:lvl>
  </w:abstractNum>
  <w:abstractNum w:abstractNumId="318">
    <w:nsid w:val="20CC134C"/>
    <w:multiLevelType w:val="hybridMultilevel"/>
    <w:lvl w:ilvl="0">
      <w:lvlJc w:val="left"/>
      <w:lvlText w:val="(%1)"/>
      <w:numFmt w:val="lowerLetter"/>
      <w:start w:val="2"/>
    </w:lvl>
  </w:abstractNum>
  <w:abstractNum w:abstractNumId="319">
    <w:nsid w:val="95FC93B"/>
    <w:multiLevelType w:val="hybridMultilevel"/>
    <w:lvl w:ilvl="0">
      <w:lvlJc w:val="left"/>
      <w:lvlText w:val="(%1)"/>
      <w:numFmt w:val="lowerLetter"/>
      <w:start w:val="1"/>
    </w:lvl>
  </w:abstractNum>
  <w:abstractNum w:abstractNumId="320">
    <w:nsid w:val="41D74679"/>
    <w:multiLevelType w:val="hybridMultilevel"/>
    <w:lvl w:ilvl="0">
      <w:lvlJc w:val="left"/>
      <w:lvlText w:val="(%1)"/>
      <w:numFmt w:val="lowerLetter"/>
      <w:start w:val="3"/>
    </w:lvl>
    <w:lvl w:ilvl="1">
      <w:lvlJc w:val="left"/>
      <w:lvlText w:val="(%2)"/>
      <w:numFmt w:val="lowerLetter"/>
      <w:start w:val="9"/>
    </w:lvl>
  </w:abstractNum>
  <w:abstractNum w:abstractNumId="321">
    <w:nsid w:val="71E5621E"/>
    <w:multiLevelType w:val="hybridMultilevel"/>
    <w:lvl w:ilvl="0">
      <w:lvlJc w:val="left"/>
      <w:lvlText w:val="(%1)"/>
      <w:numFmt w:val="lowerRoman"/>
      <w:start w:val="2"/>
    </w:lvl>
  </w:abstractNum>
  <w:abstractNum w:abstractNumId="322">
    <w:nsid w:val="4E42B6A8"/>
    <w:multiLevelType w:val="hybridMultilevel"/>
    <w:lvl w:ilvl="0">
      <w:lvlJc w:val="left"/>
      <w:lvlText w:val="(%1)"/>
      <w:numFmt w:val="upperLetter"/>
      <w:start w:val="1"/>
    </w:lvl>
    <w:lvl w:ilvl="1">
      <w:lvlJc w:val="left"/>
      <w:lvlText w:val="(%2)"/>
      <w:numFmt w:val="decimal"/>
      <w:start w:val="1"/>
    </w:lvl>
  </w:abstractNum>
  <w:abstractNum w:abstractNumId="323">
    <w:nsid w:val="43F8E1AC"/>
    <w:multiLevelType w:val="hybridMultilevel"/>
    <w:lvl w:ilvl="0">
      <w:lvlJc w:val="left"/>
      <w:lvlText w:val="(%1)"/>
      <w:numFmt w:val="upperLetter"/>
      <w:start w:val="4"/>
    </w:lvl>
  </w:abstractNum>
  <w:abstractNum w:abstractNumId="324">
    <w:nsid w:val="69215DFB"/>
    <w:multiLevelType w:val="hybridMultilevel"/>
    <w:lvl w:ilvl="0">
      <w:lvlJc w:val="left"/>
      <w:lvlText w:val="(%1)"/>
      <w:numFmt w:val="lowerLetter"/>
      <w:start w:val="8"/>
    </w:lvl>
  </w:abstractNum>
  <w:abstractNum w:abstractNumId="325">
    <w:nsid w:val="7ABF196A"/>
    <w:multiLevelType w:val="hybridMultilevel"/>
    <w:lvl w:ilvl="0">
      <w:lvlJc w:val="left"/>
      <w:lvlText w:val="(%1)"/>
      <w:numFmt w:val="lowerRoman"/>
      <w:start w:val="1"/>
    </w:lvl>
    <w:lvl w:ilvl="1">
      <w:lvlJc w:val="left"/>
      <w:lvlText w:val="(%2)"/>
      <w:numFmt w:val="upperLetter"/>
      <w:start w:val="1"/>
    </w:lvl>
  </w:abstractNum>
  <w:abstractNum w:abstractNumId="326">
    <w:nsid w:val="5E4DB968"/>
    <w:multiLevelType w:val="hybridMultilevel"/>
    <w:lvl w:ilvl="0">
      <w:lvlJc w:val="left"/>
      <w:lvlText w:val="(%1)"/>
      <w:numFmt w:val="lowerLetter"/>
      <w:start w:val="1"/>
    </w:lvl>
    <w:lvl w:ilvl="1">
      <w:lvlJc w:val="left"/>
      <w:lvlText w:val="(%2)"/>
      <w:numFmt w:val="lowerRoman"/>
      <w:start w:val="1"/>
    </w:lvl>
  </w:abstractNum>
  <w:abstractNum w:abstractNumId="327">
    <w:nsid w:val="2C06DCF3"/>
    <w:multiLevelType w:val="hybridMultilevel"/>
    <w:lvl w:ilvl="0">
      <w:lvlJc w:val="left"/>
      <w:lvlText w:val="(%1)"/>
      <w:numFmt w:val="decimal"/>
      <w:start w:val="1"/>
    </w:lvl>
  </w:abstractNum>
  <w:abstractNum w:abstractNumId="328">
    <w:nsid w:val="2E129658"/>
    <w:multiLevelType w:val="hybridMultilevel"/>
    <w:lvl w:ilvl="0">
      <w:lvlJc w:val="left"/>
      <w:lvlText w:val="(%1)"/>
      <w:numFmt w:val="decimal"/>
      <w:start w:val="2"/>
    </w:lvl>
  </w:abstractNum>
  <w:abstractNum w:abstractNumId="329">
    <w:nsid w:val="59F0446"/>
    <w:multiLevelType w:val="hybridMultilevel"/>
    <w:lvl w:ilvl="0">
      <w:lvlJc w:val="left"/>
      <w:lvlText w:val="(%1)"/>
      <w:numFmt w:val="lowerLetter"/>
      <w:start w:val="2"/>
    </w:lvl>
  </w:abstractNum>
  <w:abstractNum w:abstractNumId="330">
    <w:nsid w:val="30DF306"/>
    <w:multiLevelType w:val="hybridMultilevel"/>
    <w:lvl w:ilvl="0">
      <w:lvlJc w:val="left"/>
      <w:lvlText w:val="(%1)"/>
      <w:numFmt w:val="lowerLetter"/>
      <w:start w:val="1"/>
    </w:lvl>
  </w:abstractNum>
  <w:abstractNum w:abstractNumId="331">
    <w:nsid w:val="A65647"/>
    <w:multiLevelType w:val="hybridMultilevel"/>
    <w:lvl w:ilvl="0">
      <w:lvlJc w:val="left"/>
      <w:lvlText w:val="(%1)"/>
      <w:numFmt w:val="lowerLetter"/>
      <w:start w:val="1"/>
    </w:lvl>
    <w:lvl w:ilvl="1">
      <w:lvlJc w:val="left"/>
      <w:lvlText w:val="(%2)"/>
      <w:numFmt w:val="lowerRoman"/>
      <w:start w:val="1"/>
    </w:lvl>
  </w:abstractNum>
  <w:abstractNum w:abstractNumId="332">
    <w:nsid w:val="3E5E582B"/>
    <w:multiLevelType w:val="hybridMultilevel"/>
    <w:lvl w:ilvl="0">
      <w:lvlJc w:val="left"/>
      <w:lvlText w:val="(%1)"/>
      <w:numFmt w:val="lowerLetter"/>
      <w:start w:val="1"/>
    </w:lvl>
  </w:abstractNum>
  <w:abstractNum w:abstractNumId="333">
    <w:nsid w:val="257D4626"/>
    <w:multiLevelType w:val="hybridMultilevel"/>
    <w:lvl w:ilvl="0">
      <w:lvlJc w:val="left"/>
      <w:lvlText w:val="(%1)"/>
      <w:numFmt w:val="lowerLetter"/>
      <w:start w:val="4"/>
    </w:lvl>
  </w:abstractNum>
  <w:abstractNum w:abstractNumId="334">
    <w:nsid w:val="5AA8580E"/>
    <w:multiLevelType w:val="hybridMultilevel"/>
    <w:lvl w:ilvl="0">
      <w:lvlJc w:val="left"/>
      <w:lvlText w:val="(%1)"/>
      <w:numFmt w:val="lowerLetter"/>
      <w:start w:val="1"/>
    </w:lvl>
    <w:lvl w:ilvl="1">
      <w:lvlJc w:val="left"/>
      <w:lvlText w:val="(%2)"/>
      <w:numFmt w:val="lowerRoman"/>
      <w:start w:val="1"/>
    </w:lvl>
  </w:abstractNum>
  <w:abstractNum w:abstractNumId="335">
    <w:nsid w:val="68FA8D0D"/>
    <w:multiLevelType w:val="hybridMultilevel"/>
    <w:lvl w:ilvl="0">
      <w:lvlJc w:val="left"/>
      <w:lvlText w:val="(%1)"/>
      <w:numFmt w:val="lowerRoman"/>
      <w:start w:val="3"/>
    </w:lvl>
    <w:lvl w:ilvl="1">
      <w:lvlJc w:val="left"/>
      <w:lvlText w:val="(%2)"/>
      <w:numFmt w:val="upperLetter"/>
      <w:start w:val="1"/>
    </w:lvl>
  </w:abstractNum>
  <w:abstractNum w:abstractNumId="336">
    <w:nsid w:val="40F2CBD2"/>
    <w:multiLevelType w:val="hybridMultilevel"/>
    <w:lvl w:ilvl="0">
      <w:lvlJc w:val="left"/>
      <w:lvlText w:val="%1"/>
      <w:numFmt w:val="lowerLetter"/>
      <w:start w:val="1"/>
    </w:lvl>
    <w:lvl w:ilvl="1">
      <w:lvlJc w:val="left"/>
      <w:lvlText w:val="(%2)"/>
      <w:numFmt w:val="lowerRoman"/>
      <w:start w:val="14"/>
    </w:lvl>
  </w:abstractNum>
  <w:abstractNum w:abstractNumId="337">
    <w:nsid w:val="3BD615EB"/>
    <w:multiLevelType w:val="hybridMultilevel"/>
    <w:lvl w:ilvl="0">
      <w:lvlJc w:val="left"/>
      <w:lvlText w:val="(%1)"/>
      <w:numFmt w:val="lowerLetter"/>
      <w:start w:val="2"/>
    </w:lvl>
    <w:lvl w:ilvl="1">
      <w:lvlJc w:val="left"/>
      <w:lvlText w:val="%2"/>
      <w:numFmt w:val="lowerRoman"/>
      <w:start w:val="1"/>
    </w:lvl>
  </w:abstractNum>
  <w:abstractNum w:abstractNumId="338">
    <w:nsid w:val="A045AB2"/>
    <w:multiLevelType w:val="hybridMultilevel"/>
    <w:lvl w:ilvl="0">
      <w:lvlJc w:val="left"/>
      <w:lvlText w:val="(%1)"/>
      <w:numFmt w:val="lowerLetter"/>
      <w:start w:val="1"/>
    </w:lvl>
  </w:abstractNum>
  <w:abstractNum w:abstractNumId="339">
    <w:nsid w:val="1872261F"/>
    <w:multiLevelType w:val="hybridMultilevel"/>
    <w:lvl w:ilvl="0">
      <w:lvlJc w:val="left"/>
      <w:lvlText w:val="(%1)"/>
      <w:numFmt w:val="lowerRoman"/>
      <w:start w:val="10"/>
    </w:lvl>
    <w:lvl w:ilvl="1">
      <w:lvlJc w:val="left"/>
      <w:lvlText w:val="%2."/>
      <w:numFmt w:val="upperLetter"/>
      <w:start w:val="22"/>
    </w:lvl>
  </w:abstractNum>
  <w:abstractNum w:abstractNumId="340">
    <w:nsid w:val="3DE8306C"/>
    <w:multiLevelType w:val="hybridMultilevel"/>
    <w:lvl w:ilvl="0">
      <w:lvlJc w:val="left"/>
      <w:lvlText w:val="(%1)"/>
      <w:numFmt w:val="lowerLetter"/>
      <w:start w:val="1"/>
    </w:lvl>
  </w:abstractNum>
  <w:abstractNum w:abstractNumId="341">
    <w:nsid w:val="7631573A"/>
    <w:multiLevelType w:val="hybridMultilevel"/>
    <w:lvl w:ilvl="0">
      <w:lvlJc w:val="left"/>
      <w:lvlText w:val="(%1)"/>
      <w:numFmt w:val="lowerLetter"/>
      <w:start w:val="1"/>
    </w:lvl>
  </w:abstractNum>
  <w:abstractNum w:abstractNumId="342">
    <w:nsid w:val="58DF53B"/>
    <w:multiLevelType w:val="hybridMultilevel"/>
    <w:lvl w:ilvl="0">
      <w:lvlJc w:val="left"/>
      <w:lvlText w:val="(%1)"/>
      <w:numFmt w:val="lowerLetter"/>
      <w:start w:val="1"/>
    </w:lvl>
  </w:abstractNum>
  <w:abstractNum w:abstractNumId="343">
    <w:nsid w:val="ACDFAC0"/>
    <w:multiLevelType w:val="hybridMultilevel"/>
    <w:lvl w:ilvl="0">
      <w:lvlJc w:val="left"/>
      <w:lvlText w:val="(%1)"/>
      <w:numFmt w:val="lowerLetter"/>
      <w:start w:val="1"/>
    </w:lvl>
  </w:abstractNum>
  <w:abstractNum w:abstractNumId="344">
    <w:nsid w:val="1F578454"/>
    <w:multiLevelType w:val="hybridMultilevel"/>
    <w:lvl w:ilvl="0">
      <w:lvlJc w:val="left"/>
      <w:lvlText w:val="(%1)"/>
      <w:numFmt w:val="lowerLetter"/>
      <w:start w:val="1"/>
    </w:lvl>
  </w:abstractNum>
  <w:abstractNum w:abstractNumId="345">
    <w:nsid w:val="5B0DAD2A"/>
    <w:multiLevelType w:val="hybridMultilevel"/>
    <w:lvl w:ilvl="0">
      <w:lvlJc w:val="left"/>
      <w:lvlText w:val="(%1)"/>
      <w:numFmt w:val="lowerLetter"/>
      <w:start w:val="1"/>
    </w:lvl>
  </w:abstractNum>
  <w:abstractNum w:abstractNumId="346">
    <w:nsid w:val="4E3D26AB"/>
    <w:multiLevelType w:val="hybridMultilevel"/>
    <w:lvl w:ilvl="0">
      <w:lvlJc w:val="left"/>
      <w:lvlText w:val="(%1)"/>
      <w:numFmt w:val="lowerLetter"/>
      <w:start w:val="2"/>
    </w:lvl>
  </w:abstractNum>
  <w:abstractNum w:abstractNumId="347">
    <w:nsid w:val="BE2C8BA"/>
    <w:multiLevelType w:val="hybridMultilevel"/>
    <w:lvl w:ilvl="0">
      <w:lvlJc w:val="left"/>
      <w:lvlText w:val="(%1)"/>
      <w:numFmt w:val="lowerLetter"/>
      <w:start w:val="1"/>
    </w:lvl>
  </w:abstractNum>
  <w:abstractNum w:abstractNumId="348">
    <w:nsid w:val="7B14914E"/>
    <w:multiLevelType w:val="hybridMultilevel"/>
    <w:lvl w:ilvl="0">
      <w:lvlJc w:val="left"/>
      <w:lvlText w:val="(%1)"/>
      <w:numFmt w:val="lowerLetter"/>
      <w:start w:val="1"/>
    </w:lvl>
  </w:abstractNum>
  <w:abstractNum w:abstractNumId="349">
    <w:nsid w:val="6F0939F8"/>
    <w:multiLevelType w:val="hybridMultilevel"/>
    <w:lvl w:ilvl="0">
      <w:lvlJc w:val="left"/>
      <w:lvlText w:val="(%1)"/>
      <w:numFmt w:val="lowerLetter"/>
      <w:start w:val="1"/>
    </w:lvl>
  </w:abstractNum>
  <w:abstractNum w:abstractNumId="350">
    <w:nsid w:val="154291F6"/>
    <w:multiLevelType w:val="hybridMultilevel"/>
    <w:lvl w:ilvl="0">
      <w:lvlJc w:val="left"/>
      <w:lvlText w:val="(%1)"/>
      <w:numFmt w:val="lowerLetter"/>
      <w:start w:val="5"/>
    </w:lvl>
  </w:abstractNum>
  <w:abstractNum w:abstractNumId="351">
    <w:nsid w:val="3CEBD7C7"/>
    <w:multiLevelType w:val="hybridMultilevel"/>
    <w:lvl w:ilvl="0">
      <w:lvlJc w:val="left"/>
      <w:lvlText w:val="(%1)"/>
      <w:numFmt w:val="lowerLetter"/>
      <w:start w:val="1"/>
    </w:lvl>
  </w:abstractNum>
  <w:abstractNum w:abstractNumId="352">
    <w:nsid w:val="60EE9C16"/>
    <w:multiLevelType w:val="hybridMultilevel"/>
    <w:lvl w:ilvl="0">
      <w:lvlJc w:val="left"/>
      <w:lvlText w:val="(%1)"/>
      <w:numFmt w:val="lowerLetter"/>
      <w:start w:val="1"/>
    </w:lvl>
  </w:abstractNum>
  <w:abstractNum w:abstractNumId="353">
    <w:nsid w:val="6385489E"/>
    <w:multiLevelType w:val="hybridMultilevel"/>
    <w:lvl w:ilvl="0">
      <w:lvlJc w:val="left"/>
      <w:lvlText w:val="(%1)"/>
      <w:numFmt w:val="lowerLetter"/>
      <w:start w:val="3"/>
    </w:lvl>
    <w:lvl w:ilvl="1">
      <w:lvlJc w:val="left"/>
      <w:lvlText w:val="(%2)"/>
      <w:numFmt w:val="lowerRoman"/>
      <w:start w:val="1"/>
    </w:lvl>
  </w:abstractNum>
  <w:abstractNum w:abstractNumId="354">
    <w:nsid w:val="E4B973"/>
    <w:multiLevelType w:val="hybridMultilevel"/>
    <w:lvl w:ilvl="0">
      <w:lvlJc w:val="left"/>
      <w:lvlText w:val="(%1)"/>
      <w:numFmt w:val="lowerRoman"/>
      <w:start w:val="2"/>
    </w:lvl>
  </w:abstractNum>
  <w:abstractNum w:abstractNumId="355">
    <w:nsid w:val="4A0FFA11"/>
    <w:multiLevelType w:val="hybridMultilevel"/>
    <w:lvl w:ilvl="0">
      <w:lvlJc w:val="left"/>
      <w:lvlText w:val="(%1)"/>
      <w:numFmt w:val="lowerLetter"/>
      <w:start w:val="6"/>
    </w:lvl>
  </w:abstractNum>
  <w:abstractNum w:abstractNumId="356">
    <w:nsid w:val="5E446208"/>
    <w:multiLevelType w:val="hybridMultilevel"/>
    <w:lvl w:ilvl="0">
      <w:lvlJc w:val="left"/>
      <w:lvlText w:val="(%1)"/>
      <w:numFmt w:val="lowerLetter"/>
      <w:start w:val="1"/>
    </w:lvl>
  </w:abstractNum>
  <w:abstractNum w:abstractNumId="357">
    <w:nsid w:val="5F3272DB"/>
    <w:multiLevelType w:val="hybridMultilevel"/>
    <w:lvl w:ilvl="0">
      <w:lvlJc w:val="left"/>
      <w:lvlText w:val="(%1)"/>
      <w:numFmt w:val="lowerLetter"/>
      <w:start w:val="3"/>
    </w:lvl>
  </w:abstractNum>
  <w:abstractNum w:abstractNumId="358">
    <w:nsid w:val="7616D704"/>
    <w:multiLevelType w:val="hybridMultilevel"/>
    <w:lvl w:ilvl="0">
      <w:lvlJc w:val="left"/>
      <w:lvlText w:val="(%1)"/>
      <w:numFmt w:val="lowerLetter"/>
      <w:start w:val="1"/>
    </w:lvl>
  </w:abstractNum>
  <w:abstractNum w:abstractNumId="359">
    <w:nsid w:val="C56F860"/>
    <w:multiLevelType w:val="hybridMultilevel"/>
    <w:lvl w:ilvl="0">
      <w:lvlJc w:val="left"/>
      <w:lvlText w:val="%1"/>
      <w:numFmt w:val="lowerLetter"/>
      <w:start w:val="1"/>
    </w:lvl>
    <w:lvl w:ilvl="1">
      <w:lvlJc w:val="left"/>
      <w:lvlText w:val="(%2)"/>
      <w:numFmt w:val="lowerLetter"/>
      <w:start w:val="3"/>
    </w:lvl>
  </w:abstractNum>
  <w:abstractNum w:abstractNumId="360">
    <w:nsid w:val="64D17722"/>
    <w:multiLevelType w:val="hybridMultilevel"/>
    <w:lvl w:ilvl="0">
      <w:lvlJc w:val="left"/>
      <w:lvlText w:val="(%1)"/>
      <w:numFmt w:val="lowerLetter"/>
      <w:start w:val="35"/>
    </w:lvl>
    <w:lvl w:ilvl="1">
      <w:lvlJc w:val="left"/>
      <w:lvlText w:val="%2"/>
      <w:numFmt w:val="lowerLetter"/>
      <w:start w:val="1"/>
    </w:lvl>
  </w:abstractNum>
  <w:abstractNum w:abstractNumId="361">
    <w:nsid w:val="7924CA0A"/>
    <w:multiLevelType w:val="hybridMultilevel"/>
    <w:lvl w:ilvl="0">
      <w:lvlJc w:val="left"/>
      <w:lvlText w:val="(%1)"/>
      <w:numFmt w:val="lowerLetter"/>
      <w:start w:val="1"/>
    </w:lvl>
  </w:abstractNum>
  <w:abstractNum w:abstractNumId="362">
    <w:nsid w:val="CFD4EA7"/>
    <w:multiLevelType w:val="hybridMultilevel"/>
    <w:lvl w:ilvl="0">
      <w:lvlJc w:val="left"/>
      <w:lvlText w:val="%1"/>
      <w:numFmt w:val="lowerLetter"/>
      <w:start w:val="1"/>
    </w:lvl>
    <w:lvl w:ilvl="1">
      <w:lvlJc w:val="left"/>
      <w:lvlText w:val="(%2)"/>
      <w:numFmt w:val="lowerLetter"/>
      <w:start w:val="3"/>
    </w:lvl>
  </w:abstractNum>
  <w:abstractNum w:abstractNumId="363">
    <w:nsid w:val="232FCF4D"/>
    <w:multiLevelType w:val="hybridMultilevel"/>
    <w:lvl w:ilvl="0">
      <w:lvlJc w:val="left"/>
      <w:lvlText w:val="(%1)"/>
      <w:numFmt w:val="lowerLetter"/>
      <w:start w:val="25"/>
    </w:lvl>
    <w:lvl w:ilvl="1">
      <w:lvlJc w:val="left"/>
      <w:lvlText w:val="%2"/>
      <w:numFmt w:val="lowerLetter"/>
      <w:start w:val="1"/>
    </w:lvl>
  </w:abstractNum>
  <w:abstractNum w:abstractNumId="364">
    <w:nsid w:val="1EA21031"/>
    <w:multiLevelType w:val="hybridMultilevel"/>
    <w:lvl w:ilvl="0">
      <w:lvlJc w:val="left"/>
      <w:lvlText w:val="(%1)"/>
      <w:numFmt w:val="lowerLetter"/>
      <w:start w:val="25"/>
    </w:lvl>
    <w:lvl w:ilvl="1">
      <w:lvlJc w:val="left"/>
      <w:lvlText w:val="%2"/>
      <w:numFmt w:val="lowerLetter"/>
      <w:start w:val="1"/>
    </w:lvl>
  </w:abstractNum>
  <w:abstractNum w:abstractNumId="365">
    <w:nsid w:val="67A5A6B5"/>
    <w:multiLevelType w:val="hybridMultilevel"/>
    <w:lvl w:ilvl="0">
      <w:lvlJc w:val="left"/>
      <w:lvlText w:val="(%1)"/>
      <w:numFmt w:val="lowerLetter"/>
      <w:start w:val="1"/>
    </w:lvl>
  </w:abstractNum>
  <w:abstractNum w:abstractNumId="366">
    <w:nsid w:val="C2A5C5B"/>
    <w:multiLevelType w:val="hybridMultilevel"/>
    <w:lvl w:ilvl="0">
      <w:lvlJc w:val="left"/>
      <w:lvlText w:val="%1"/>
      <w:numFmt w:val="lowerLetter"/>
      <w:start w:val="1"/>
    </w:lvl>
    <w:lvl w:ilvl="1">
      <w:lvlJc w:val="left"/>
      <w:lvlText w:val="(%2)"/>
      <w:numFmt w:val="lowerLetter"/>
      <w:start w:val="2"/>
    </w:lvl>
  </w:abstractNum>
  <w:abstractNum w:abstractNumId="367">
    <w:nsid w:val="5F94DC03"/>
    <w:multiLevelType w:val="hybridMultilevel"/>
    <w:lvl w:ilvl="0">
      <w:lvlJc w:val="left"/>
      <w:lvlText w:val="(%1)"/>
      <w:numFmt w:val="lowerLetter"/>
      <w:start w:val="35"/>
    </w:lvl>
    <w:lvl w:ilvl="1">
      <w:lvlJc w:val="left"/>
      <w:lvlText w:val="(%2)"/>
      <w:numFmt w:val="lowerLetter"/>
      <w:start w:val="3"/>
    </w:lvl>
  </w:abstractNum>
  <w:abstractNum w:abstractNumId="368">
    <w:nsid w:val="237BBCA0"/>
    <w:multiLevelType w:val="hybridMultilevel"/>
    <w:lvl w:ilvl="0">
      <w:lvlJc w:val="left"/>
      <w:lvlText w:val="(%1)"/>
      <w:numFmt w:val="lowerLetter"/>
      <w:start w:val="1"/>
    </w:lvl>
  </w:abstractNum>
  <w:abstractNum w:abstractNumId="369">
    <w:nsid w:val="162EB70D"/>
    <w:multiLevelType w:val="hybridMultilevel"/>
    <w:lvl w:ilvl="0">
      <w:lvlJc w:val="left"/>
      <w:lvlText w:val="%1"/>
      <w:numFmt w:val="lowerLetter"/>
      <w:start w:val="1"/>
    </w:lvl>
    <w:lvl w:ilvl="1">
      <w:lvlJc w:val="left"/>
      <w:lvlText w:val="(%2)"/>
      <w:numFmt w:val="lowerLetter"/>
      <w:start w:val="1"/>
    </w:lvl>
  </w:abstractNum>
  <w:abstractNum w:abstractNumId="370">
    <w:nsid w:val="78070222"/>
    <w:multiLevelType w:val="hybridMultilevel"/>
    <w:lvl w:ilvl="0">
      <w:lvlJc w:val="left"/>
      <w:lvlText w:val="(%1)"/>
      <w:numFmt w:val="lowerLetter"/>
      <w:start w:val="35"/>
    </w:lvl>
    <w:lvl w:ilvl="1">
      <w:lvlJc w:val="left"/>
      <w:lvlText w:val="%2"/>
      <w:numFmt w:val="lowerLetter"/>
      <w:start w:val="1"/>
    </w:lvl>
  </w:abstractNum>
  <w:abstractNum w:abstractNumId="371">
    <w:nsid w:val="6163ED0D"/>
    <w:multiLevelType w:val="hybridMultilevel"/>
    <w:lvl w:ilvl="0">
      <w:lvlJc w:val="left"/>
      <w:lvlText w:val="%1"/>
      <w:numFmt w:val="lowerLetter"/>
      <w:start w:val="1"/>
    </w:lvl>
    <w:lvl w:ilvl="1">
      <w:lvlJc w:val="left"/>
      <w:lvlText w:val="(%2)"/>
      <w:numFmt w:val="lowerLetter"/>
      <w:start w:val="12"/>
    </w:lvl>
  </w:abstractNum>
  <w:abstractNum w:abstractNumId="372">
    <w:nsid w:val="C600E47"/>
    <w:multiLevelType w:val="hybridMultilevel"/>
    <w:lvl w:ilvl="0">
      <w:lvlJc w:val="left"/>
      <w:lvlText w:val="(%1)"/>
      <w:numFmt w:val="lowerLetter"/>
      <w:start w:val="9"/>
    </w:lvl>
    <w:lvl w:ilvl="1">
      <w:lvlJc w:val="left"/>
      <w:lvlText w:val="%2"/>
      <w:numFmt w:val="lowerLetter"/>
      <w:start w:val="1"/>
    </w:lvl>
  </w:abstractNum>
  <w:abstractNum w:abstractNumId="373">
    <w:nsid w:val="7D94F75D"/>
    <w:multiLevelType w:val="hybridMultilevel"/>
    <w:lvl w:ilvl="0">
      <w:lvlJc w:val="left"/>
      <w:lvlText w:val="(%1)"/>
      <w:numFmt w:val="lowerLetter"/>
      <w:start w:val="61"/>
    </w:lvl>
    <w:lvl w:ilvl="1">
      <w:lvlJc w:val="left"/>
      <w:lvlText w:val="(%2)"/>
      <w:numFmt w:val="lowerLetter"/>
      <w:start w:val="14"/>
    </w:lvl>
  </w:abstractNum>
  <w:abstractNum w:abstractNumId="374">
    <w:nsid w:val="6C31E7CD"/>
    <w:multiLevelType w:val="hybridMultilevel"/>
    <w:lvl w:ilvl="0">
      <w:lvlJc w:val="left"/>
      <w:lvlText w:val="(%1)"/>
      <w:numFmt w:val="lowerLetter"/>
      <w:start w:val="9"/>
    </w:lvl>
    <w:lvl w:ilvl="1">
      <w:lvlJc w:val="left"/>
      <w:lvlText w:val="(%2)"/>
      <w:numFmt w:val="lowerLetter"/>
      <w:start w:val="19"/>
    </w:lvl>
  </w:abstractNum>
  <w:abstractNum w:abstractNumId="375">
    <w:nsid w:val="2BB7929B"/>
    <w:multiLevelType w:val="hybridMultilevel"/>
    <w:lvl w:ilvl="0">
      <w:lvlJc w:val="left"/>
      <w:lvlText w:val="(%1)"/>
      <w:numFmt w:val="lowerLetter"/>
      <w:start w:val="2"/>
    </w:lvl>
  </w:abstractNum>
  <w:abstractNum w:abstractNumId="376">
    <w:nsid w:val="58A2A487"/>
    <w:multiLevelType w:val="hybridMultilevel"/>
    <w:lvl w:ilvl="0">
      <w:lvlJc w:val="left"/>
      <w:lvlText w:val="(%1)"/>
      <w:numFmt w:val="lowerLetter"/>
      <w:start w:val="6"/>
    </w:lvl>
  </w:abstractNum>
  <w:abstractNum w:abstractNumId="377">
    <w:nsid w:val="3A6F0E78"/>
    <w:multiLevelType w:val="hybridMultilevel"/>
    <w:lvl w:ilvl="0">
      <w:lvlJc w:val="left"/>
      <w:lvlText w:val="(%1)"/>
      <w:numFmt w:val="lowerLetter"/>
      <w:start w:val="1"/>
    </w:lvl>
  </w:abstractNum>
  <w:abstractNum w:abstractNumId="378">
    <w:nsid w:val="379A5B56"/>
    <w:multiLevelType w:val="hybridMultilevel"/>
    <w:lvl w:ilvl="0">
      <w:lvlJc w:val="left"/>
      <w:lvlText w:val="%1"/>
      <w:numFmt w:val="lowerLetter"/>
      <w:start w:val="1"/>
    </w:lvl>
    <w:lvl w:ilvl="1">
      <w:lvlJc w:val="left"/>
      <w:lvlText w:val="(%2)"/>
      <w:numFmt w:val="lowerLetter"/>
      <w:start w:val="5"/>
    </w:lvl>
  </w:abstractNum>
  <w:abstractNum w:abstractNumId="379">
    <w:nsid w:val="53B735D5"/>
    <w:multiLevelType w:val="hybridMultilevel"/>
    <w:lvl w:ilvl="0">
      <w:lvlJc w:val="left"/>
      <w:lvlText w:val="(%1)"/>
      <w:numFmt w:val="lowerLetter"/>
      <w:start w:val="9"/>
    </w:lvl>
    <w:lvl w:ilvl="1">
      <w:lvlJc w:val="left"/>
      <w:lvlText w:val="(%2)"/>
      <w:numFmt w:val="lowerLetter"/>
      <w:start w:val="16"/>
    </w:lvl>
  </w:abstractNum>
  <w:abstractNum w:abstractNumId="380">
    <w:nsid w:val="29784870"/>
    <w:multiLevelType w:val="hybridMultilevel"/>
    <w:lvl w:ilvl="0">
      <w:lvlJc w:val="left"/>
      <w:lvlText w:val="(%1)"/>
      <w:numFmt w:val="lowerLetter"/>
      <w:start w:val="1"/>
    </w:lvl>
  </w:abstractNum>
  <w:abstractNum w:abstractNumId="381">
    <w:nsid w:val="4CDCED4C"/>
    <w:multiLevelType w:val="hybridMultilevel"/>
    <w:lvl w:ilvl="0">
      <w:lvlJc w:val="left"/>
      <w:lvlText w:val="(%1)"/>
      <w:numFmt w:val="lowerLetter"/>
      <w:start w:val="1"/>
    </w:lvl>
  </w:abstractNum>
  <w:abstractNum w:abstractNumId="382">
    <w:nsid w:val="10A30D9C"/>
    <w:multiLevelType w:val="hybridMultilevel"/>
    <w:lvl w:ilvl="0">
      <w:lvlJc w:val="left"/>
      <w:lvlText w:val="(%1)"/>
      <w:numFmt w:val="lowerLetter"/>
      <w:start w:val="2"/>
    </w:lvl>
  </w:abstractNum>
  <w:abstractNum w:abstractNumId="383">
    <w:nsid w:val="A66E486"/>
    <w:multiLevelType w:val="hybridMultilevel"/>
    <w:lvl w:ilvl="0">
      <w:lvlJc w:val="left"/>
      <w:lvlText w:val="(%1)"/>
      <w:numFmt w:val="lowerLetter"/>
      <w:start w:val="1"/>
    </w:lvl>
  </w:abstractNum>
  <w:abstractNum w:abstractNumId="384">
    <w:nsid w:val="306235EA"/>
    <w:multiLevelType w:val="hybridMultilevel"/>
    <w:lvl w:ilvl="0">
      <w:lvlJc w:val="left"/>
      <w:lvlText w:val="%1"/>
      <w:numFmt w:val="upperLetter"/>
      <w:start w:val="1"/>
    </w:lvl>
    <w:lvl w:ilvl="1">
      <w:lvlJc w:val="left"/>
      <w:lvlText w:val="(%2)"/>
      <w:numFmt w:val="lowerLetter"/>
      <w:start w:val="11"/>
    </w:lvl>
  </w:abstractNum>
  <w:abstractNum w:abstractNumId="385">
    <w:nsid w:val="1187C70F"/>
    <w:multiLevelType w:val="hybridMultilevel"/>
    <w:lvl w:ilvl="0">
      <w:lvlJc w:val="left"/>
      <w:lvlText w:val="(%1)"/>
      <w:numFmt w:val="upperLetter"/>
      <w:start w:val="35"/>
    </w:lvl>
    <w:lvl w:ilvl="1">
      <w:lvlJc w:val="left"/>
      <w:lvlText w:val="%2"/>
      <w:numFmt w:val="lowerLetter"/>
      <w:start w:val="1"/>
    </w:lvl>
  </w:abstractNum>
  <w:abstractNum w:abstractNumId="386">
    <w:nsid w:val="5476DE98"/>
    <w:multiLevelType w:val="hybridMultilevel"/>
    <w:lvl w:ilvl="0">
      <w:lvlJc w:val="left"/>
      <w:lvlText w:val="(%1)"/>
      <w:numFmt w:val="lowerLetter"/>
      <w:start w:val="1"/>
    </w:lvl>
  </w:abstractNum>
  <w:abstractNum w:abstractNumId="387">
    <w:nsid w:val="EA697F2"/>
    <w:multiLevelType w:val="hybridMultilevel"/>
    <w:lvl w:ilvl="0">
      <w:lvlJc w:val="left"/>
      <w:lvlText w:val="(%1)"/>
      <w:numFmt w:val="lowerLetter"/>
      <w:start w:val="1"/>
    </w:lvl>
  </w:abstractNum>
  <w:abstractNum w:abstractNumId="388">
    <w:nsid w:val="70BA39EB"/>
    <w:multiLevelType w:val="hybridMultilevel"/>
    <w:lvl w:ilvl="0">
      <w:lvlJc w:val="left"/>
      <w:lvlText w:val="(%1)"/>
      <w:numFmt w:val="lowerLetter"/>
      <w:start w:val="1"/>
    </w:lvl>
    <w:lvl w:ilvl="1">
      <w:lvlJc w:val="left"/>
      <w:lvlText w:val="(%2)"/>
      <w:numFmt w:val="lowerRoman"/>
      <w:start w:val="1"/>
    </w:lvl>
  </w:abstractNum>
  <w:abstractNum w:abstractNumId="389">
    <w:nsid w:val="4A8DB59C"/>
    <w:multiLevelType w:val="hybridMultilevel"/>
    <w:lvl w:ilvl="0">
      <w:lvlJc w:val="left"/>
      <w:lvlText w:val="%1"/>
      <w:numFmt w:val="decimal"/>
      <w:start w:val="1"/>
    </w:lvl>
    <w:lvl w:ilvl="1">
      <w:lvlJc w:val="left"/>
      <w:lvlText w:val="(%2)"/>
      <w:numFmt w:val="lowerLetter"/>
      <w:start w:val="6"/>
    </w:lvl>
  </w:abstractNum>
  <w:abstractNum w:abstractNumId="390">
    <w:nsid w:val="1AFD9053"/>
    <w:multiLevelType w:val="hybridMultilevel"/>
    <w:lvl w:ilvl="0">
      <w:lvlJc w:val="left"/>
      <w:lvlText w:val="(%1)"/>
      <w:numFmt w:val="decimal"/>
      <w:start w:val="60"/>
    </w:lvl>
    <w:lvl w:ilvl="1">
      <w:lvlJc w:val="left"/>
      <w:lvlText w:val="(%2)"/>
      <w:numFmt w:val="lowerLetter"/>
      <w:start w:val="7"/>
    </w:lvl>
  </w:abstractNum>
  <w:abstractNum w:abstractNumId="391">
    <w:nsid w:val="558BB10D"/>
    <w:multiLevelType w:val="hybridMultilevel"/>
    <w:lvl w:ilvl="0">
      <w:lvlJc w:val="left"/>
      <w:lvlText w:val="(%1)"/>
      <w:numFmt w:val="lowerLetter"/>
      <w:start w:val="11"/>
    </w:lvl>
  </w:abstractNum>
  <w:abstractNum w:abstractNumId="392">
    <w:nsid w:val="43B27FA7"/>
    <w:multiLevelType w:val="hybridMultilevel"/>
    <w:lvl w:ilvl="0">
      <w:lvlJc w:val="left"/>
      <w:lvlText w:val="(%1)"/>
      <w:numFmt w:val="lowerLetter"/>
      <w:start w:val="1"/>
    </w:lvl>
  </w:abstractNum>
  <w:abstractNum w:abstractNumId="393">
    <w:nsid w:val="27FADEFA"/>
    <w:multiLevelType w:val="hybridMultilevel"/>
    <w:lvl w:ilvl="0">
      <w:lvlJc w:val="left"/>
      <w:lvlText w:val="%1"/>
      <w:numFmt w:val="lowerLetter"/>
      <w:start w:val="1"/>
    </w:lvl>
    <w:lvl w:ilvl="1">
      <w:lvlJc w:val="left"/>
      <w:lvlText w:val="(%2)"/>
      <w:numFmt w:val="lowerLetter"/>
      <w:start w:val="3"/>
    </w:lvl>
  </w:abstractNum>
  <w:abstractNum w:abstractNumId="394">
    <w:nsid w:val="78BB805A"/>
    <w:multiLevelType w:val="hybridMultilevel"/>
    <w:lvl w:ilvl="0">
      <w:lvlJc w:val="left"/>
      <w:lvlText w:val="(%1)"/>
      <w:numFmt w:val="lowerLetter"/>
      <w:start w:val="24"/>
    </w:lvl>
    <w:lvl w:ilvl="1">
      <w:lvlJc w:val="left"/>
      <w:lvlText w:val="(%2)"/>
      <w:numFmt w:val="lowerLetter"/>
      <w:start w:val="4"/>
    </w:lvl>
  </w:abstractNum>
  <w:abstractNum w:abstractNumId="395">
    <w:nsid w:val="62548FD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396">
    <w:nsid w:val="FA085B0"/>
    <w:multiLevelType w:val="hybridMultilevel"/>
    <w:lvl w:ilvl="0">
      <w:lvlJc w:val="left"/>
      <w:lvlText w:val="(%1)"/>
      <w:numFmt w:val="decimal"/>
      <w:start w:val="20"/>
    </w:lvl>
    <w:lvl w:ilvl="1">
      <w:lvlJc w:val="left"/>
      <w:lvlText w:val="(%2)"/>
      <w:numFmt w:val="lowerLetter"/>
      <w:start w:val="2"/>
    </w:lvl>
    <w:lvl w:ilvl="2">
      <w:lvlJc w:val="left"/>
      <w:lvlText w:val="%3."/>
      <w:numFmt w:val="upperLetter"/>
      <w:start w:val="24"/>
    </w:lvl>
  </w:abstractNum>
  <w:abstractNum w:abstractNumId="397">
    <w:nsid w:val="4E5DCB5"/>
    <w:multiLevelType w:val="hybridMultilevel"/>
    <w:lvl w:ilvl="0">
      <w:lvlJc w:val="left"/>
      <w:lvlText w:val="(%1)"/>
      <w:numFmt w:val="lowerLetter"/>
      <w:start w:val="1"/>
    </w:lvl>
  </w:abstractNum>
  <w:abstractNum w:abstractNumId="398">
    <w:nsid w:val="41E96BDB"/>
    <w:multiLevelType w:val="hybridMultilevel"/>
    <w:lvl w:ilvl="0">
      <w:lvlJc w:val="left"/>
      <w:lvlText w:val="%1"/>
      <w:numFmt w:val="lowerLetter"/>
      <w:start w:val="1"/>
    </w:lvl>
    <w:lvl w:ilvl="1">
      <w:lvlJc w:val="left"/>
      <w:lvlText w:val="(%2)"/>
      <w:numFmt w:val="lowerLetter"/>
      <w:start w:val="1"/>
    </w:lvl>
  </w:abstractNum>
  <w:abstractNum w:abstractNumId="399">
    <w:nsid w:val="331C4250"/>
    <w:multiLevelType w:val="hybridMultilevel"/>
    <w:lvl w:ilvl="0">
      <w:lvlJc w:val="left"/>
      <w:lvlText w:val="(%1)"/>
      <w:numFmt w:val="lowerLetter"/>
      <w:start w:val="9"/>
    </w:lvl>
    <w:lvl w:ilvl="1">
      <w:lvlJc w:val="left"/>
      <w:lvlText w:val="%2"/>
      <w:numFmt w:val="lowerLetter"/>
      <w:start w:val="1"/>
    </w:lvl>
  </w:abstractNum>
  <w:abstractNum w:abstractNumId="400">
    <w:nsid w:val="1B1493C2"/>
    <w:multiLevelType w:val="hybridMultilevel"/>
    <w:lvl w:ilvl="0">
      <w:lvlJc w:val="left"/>
      <w:lvlText w:val="(%1)"/>
      <w:numFmt w:val="lowerLetter"/>
      <w:start w:val="1"/>
    </w:lvl>
  </w:abstractNum>
  <w:abstractNum w:abstractNumId="401">
    <w:nsid w:val="39F06DFD"/>
    <w:multiLevelType w:val="hybridMultilevel"/>
    <w:lvl w:ilvl="0">
      <w:lvlJc w:val="left"/>
      <w:lvlText w:val="(%1)"/>
      <w:numFmt w:val="lowerLetter"/>
      <w:start w:val="3"/>
    </w:lvl>
  </w:abstractNum>
  <w:abstractNum w:abstractNumId="402">
    <w:nsid w:val="14802F5D"/>
    <w:multiLevelType w:val="hybridMultilevel"/>
    <w:lvl w:ilvl="0">
      <w:lvlJc w:val="left"/>
      <w:lvlText w:val="(%1)"/>
      <w:numFmt w:val="decimal"/>
      <w:start w:val="30"/>
    </w:lvl>
  </w:abstractNum>
  <w:abstractNum w:abstractNumId="403">
    <w:nsid w:val="2774A209"/>
    <w:multiLevelType w:val="hybridMultilevel"/>
    <w:lvl w:ilvl="0">
      <w:lvlJc w:val="left"/>
      <w:lvlText w:val="(%1)"/>
      <w:numFmt w:val="lowerRoman"/>
      <w:start w:val="1"/>
    </w:lvl>
  </w:abstractNum>
  <w:abstractNum w:abstractNumId="404">
    <w:nsid w:val="3785655A"/>
    <w:multiLevelType w:val="hybridMultilevel"/>
    <w:lvl w:ilvl="0">
      <w:lvlJc w:val="left"/>
      <w:lvlText w:val="(%1)"/>
      <w:numFmt w:val="lowerLetter"/>
      <w:start w:val="2"/>
    </w:lvl>
  </w:abstractNum>
  <w:abstractNum w:abstractNumId="405">
    <w:nsid w:val="B2172A"/>
    <w:multiLevelType w:val="hybridMultilevel"/>
    <w:lvl w:ilvl="0">
      <w:lvlJc w:val="left"/>
      <w:lvlText w:val="(%1)"/>
      <w:numFmt w:val="lowerLetter"/>
      <w:start w:val="1"/>
    </w:lvl>
    <w:lvl w:ilvl="1">
      <w:lvlJc w:val="left"/>
      <w:lvlText w:val="(%2)"/>
      <w:numFmt w:val="lowerRoman"/>
      <w:start w:val="1"/>
    </w:lvl>
  </w:abstractNum>
  <w:abstractNum w:abstractNumId="406">
    <w:nsid w:val="532C34A5"/>
    <w:multiLevelType w:val="hybridMultilevel"/>
    <w:lvl w:ilvl="0">
      <w:lvlJc w:val="left"/>
      <w:lvlText w:val="%1"/>
      <w:numFmt w:val="lowerLetter"/>
      <w:start w:val="1"/>
    </w:lvl>
    <w:lvl w:ilvl="1">
      <w:lvlJc w:val="left"/>
      <w:lvlText w:val="(%2)"/>
      <w:numFmt w:val="lowerLetter"/>
      <w:start w:val="61"/>
    </w:lvl>
  </w:abstractNum>
  <w:abstractNum w:abstractNumId="407">
    <w:nsid w:val="102809E2"/>
    <w:multiLevelType w:val="hybridMultilevel"/>
    <w:lvl w:ilvl="0">
      <w:lvlJc w:val="left"/>
      <w:lvlText w:val="(%1)"/>
      <w:numFmt w:val="lowerLetter"/>
      <w:start w:val="7"/>
    </w:lvl>
    <w:lvl w:ilvl="1">
      <w:lvlJc w:val="left"/>
      <w:lvlText w:val="%2"/>
      <w:numFmt w:val="lowerLetter"/>
      <w:start w:val="1"/>
    </w:lvl>
  </w:abstractNum>
  <w:abstractNum w:abstractNumId="408">
    <w:nsid w:val="3B2125A3"/>
    <w:multiLevelType w:val="hybridMultilevel"/>
    <w:lvl w:ilvl="0">
      <w:lvlJc w:val="left"/>
      <w:lvlText w:val="%1"/>
      <w:numFmt w:val="lowerLetter"/>
      <w:start w:val="1"/>
    </w:lvl>
    <w:lvl w:ilvl="1">
      <w:lvlJc w:val="left"/>
      <w:lvlText w:val="(%2)"/>
      <w:numFmt w:val="lowerRoman"/>
      <w:start w:val="4"/>
    </w:lvl>
  </w:abstractNum>
  <w:abstractNum w:abstractNumId="409">
    <w:nsid w:val="AC68FFB"/>
    <w:multiLevelType w:val="hybridMultilevel"/>
    <w:lvl w:ilvl="0">
      <w:lvlJc w:val="left"/>
      <w:lvlText w:val="(%1)"/>
      <w:numFmt w:val="lowerLetter"/>
      <w:start w:val="2"/>
    </w:lvl>
    <w:lvl w:ilvl="1">
      <w:lvlJc w:val="left"/>
      <w:lvlText w:val="%2"/>
      <w:numFmt w:val="lowerRoman"/>
      <w:start w:val="1"/>
    </w:lvl>
  </w:abstractNum>
  <w:abstractNum w:abstractNumId="410">
    <w:nsid w:val="63DF3FB7"/>
    <w:multiLevelType w:val="hybridMultilevel"/>
    <w:lvl w:ilvl="0">
      <w:lvlJc w:val="left"/>
      <w:lvlText w:val="(%1)"/>
      <w:numFmt w:val="lowerLetter"/>
      <w:start w:val="1"/>
    </w:lvl>
  </w:abstractNum>
  <w:abstractNum w:abstractNumId="411">
    <w:nsid w:val="64996E13"/>
    <w:multiLevelType w:val="hybridMultilevel"/>
    <w:lvl w:ilvl="0">
      <w:lvlJc w:val="left"/>
      <w:lvlText w:val="(%1)"/>
      <w:numFmt w:val="lowerLetter"/>
      <w:start w:val="8"/>
    </w:lvl>
  </w:abstractNum>
  <w:abstractNum w:abstractNumId="412">
    <w:nsid w:val="57A37D47"/>
    <w:multiLevelType w:val="hybridMultilevel"/>
    <w:lvl w:ilvl="0">
      <w:lvlJc w:val="left"/>
      <w:lvlText w:val="(%1)"/>
      <w:numFmt w:val="lowerLetter"/>
      <w:start w:val="1"/>
    </w:lvl>
  </w:abstractNum>
  <w:abstractNum w:abstractNumId="413">
    <w:nsid w:val="74824D54"/>
    <w:multiLevelType w:val="hybridMultilevel"/>
    <w:lvl w:ilvl="0">
      <w:lvlJc w:val="left"/>
      <w:lvlText w:val="(%1)"/>
      <w:numFmt w:val="lowerLetter"/>
      <w:start w:val="35"/>
    </w:lvl>
    <w:lvl w:ilvl="1">
      <w:lvlJc w:val="left"/>
      <w:lvlText w:val="(%2)"/>
      <w:numFmt w:val="lowerLetter"/>
      <w:start w:val="3"/>
    </w:lvl>
  </w:abstractNum>
  <w:abstractNum w:abstractNumId="414">
    <w:nsid w:val="6F00529A"/>
    <w:multiLevelType w:val="hybridMultilevel"/>
    <w:lvl w:ilvl="0">
      <w:lvlJc w:val="left"/>
      <w:lvlText w:val="(%1)"/>
      <w:numFmt w:val="lowerLetter"/>
      <w:start w:val="4"/>
    </w:lvl>
  </w:abstractNum>
  <w:abstractNum w:abstractNumId="415">
    <w:nsid w:val="805B331"/>
    <w:multiLevelType w:val="hybridMultilevel"/>
    <w:lvl w:ilvl="0">
      <w:lvlJc w:val="left"/>
      <w:lvlText w:val="(%1)"/>
      <w:numFmt w:val="lowerLetter"/>
      <w:start w:val="1"/>
    </w:lvl>
  </w:abstractNum>
  <w:abstractNum w:abstractNumId="416">
    <w:nsid w:val="60A1463"/>
    <w:multiLevelType w:val="hybridMultilevel"/>
    <w:lvl w:ilvl="0">
      <w:lvlJc w:val="left"/>
      <w:lvlText w:val="(%1)"/>
      <w:numFmt w:val="lowerLetter"/>
      <w:start w:val="3"/>
    </w:lvl>
    <w:lvl w:ilvl="1">
      <w:lvlJc w:val="left"/>
      <w:lvlText w:val="(%2)"/>
      <w:numFmt w:val="lowerRoman"/>
      <w:start w:val="1"/>
    </w:lvl>
  </w:abstractNum>
  <w:abstractNum w:abstractNumId="417">
    <w:nsid w:val="4377313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18">
    <w:nsid w:val="16AC4B23"/>
    <w:multiLevelType w:val="hybridMultilevel"/>
    <w:lvl w:ilvl="0">
      <w:lvlJc w:val="left"/>
      <w:lvlText w:val="(%1)"/>
      <w:numFmt w:val="lowerRoman"/>
      <w:start w:val="3"/>
    </w:lvl>
    <w:lvl w:ilvl="1">
      <w:lvlJc w:val="left"/>
      <w:lvlText w:val="(%2)"/>
      <w:numFmt w:val="upperLetter"/>
      <w:start w:val="1"/>
    </w:lvl>
  </w:abstractNum>
  <w:abstractNum w:abstractNumId="419">
    <w:nsid w:val="76C44E4E"/>
    <w:multiLevelType w:val="hybridMultilevel"/>
    <w:lvl w:ilvl="0">
      <w:lvlJc w:val="left"/>
      <w:lvlText w:val="%1"/>
      <w:numFmt w:val="lowerLetter"/>
      <w:start w:val="1"/>
    </w:lvl>
    <w:lvl w:ilvl="1">
      <w:lvlJc w:val="left"/>
      <w:lvlText w:val="(%2)"/>
      <w:numFmt w:val="lowerLetter"/>
      <w:start w:val="3"/>
    </w:lvl>
  </w:abstractNum>
  <w:abstractNum w:abstractNumId="420">
    <w:nsid w:val="E04E6CE"/>
    <w:multiLevelType w:val="hybridMultilevel"/>
    <w:lvl w:ilvl="0">
      <w:lvlJc w:val="left"/>
      <w:lvlText w:val="(%1)"/>
      <w:numFmt w:val="lowerLetter"/>
      <w:start w:val="25"/>
    </w:lvl>
    <w:lvl w:ilvl="1">
      <w:lvlJc w:val="left"/>
      <w:lvlText w:val="%2"/>
      <w:numFmt w:val="lowerLetter"/>
      <w:start w:val="1"/>
    </w:lvl>
  </w:abstractNum>
  <w:abstractNum w:abstractNumId="421">
    <w:nsid w:val="31A9DB76"/>
    <w:multiLevelType w:val="hybridMultilevel"/>
    <w:lvl w:ilvl="0">
      <w:lvlJc w:val="left"/>
      <w:lvlText w:val="(%1)"/>
      <w:numFmt w:val="lowerLetter"/>
      <w:start w:val="2"/>
    </w:lvl>
  </w:abstractNum>
  <w:abstractNum w:abstractNumId="422">
    <w:nsid w:val="4C4FFF5B"/>
    <w:multiLevelType w:val="hybridMultilevel"/>
    <w:lvl w:ilvl="0">
      <w:lvlJc w:val="left"/>
      <w:lvlText w:val="(%1)"/>
      <w:numFmt w:val="lowerLetter"/>
      <w:start w:val="5"/>
    </w:lvl>
  </w:abstractNum>
  <w:abstractNum w:abstractNumId="423">
    <w:nsid w:val="51B76675"/>
    <w:multiLevelType w:val="hybridMultilevel"/>
    <w:lvl w:ilvl="0">
      <w:lvlJc w:val="left"/>
      <w:lvlText w:val="(%1)"/>
      <w:numFmt w:val="lowerLetter"/>
      <w:start w:val="1"/>
    </w:lvl>
  </w:abstractNum>
  <w:abstractNum w:abstractNumId="424">
    <w:nsid w:val="59A4BA71"/>
    <w:multiLevelType w:val="hybridMultilevel"/>
    <w:lvl w:ilvl="0">
      <w:lvlJc w:val="left"/>
      <w:lvlText w:val="(%1)"/>
      <w:numFmt w:val="lowerLetter"/>
      <w:start w:val="1"/>
    </w:lvl>
  </w:abstractNum>
  <w:abstractNum w:abstractNumId="425">
    <w:nsid w:val="450B7FB6"/>
    <w:multiLevelType w:val="hybridMultilevel"/>
    <w:lvl w:ilvl="0">
      <w:lvlJc w:val="left"/>
      <w:lvlText w:val="(%1)"/>
      <w:numFmt w:val="lowerLetter"/>
      <w:start w:val="3"/>
    </w:lvl>
  </w:abstractNum>
  <w:abstractNum w:abstractNumId="426">
    <w:nsid w:val="340BF64D"/>
    <w:multiLevelType w:val="hybridMultilevel"/>
    <w:lvl w:ilvl="0">
      <w:lvlJc w:val="left"/>
      <w:lvlText w:val="(%1)"/>
      <w:numFmt w:val="lowerLetter"/>
      <w:start w:val="1"/>
    </w:lvl>
    <w:lvl w:ilvl="1">
      <w:lvlJc w:val="left"/>
      <w:lvlText w:val="(%2)"/>
      <w:numFmt w:val="lowerRoman"/>
      <w:start w:val="1"/>
    </w:lvl>
  </w:abstractNum>
  <w:abstractNum w:abstractNumId="427">
    <w:nsid w:val="69454021"/>
    <w:multiLevelType w:val="hybridMultilevel"/>
    <w:lvl w:ilvl="0">
      <w:lvlJc w:val="left"/>
      <w:lvlText w:val="(%1)"/>
      <w:numFmt w:val="lowerLetter"/>
      <w:start w:val="1"/>
    </w:lvl>
  </w:abstractNum>
  <w:abstractNum w:abstractNumId="428">
    <w:nsid w:val="49F15C6B"/>
    <w:multiLevelType w:val="hybridMultilevel"/>
    <w:lvl w:ilvl="0">
      <w:lvlJc w:val="left"/>
      <w:lvlText w:val="(%1)"/>
      <w:numFmt w:val="lowerLetter"/>
      <w:start w:val="10"/>
    </w:lvl>
  </w:abstractNum>
  <w:abstractNum w:abstractNumId="429">
    <w:nsid w:val="75F5622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30">
    <w:nsid w:val="1C618271"/>
    <w:multiLevelType w:val="hybridMultilevel"/>
    <w:lvl w:ilvl="0">
      <w:lvlJc w:val="left"/>
      <w:lvlText w:val="(%1)"/>
      <w:numFmt w:val="lowerLetter"/>
      <w:start w:val="2"/>
    </w:lvl>
  </w:abstractNum>
  <w:abstractNum w:abstractNumId="431">
    <w:nsid w:val="6505F02E"/>
    <w:multiLevelType w:val="hybridMultilevel"/>
    <w:lvl w:ilvl="0">
      <w:lvlJc w:val="left"/>
      <w:lvlText w:val="(%1)"/>
      <w:numFmt w:val="lowerLetter"/>
      <w:start w:val="1"/>
    </w:lvl>
  </w:abstractNum>
  <w:abstractNum w:abstractNumId="432">
    <w:nsid w:val="2FE5D025"/>
    <w:multiLevelType w:val="hybridMultilevel"/>
    <w:lvl w:ilvl="0">
      <w:lvlJc w:val="left"/>
      <w:lvlText w:val="(%1)"/>
      <w:numFmt w:val="lowerLetter"/>
      <w:start w:val="2"/>
    </w:lvl>
  </w:abstractNum>
  <w:abstractNum w:abstractNumId="433">
    <w:nsid w:val="30E1B1CF"/>
    <w:multiLevelType w:val="hybridMultilevel"/>
    <w:lvl w:ilvl="0">
      <w:lvlJc w:val="left"/>
      <w:lvlText w:val="(%1)"/>
      <w:numFmt w:val="lowerLetter"/>
      <w:start w:val="4"/>
    </w:lvl>
  </w:abstractNum>
  <w:abstractNum w:abstractNumId="434">
    <w:nsid w:val="C7A9237"/>
    <w:multiLevelType w:val="hybridMultilevel"/>
    <w:lvl w:ilvl="0">
      <w:lvlJc w:val="left"/>
      <w:lvlText w:val="(%1)"/>
      <w:numFmt w:val="lowerLetter"/>
      <w:start w:val="1"/>
    </w:lvl>
  </w:abstractNum>
  <w:abstractNum w:abstractNumId="435">
    <w:nsid w:val="676B3580"/>
    <w:multiLevelType w:val="hybridMultilevel"/>
    <w:lvl w:ilvl="0">
      <w:lvlJc w:val="left"/>
      <w:lvlText w:val="%1."/>
      <w:numFmt w:val="decimal"/>
      <w:start w:val="1"/>
    </w:lvl>
    <w:lvl w:ilvl="1">
      <w:lvlJc w:val="left"/>
      <w:lvlText w:val="%2)"/>
      <w:numFmt w:val="lowerLetter"/>
      <w:start w:val="1"/>
    </w:lvl>
  </w:abstractNum>
  <w:abstractNum w:abstractNumId="436">
    <w:nsid w:val="3193C8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437">
    <w:nsid w:val="5FA6C6D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438">
    <w:nsid w:val="77933F6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439">
    <w:nsid w:val="6CB4EE9C"/>
    <w:multiLevelType w:val="hybridMultilevel"/>
    <w:lvl w:ilvl="0">
      <w:lvlJc w:val="left"/>
      <w:lvlText w:val="%1."/>
      <w:numFmt w:val="decimal"/>
      <w:start w:val="1"/>
    </w:lvl>
  </w:abstractNum>
  <w:abstractNum w:abstractNumId="440">
    <w:nsid w:val="6A6D56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2024-08-09T12:14:55Z</dcterms:created>
  <dcterms:modified xsi:type="dcterms:W3CDTF">2024-08-09T12:14:55Z</dcterms:modified>
</cp:coreProperties>
</file>