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088"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088"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088"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088"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088"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088"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088"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088"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jc w:val="center"/>
        <w:ind w:right="-1159"/>
        <w:spacing w:after="0"/>
        <w:rPr>
          <w:sz w:val="20"/>
          <w:szCs w:val="20"/>
          <w:color w:val="auto"/>
        </w:rPr>
      </w:pPr>
      <w:r>
        <w:rPr>
          <w:rFonts w:ascii="Arial" w:cs="Arial" w:eastAsia="Arial" w:hAnsi="Arial"/>
          <w:sz w:val="22"/>
          <w:szCs w:val="22"/>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74295</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4"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088"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139065</wp:posOffset>
            </wp:positionV>
            <wp:extent cx="1292225" cy="180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222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ATN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500 Cummings Center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Beverly, MA 01915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2017 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JUNE 15, 2017</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28, 2017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You are cordially invited to attend our Annual Meeting of Stockholders to be held at ATN's headquarter location, 500 Cummings Center, Suite 2450, Beverly, MA 01915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Thursday, June 15, 2017 at 9:00 a.m. ET, for the following purposes:</w:t>
      </w:r>
    </w:p>
    <w:p>
      <w:pPr>
        <w:spacing w:after="0" w:line="215"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seven directors to hold office until the next annual meeting of stockholders and until their respective successors are elected and qualified;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hold an advisory vote on the compensation of our named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hold an advisory vote on the frequency of future advisory votes on the compensation of our named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selection of PricewaterhouseCoopers LLP as our independent auditor for the fiscal year ending December 31, 2017;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 or any adjournments or postponements thereof.</w:t>
      </w:r>
    </w:p>
    <w:p>
      <w:pPr>
        <w:spacing w:after="0" w:line="211" w:lineRule="exact"/>
        <w:rPr>
          <w:sz w:val="20"/>
          <w:szCs w:val="20"/>
          <w:color w:val="auto"/>
        </w:rPr>
      </w:pPr>
    </w:p>
    <w:p>
      <w:pPr>
        <w:ind w:right="500" w:firstLine="321"/>
        <w:spacing w:after="0" w:line="319" w:lineRule="auto"/>
        <w:rPr>
          <w:sz w:val="20"/>
          <w:szCs w:val="20"/>
          <w:color w:val="auto"/>
        </w:rPr>
      </w:pPr>
      <w:r>
        <w:rPr>
          <w:rFonts w:ascii="Arial" w:cs="Arial" w:eastAsia="Arial" w:hAnsi="Arial"/>
          <w:sz w:val="15"/>
          <w:szCs w:val="15"/>
          <w:color w:val="auto"/>
        </w:rPr>
        <w:t>Stockholders of record at the close of business on April 21, 2017 are entitled to notice of, and to vote at, the Annual Meeting. During the ten days prior to the Annual Meeting, a list of such stockholders will be available for inspection during our ordinary business hours at our office at the address above.</w:t>
      </w:r>
    </w:p>
    <w:p>
      <w:pPr>
        <w:spacing w:after="0" w:line="133" w:lineRule="exact"/>
        <w:rPr>
          <w:sz w:val="20"/>
          <w:szCs w:val="20"/>
          <w:color w:val="auto"/>
        </w:rPr>
      </w:pPr>
    </w:p>
    <w:p>
      <w:pPr>
        <w:ind w:right="220" w:firstLine="318"/>
        <w:spacing w:after="0" w:line="284" w:lineRule="auto"/>
        <w:rPr>
          <w:sz w:val="20"/>
          <w:szCs w:val="20"/>
          <w:color w:val="auto"/>
        </w:rPr>
      </w:pPr>
      <w:r>
        <w:rPr>
          <w:rFonts w:ascii="Arial" w:cs="Arial" w:eastAsia="Arial" w:hAnsi="Arial"/>
          <w:sz w:val="16"/>
          <w:szCs w:val="16"/>
          <w:color w:val="auto"/>
        </w:rPr>
        <w:t>Whether or not you expect to attend the meeting, please complete, date and sign the enclosed proxy card and mail it promptly in the enclosed postage prepaid envelope to ensure that your shares are represented at the Annual Meeting. If you attend the meeting and vote in person, your proxy will not be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Leonard Q. Slap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80" w:type="dxa"/>
            <w:vAlign w:val="bottom"/>
            <w:gridSpan w:val="14"/>
          </w:tcPr>
          <w:p>
            <w:pPr>
              <w:ind w:left="40"/>
              <w:spacing w:after="0"/>
              <w:rPr>
                <w:sz w:val="20"/>
                <w:szCs w:val="20"/>
                <w:color w:val="auto"/>
              </w:rPr>
            </w:pPr>
            <w:r>
              <w:rPr>
                <w:rFonts w:ascii="Arial" w:cs="Arial" w:eastAsia="Arial" w:hAnsi="Arial"/>
                <w:sz w:val="16"/>
                <w:szCs w:val="16"/>
                <w:b w:val="1"/>
                <w:bCs w:val="1"/>
                <w:color w:val="auto"/>
              </w:rPr>
              <w:t>TABLE OF CONTENTS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4"/>
                <w:szCs w:val="24"/>
                <w:color w:val="auto"/>
              </w:rPr>
            </w:pPr>
          </w:p>
        </w:tc>
        <w:tc>
          <w:tcPr>
            <w:tcW w:w="8840" w:type="dxa"/>
            <w:vAlign w:val="bottom"/>
            <w:gridSpan w:val="46"/>
            <w:vMerge w:val="restart"/>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GENERAL INFORMATION ABOUT VOTING</w:t>
              </w:r>
            </w:hyperlink>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840" w:type="dxa"/>
            <w:vAlign w:val="bottom"/>
            <w:gridSpan w:val="46"/>
            <w:vMerge w:val="continue"/>
          </w:tcPr>
          <w:p>
            <w:pPr>
              <w:spacing w:after="0"/>
              <w:rPr>
                <w:sz w:val="13"/>
                <w:szCs w:val="13"/>
                <w:color w:val="auto"/>
              </w:rPr>
            </w:pPr>
          </w:p>
        </w:tc>
        <w:tc>
          <w:tcPr>
            <w:tcW w:w="300" w:type="dxa"/>
            <w:vAlign w:val="bottom"/>
            <w:tcBorders>
              <w:top w:val="single" w:sz="8" w:color="auto"/>
            </w:tcBorders>
            <w:gridSpan w:val="3"/>
          </w:tcPr>
          <w:p>
            <w:pPr>
              <w:jc w:val="right"/>
              <w:spacing w:after="0" w:line="153" w:lineRule="exact"/>
              <w:rPr>
                <w:rFonts w:ascii="Arial" w:cs="Arial" w:eastAsia="Arial" w:hAnsi="Arial"/>
                <w:sz w:val="16"/>
                <w:szCs w:val="16"/>
                <w:color w:val="0000EE"/>
              </w:rPr>
            </w:pPr>
            <w:hyperlink w:anchor="page4">
              <w:r>
                <w:rPr>
                  <w:rFonts w:ascii="Arial" w:cs="Arial" w:eastAsia="Arial" w:hAnsi="Arial"/>
                  <w:sz w:val="16"/>
                  <w:szCs w:val="16"/>
                  <w:color w:val="0000EE"/>
                </w:rPr>
                <w:t>1</w:t>
              </w:r>
            </w:hyperlink>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78" w:lineRule="exact"/>
              <w:rPr>
                <w:rFonts w:ascii="Arial" w:cs="Arial" w:eastAsia="Arial" w:hAnsi="Arial"/>
                <w:sz w:val="16"/>
                <w:szCs w:val="16"/>
                <w:color w:val="0000EE"/>
                <w:w w:val="88"/>
              </w:rPr>
            </w:pPr>
            <w:hyperlink w:anchor="page4">
              <w:r>
                <w:rPr>
                  <w:rFonts w:ascii="Arial" w:cs="Arial" w:eastAsia="Arial" w:hAnsi="Arial"/>
                  <w:sz w:val="16"/>
                  <w:szCs w:val="16"/>
                  <w:color w:val="0000EE"/>
                  <w:w w:val="88"/>
                </w:rPr>
                <w:t>Who Can Vote</w:t>
              </w:r>
            </w:hyperlink>
          </w:p>
        </w:tc>
        <w:tc>
          <w:tcPr>
            <w:tcW w:w="2040" w:type="dxa"/>
            <w:vAlign w:val="bottom"/>
            <w:tcBorders>
              <w:top w:val="single" w:sz="8" w:color="0000EE"/>
            </w:tcBorders>
            <w:gridSpan w:val="24"/>
          </w:tcPr>
          <w:p>
            <w:pPr>
              <w:spacing w:after="0"/>
              <w:rPr>
                <w:sz w:val="15"/>
                <w:szCs w:val="15"/>
                <w:color w:val="auto"/>
              </w:rPr>
            </w:pPr>
          </w:p>
        </w:tc>
        <w:tc>
          <w:tcPr>
            <w:tcW w:w="5700" w:type="dxa"/>
            <w:vAlign w:val="bottom"/>
            <w:gridSpan w:val="17"/>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0000EE"/>
            </w:tcBorders>
          </w:tcPr>
          <w:p>
            <w:pPr>
              <w:spacing w:after="0" w:line="178" w:lineRule="exact"/>
              <w:rPr>
                <w:rFonts w:ascii="Arial" w:cs="Arial" w:eastAsia="Arial" w:hAnsi="Arial"/>
                <w:sz w:val="16"/>
                <w:szCs w:val="16"/>
                <w:color w:val="0000EE"/>
                <w:w w:val="88"/>
              </w:rPr>
            </w:pPr>
            <w:hyperlink w:anchor="page4">
              <w:r>
                <w:rPr>
                  <w:rFonts w:ascii="Arial" w:cs="Arial" w:eastAsia="Arial" w:hAnsi="Arial"/>
                  <w:sz w:val="16"/>
                  <w:szCs w:val="16"/>
                  <w:color w:val="0000EE"/>
                  <w:w w:val="88"/>
                </w:rPr>
                <w:t>Voting</w:t>
              </w:r>
            </w:hyperlink>
          </w:p>
        </w:tc>
        <w:tc>
          <w:tcPr>
            <w:tcW w:w="8260" w:type="dxa"/>
            <w:vAlign w:val="bottom"/>
            <w:gridSpan w:val="44"/>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Quorum</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0000EE"/>
            </w:tcBorders>
            <w:gridSpan w:val="5"/>
          </w:tcPr>
          <w:p>
            <w:pPr>
              <w:spacing w:after="0" w:line="178" w:lineRule="exact"/>
              <w:rPr>
                <w:rFonts w:ascii="Arial" w:cs="Arial" w:eastAsia="Arial" w:hAnsi="Arial"/>
                <w:sz w:val="16"/>
                <w:szCs w:val="16"/>
                <w:color w:val="0000EE"/>
                <w:w w:val="87"/>
              </w:rPr>
            </w:pPr>
            <w:hyperlink w:anchor="page5">
              <w:r>
                <w:rPr>
                  <w:rFonts w:ascii="Arial" w:cs="Arial" w:eastAsia="Arial" w:hAnsi="Arial"/>
                  <w:sz w:val="16"/>
                  <w:szCs w:val="16"/>
                  <w:color w:val="0000EE"/>
                  <w:w w:val="87"/>
                </w:rPr>
                <w:t>Votes Required</w:t>
              </w:r>
            </w:hyperlink>
          </w:p>
        </w:tc>
        <w:tc>
          <w:tcPr>
            <w:tcW w:w="7700" w:type="dxa"/>
            <w:vAlign w:val="bottom"/>
            <w:gridSpan w:val="40"/>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Revocability of Proxies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80" w:type="dxa"/>
            <w:vAlign w:val="bottom"/>
            <w:tcBorders>
              <w:bottom w:val="single" w:sz="8" w:color="0000EE"/>
            </w:tcBorders>
            <w:gridSpan w:val="35"/>
          </w:tcPr>
          <w:p>
            <w:pPr>
              <w:spacing w:after="0" w:line="178" w:lineRule="exact"/>
              <w:rPr>
                <w:rFonts w:ascii="Arial" w:cs="Arial" w:eastAsia="Arial" w:hAnsi="Arial"/>
                <w:sz w:val="16"/>
                <w:szCs w:val="16"/>
                <w:color w:val="0000EE"/>
                <w:w w:val="91"/>
              </w:rPr>
            </w:pPr>
            <w:hyperlink w:anchor="page6">
              <w:r>
                <w:rPr>
                  <w:rFonts w:ascii="Arial" w:cs="Arial" w:eastAsia="Arial" w:hAnsi="Arial"/>
                  <w:sz w:val="16"/>
                  <w:szCs w:val="16"/>
                  <w:color w:val="0000EE"/>
                  <w:w w:val="91"/>
                </w:rPr>
                <w:t>Where Can I Find the Voting Results of the Annual Meeting</w:t>
              </w:r>
            </w:hyperlink>
          </w:p>
        </w:tc>
        <w:tc>
          <w:tcPr>
            <w:tcW w:w="4800" w:type="dxa"/>
            <w:vAlign w:val="bottom"/>
            <w:gridSpan w:val="10"/>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Borders>
              <w:bottom w:val="single" w:sz="8" w:color="0000EE"/>
            </w:tcBorders>
            <w:gridSpan w:val="6"/>
          </w:tcPr>
          <w:p>
            <w:pPr>
              <w:spacing w:after="0" w:line="178"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Solicitation Expenses</w:t>
              </w:r>
            </w:hyperlink>
          </w:p>
        </w:tc>
        <w:tc>
          <w:tcPr>
            <w:tcW w:w="7300" w:type="dxa"/>
            <w:vAlign w:val="bottom"/>
            <w:gridSpan w:val="39"/>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Borders>
              <w:bottom w:val="single" w:sz="8" w:color="0000EE"/>
            </w:tcBorders>
            <w:gridSpan w:val="24"/>
          </w:tcPr>
          <w:p>
            <w:pPr>
              <w:spacing w:after="0" w:line="178" w:lineRule="exact"/>
              <w:rPr>
                <w:rFonts w:ascii="Arial" w:cs="Arial" w:eastAsia="Arial" w:hAnsi="Arial"/>
                <w:sz w:val="16"/>
                <w:szCs w:val="16"/>
                <w:color w:val="0000EE"/>
                <w:w w:val="94"/>
              </w:rPr>
            </w:pPr>
            <w:hyperlink w:anchor="page6">
              <w:r>
                <w:rPr>
                  <w:rFonts w:ascii="Arial" w:cs="Arial" w:eastAsia="Arial" w:hAnsi="Arial"/>
                  <w:sz w:val="16"/>
                  <w:szCs w:val="16"/>
                  <w:color w:val="0000EE"/>
                  <w:w w:val="94"/>
                </w:rPr>
                <w:t>Who to Contact for Additional Information</w:t>
              </w:r>
            </w:hyperlink>
          </w:p>
        </w:tc>
        <w:tc>
          <w:tcPr>
            <w:tcW w:w="5900" w:type="dxa"/>
            <w:vAlign w:val="bottom"/>
            <w:gridSpan w:val="21"/>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tcBorders>
              <w:bottom w:val="single" w:sz="8" w:color="0000EE"/>
            </w:tcBorders>
            <w:gridSpan w:val="44"/>
          </w:tcPr>
          <w:p>
            <w:pPr>
              <w:spacing w:after="0" w:line="178" w:lineRule="exact"/>
              <w:rPr>
                <w:rFonts w:ascii="Arial" w:cs="Arial" w:eastAsia="Arial" w:hAnsi="Arial"/>
                <w:sz w:val="16"/>
                <w:szCs w:val="16"/>
                <w:color w:val="0000EE"/>
                <w:w w:val="96"/>
              </w:rPr>
            </w:pPr>
            <w:hyperlink w:anchor="page7">
              <w:r>
                <w:rPr>
                  <w:rFonts w:ascii="Arial" w:cs="Arial" w:eastAsia="Arial" w:hAnsi="Arial"/>
                  <w:sz w:val="16"/>
                  <w:szCs w:val="16"/>
                  <w:color w:val="0000EE"/>
                  <w:w w:val="96"/>
                </w:rPr>
                <w:t>SECURITY OWNERSHIP OF CERTAIN BENEFICIAL OWNERS AND MANAGEMENT</w:t>
              </w:r>
            </w:hyperlink>
          </w:p>
        </w:tc>
        <w:tc>
          <w:tcPr>
            <w:tcW w:w="284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33"/>
          </w:tcPr>
          <w:p>
            <w:pPr>
              <w:spacing w:after="0" w:line="178" w:lineRule="exact"/>
              <w:rPr>
                <w:rFonts w:ascii="Arial" w:cs="Arial" w:eastAsia="Arial" w:hAnsi="Arial"/>
                <w:sz w:val="16"/>
                <w:szCs w:val="16"/>
                <w:color w:val="0000EE"/>
                <w:w w:val="91"/>
              </w:rPr>
            </w:pPr>
            <w:hyperlink w:anchor="page9">
              <w:r>
                <w:rPr>
                  <w:rFonts w:ascii="Arial" w:cs="Arial" w:eastAsia="Arial" w:hAnsi="Arial"/>
                  <w:sz w:val="16"/>
                  <w:szCs w:val="16"/>
                  <w:color w:val="0000EE"/>
                  <w:w w:val="91"/>
                </w:rPr>
                <w:t>Section 16(a) Beneficial Ownership Reporting Compliance</w:t>
              </w:r>
            </w:hyperlink>
          </w:p>
        </w:tc>
        <w:tc>
          <w:tcPr>
            <w:tcW w:w="4880" w:type="dxa"/>
            <w:vAlign w:val="bottom"/>
            <w:gridSpan w:val="12"/>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9">
              <w:r>
                <w:rPr>
                  <w:rFonts w:ascii="Arial" w:cs="Arial" w:eastAsia="Arial" w:hAnsi="Arial"/>
                  <w:sz w:val="15"/>
                  <w:szCs w:val="15"/>
                  <w:color w:val="0000EE"/>
                  <w:w w:val="71"/>
                </w:rPr>
                <w:t>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10">
              <w:r>
                <w:rPr>
                  <w:rFonts w:ascii="Arial" w:cs="Arial" w:eastAsia="Arial" w:hAnsi="Arial"/>
                  <w:sz w:val="16"/>
                  <w:szCs w:val="16"/>
                  <w:color w:val="0000EE"/>
                </w:rPr>
                <w:t>PROPOSAL 1—ELECTION OF DIRECTORS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0">
              <w:r>
                <w:rPr>
                  <w:rFonts w:ascii="Arial" w:cs="Arial" w:eastAsia="Arial" w:hAnsi="Arial"/>
                  <w:sz w:val="16"/>
                  <w:szCs w:val="16"/>
                  <w:color w:val="0000EE"/>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87"/>
              </w:rPr>
            </w:pPr>
            <w:hyperlink w:anchor="page10">
              <w:r>
                <w:rPr>
                  <w:rFonts w:ascii="Arial" w:cs="Arial" w:eastAsia="Arial" w:hAnsi="Arial"/>
                  <w:sz w:val="16"/>
                  <w:szCs w:val="16"/>
                  <w:color w:val="0000EE"/>
                  <w:w w:val="87"/>
                </w:rPr>
                <w:t>Vote Required</w:t>
              </w:r>
            </w:hyperlink>
          </w:p>
        </w:tc>
        <w:tc>
          <w:tcPr>
            <w:tcW w:w="1980" w:type="dxa"/>
            <w:vAlign w:val="bottom"/>
            <w:tcBorders>
              <w:top w:val="single" w:sz="8" w:color="0000EE"/>
            </w:tcBorders>
            <w:gridSpan w:val="23"/>
          </w:tcPr>
          <w:p>
            <w:pPr>
              <w:spacing w:after="0"/>
              <w:rPr>
                <w:sz w:val="15"/>
                <w:szCs w:val="15"/>
                <w:color w:val="auto"/>
              </w:rPr>
            </w:pPr>
          </w:p>
        </w:tc>
        <w:tc>
          <w:tcPr>
            <w:tcW w:w="5780" w:type="dxa"/>
            <w:vAlign w:val="bottom"/>
            <w:gridSpan w:val="19"/>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78" w:lineRule="exact"/>
              <w:rPr>
                <w:rFonts w:ascii="Arial" w:cs="Arial" w:eastAsia="Arial" w:hAnsi="Arial"/>
                <w:sz w:val="16"/>
                <w:szCs w:val="16"/>
                <w:color w:val="0000EE"/>
                <w:w w:val="91"/>
              </w:rPr>
            </w:pPr>
            <w:hyperlink w:anchor="page10">
              <w:r>
                <w:rPr>
                  <w:rFonts w:ascii="Arial" w:cs="Arial" w:eastAsia="Arial" w:hAnsi="Arial"/>
                  <w:sz w:val="16"/>
                  <w:szCs w:val="16"/>
                  <w:color w:val="0000EE"/>
                  <w:w w:val="91"/>
                </w:rPr>
                <w:t>Recommendation of our Board of Directors</w:t>
              </w:r>
            </w:hyperlink>
          </w:p>
        </w:tc>
        <w:tc>
          <w:tcPr>
            <w:tcW w:w="5880" w:type="dxa"/>
            <w:vAlign w:val="bottom"/>
            <w:gridSpan w:val="20"/>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11">
              <w:r>
                <w:rPr>
                  <w:rFonts w:ascii="Arial" w:cs="Arial" w:eastAsia="Arial" w:hAnsi="Arial"/>
                  <w:sz w:val="16"/>
                  <w:szCs w:val="16"/>
                  <w:color w:val="0000EE"/>
                </w:rPr>
                <w:t>PROPOSAL 2—ADVISORY VOTE ON EXECUTIVE COMPENSATION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1">
              <w:r>
                <w:rPr>
                  <w:rFonts w:ascii="Arial" w:cs="Arial" w:eastAsia="Arial" w:hAnsi="Arial"/>
                  <w:sz w:val="16"/>
                  <w:szCs w:val="16"/>
                  <w:color w:val="0000EE"/>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87"/>
              </w:rPr>
            </w:pPr>
            <w:hyperlink w:anchor="page11">
              <w:r>
                <w:rPr>
                  <w:rFonts w:ascii="Arial" w:cs="Arial" w:eastAsia="Arial" w:hAnsi="Arial"/>
                  <w:sz w:val="16"/>
                  <w:szCs w:val="16"/>
                  <w:color w:val="0000EE"/>
                  <w:w w:val="87"/>
                </w:rPr>
                <w:t>Vote Required</w:t>
              </w:r>
            </w:hyperlink>
          </w:p>
        </w:tc>
        <w:tc>
          <w:tcPr>
            <w:tcW w:w="3800" w:type="dxa"/>
            <w:vAlign w:val="bottom"/>
            <w:tcBorders>
              <w:top w:val="single" w:sz="8" w:color="0000EE"/>
            </w:tcBorders>
            <w:gridSpan w:val="38"/>
          </w:tcPr>
          <w:p>
            <w:pPr>
              <w:spacing w:after="0"/>
              <w:rPr>
                <w:sz w:val="15"/>
                <w:szCs w:val="15"/>
                <w:color w:val="auto"/>
              </w:rPr>
            </w:pPr>
          </w:p>
        </w:tc>
        <w:tc>
          <w:tcPr>
            <w:tcW w:w="3960" w:type="dxa"/>
            <w:vAlign w:val="bottom"/>
            <w:gridSpan w:val="4"/>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78" w:lineRule="exact"/>
              <w:rPr>
                <w:rFonts w:ascii="Arial" w:cs="Arial" w:eastAsia="Arial" w:hAnsi="Arial"/>
                <w:sz w:val="16"/>
                <w:szCs w:val="16"/>
                <w:color w:val="0000EE"/>
                <w:w w:val="91"/>
              </w:rPr>
            </w:pPr>
            <w:hyperlink w:anchor="page11">
              <w:r>
                <w:rPr>
                  <w:rFonts w:ascii="Arial" w:cs="Arial" w:eastAsia="Arial" w:hAnsi="Arial"/>
                  <w:sz w:val="16"/>
                  <w:szCs w:val="16"/>
                  <w:color w:val="0000EE"/>
                  <w:w w:val="91"/>
                </w:rPr>
                <w:t>Recommendation of our Board of Directors</w:t>
              </w:r>
            </w:hyperlink>
          </w:p>
        </w:tc>
        <w:tc>
          <w:tcPr>
            <w:tcW w:w="5880" w:type="dxa"/>
            <w:vAlign w:val="bottom"/>
            <w:gridSpan w:val="20"/>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6600" w:type="dxa"/>
            <w:vAlign w:val="bottom"/>
            <w:tcBorders>
              <w:bottom w:val="single" w:sz="8" w:color="0000EE"/>
            </w:tcBorders>
            <w:gridSpan w:val="45"/>
          </w:tcPr>
          <w:p>
            <w:pPr>
              <w:spacing w:after="0" w:line="178" w:lineRule="exact"/>
              <w:rPr>
                <w:rFonts w:ascii="Arial" w:cs="Arial" w:eastAsia="Arial" w:hAnsi="Arial"/>
                <w:sz w:val="16"/>
                <w:szCs w:val="16"/>
                <w:color w:val="0000EE"/>
                <w:w w:val="95"/>
              </w:rPr>
            </w:pPr>
            <w:hyperlink w:anchor="page12">
              <w:r>
                <w:rPr>
                  <w:rFonts w:ascii="Arial" w:cs="Arial" w:eastAsia="Arial" w:hAnsi="Arial"/>
                  <w:sz w:val="16"/>
                  <w:szCs w:val="16"/>
                  <w:color w:val="0000EE"/>
                  <w:w w:val="95"/>
                </w:rPr>
                <w:t>PROPOSAL 3—ADVISORY VOTE ON FREQUENCY OF EXECUTIVE COMPENSATION VOTE</w:t>
              </w:r>
            </w:hyperlink>
          </w:p>
        </w:tc>
        <w:tc>
          <w:tcPr>
            <w:tcW w:w="22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78" w:lineRule="exact"/>
              <w:rPr>
                <w:rFonts w:ascii="Arial" w:cs="Arial" w:eastAsia="Arial" w:hAnsi="Arial"/>
                <w:sz w:val="16"/>
                <w:szCs w:val="16"/>
                <w:color w:val="0000EE"/>
                <w:w w:val="87"/>
              </w:rPr>
            </w:pPr>
            <w:hyperlink w:anchor="page12">
              <w:r>
                <w:rPr>
                  <w:rFonts w:ascii="Arial" w:cs="Arial" w:eastAsia="Arial" w:hAnsi="Arial"/>
                  <w:sz w:val="16"/>
                  <w:szCs w:val="16"/>
                  <w:color w:val="0000EE"/>
                  <w:w w:val="87"/>
                </w:rPr>
                <w:t>Vote Required</w:t>
              </w:r>
            </w:hyperlink>
          </w:p>
        </w:tc>
        <w:tc>
          <w:tcPr>
            <w:tcW w:w="7760" w:type="dxa"/>
            <w:vAlign w:val="bottom"/>
            <w:gridSpan w:val="42"/>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78" w:lineRule="exact"/>
              <w:rPr>
                <w:rFonts w:ascii="Arial" w:cs="Arial" w:eastAsia="Arial" w:hAnsi="Arial"/>
                <w:sz w:val="16"/>
                <w:szCs w:val="16"/>
                <w:color w:val="0000EE"/>
                <w:w w:val="91"/>
              </w:rPr>
            </w:pPr>
            <w:hyperlink w:anchor="page12">
              <w:r>
                <w:rPr>
                  <w:rFonts w:ascii="Arial" w:cs="Arial" w:eastAsia="Arial" w:hAnsi="Arial"/>
                  <w:sz w:val="16"/>
                  <w:szCs w:val="16"/>
                  <w:color w:val="0000EE"/>
                  <w:w w:val="91"/>
                </w:rPr>
                <w:t>Recommendation of our Board of Directors</w:t>
              </w:r>
            </w:hyperlink>
          </w:p>
        </w:tc>
        <w:tc>
          <w:tcPr>
            <w:tcW w:w="5880" w:type="dxa"/>
            <w:vAlign w:val="bottom"/>
            <w:gridSpan w:val="20"/>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4740" w:type="dxa"/>
            <w:vAlign w:val="bottom"/>
            <w:tcBorders>
              <w:bottom w:val="single" w:sz="8" w:color="0000EE"/>
            </w:tcBorders>
            <w:gridSpan w:val="41"/>
          </w:tcPr>
          <w:p>
            <w:pPr>
              <w:spacing w:after="0" w:line="178" w:lineRule="exact"/>
              <w:rPr>
                <w:rFonts w:ascii="Arial" w:cs="Arial" w:eastAsia="Arial" w:hAnsi="Arial"/>
                <w:sz w:val="16"/>
                <w:szCs w:val="16"/>
                <w:color w:val="0000EE"/>
                <w:w w:val="97"/>
              </w:rPr>
            </w:pPr>
            <w:hyperlink w:anchor="page13">
              <w:r>
                <w:rPr>
                  <w:rFonts w:ascii="Arial" w:cs="Arial" w:eastAsia="Arial" w:hAnsi="Arial"/>
                  <w:sz w:val="16"/>
                  <w:szCs w:val="16"/>
                  <w:color w:val="0000EE"/>
                  <w:w w:val="97"/>
                </w:rPr>
                <w:t>DIRECTOR AND NOMINEE EXPERIENCE AND QUALIFICATIONS</w:t>
              </w:r>
            </w:hyperlink>
          </w:p>
        </w:tc>
        <w:tc>
          <w:tcPr>
            <w:tcW w:w="410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3">
              <w:r>
                <w:rPr>
                  <w:rFonts w:ascii="Arial" w:cs="Arial" w:eastAsia="Arial" w:hAnsi="Arial"/>
                  <w:sz w:val="16"/>
                  <w:szCs w:val="16"/>
                  <w:color w:val="0000EE"/>
                  <w:w w:val="78"/>
                </w:rPr>
                <w:t>10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PROPOSAL 4—RATIFICATION OF SELECTION OF INDEPENDENT AUDITOR</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13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87"/>
              </w:rPr>
            </w:pPr>
            <w:hyperlink w:anchor="page16">
              <w:r>
                <w:rPr>
                  <w:rFonts w:ascii="Arial" w:cs="Arial" w:eastAsia="Arial" w:hAnsi="Arial"/>
                  <w:sz w:val="16"/>
                  <w:szCs w:val="16"/>
                  <w:color w:val="0000EE"/>
                  <w:w w:val="87"/>
                </w:rPr>
                <w:t>Vote Required</w:t>
              </w:r>
            </w:hyperlink>
          </w:p>
        </w:tc>
        <w:tc>
          <w:tcPr>
            <w:tcW w:w="4420" w:type="dxa"/>
            <w:vAlign w:val="bottom"/>
            <w:tcBorders>
              <w:top w:val="single" w:sz="8" w:color="0000EE"/>
            </w:tcBorders>
            <w:gridSpan w:val="39"/>
          </w:tcPr>
          <w:p>
            <w:pPr>
              <w:spacing w:after="0"/>
              <w:rPr>
                <w:sz w:val="15"/>
                <w:szCs w:val="15"/>
                <w:color w:val="auto"/>
              </w:rPr>
            </w:pPr>
          </w:p>
        </w:tc>
        <w:tc>
          <w:tcPr>
            <w:tcW w:w="334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6">
              <w:r>
                <w:rPr>
                  <w:rFonts w:ascii="Arial" w:cs="Arial" w:eastAsia="Arial" w:hAnsi="Arial"/>
                  <w:sz w:val="16"/>
                  <w:szCs w:val="16"/>
                  <w:color w:val="0000EE"/>
                  <w:w w:val="78"/>
                </w:rPr>
                <w:t>13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0000EE"/>
            </w:tcBorders>
            <w:gridSpan w:val="25"/>
          </w:tcPr>
          <w:p>
            <w:pPr>
              <w:spacing w:after="0" w:line="178" w:lineRule="exact"/>
              <w:rPr>
                <w:rFonts w:ascii="Arial" w:cs="Arial" w:eastAsia="Arial" w:hAnsi="Arial"/>
                <w:sz w:val="16"/>
                <w:szCs w:val="16"/>
                <w:color w:val="0000EE"/>
                <w:w w:val="91"/>
              </w:rPr>
            </w:pPr>
            <w:hyperlink w:anchor="page16">
              <w:r>
                <w:rPr>
                  <w:rFonts w:ascii="Arial" w:cs="Arial" w:eastAsia="Arial" w:hAnsi="Arial"/>
                  <w:sz w:val="16"/>
                  <w:szCs w:val="16"/>
                  <w:color w:val="0000EE"/>
                  <w:w w:val="91"/>
                </w:rPr>
                <w:t>Recommendation of our Board of Directors</w:t>
              </w:r>
            </w:hyperlink>
          </w:p>
        </w:tc>
        <w:tc>
          <w:tcPr>
            <w:tcW w:w="588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6">
              <w:r>
                <w:rPr>
                  <w:rFonts w:ascii="Arial" w:cs="Arial" w:eastAsia="Arial" w:hAnsi="Arial"/>
                  <w:sz w:val="16"/>
                  <w:szCs w:val="16"/>
                  <w:color w:val="0000EE"/>
                  <w:w w:val="78"/>
                </w:rPr>
                <w:t>13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2100" w:type="dxa"/>
            <w:vAlign w:val="bottom"/>
            <w:tcBorders>
              <w:bottom w:val="single" w:sz="8" w:color="0000EE"/>
            </w:tcBorders>
            <w:gridSpan w:val="13"/>
          </w:tcPr>
          <w:p>
            <w:pPr>
              <w:spacing w:after="0" w:line="178" w:lineRule="exact"/>
              <w:rPr>
                <w:rFonts w:ascii="Arial" w:cs="Arial" w:eastAsia="Arial" w:hAnsi="Arial"/>
                <w:sz w:val="16"/>
                <w:szCs w:val="16"/>
                <w:color w:val="0000EE"/>
                <w:w w:val="94"/>
              </w:rPr>
            </w:pPr>
            <w:hyperlink w:anchor="page17">
              <w:r>
                <w:rPr>
                  <w:rFonts w:ascii="Arial" w:cs="Arial" w:eastAsia="Arial" w:hAnsi="Arial"/>
                  <w:sz w:val="16"/>
                  <w:szCs w:val="16"/>
                  <w:color w:val="0000EE"/>
                  <w:w w:val="94"/>
                </w:rPr>
                <w:t>CORPORATE GOVERNANCE</w:t>
              </w:r>
            </w:hyperlink>
          </w:p>
        </w:tc>
        <w:tc>
          <w:tcPr>
            <w:tcW w:w="6740" w:type="dxa"/>
            <w:vAlign w:val="bottom"/>
            <w:gridSpan w:val="3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7">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General</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Board Leadership Structure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Director Nomination Process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Determination of Independence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15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60" w:type="dxa"/>
            <w:vAlign w:val="bottom"/>
            <w:tcBorders>
              <w:bottom w:val="single" w:sz="8" w:color="0000EE"/>
            </w:tcBorders>
            <w:gridSpan w:val="32"/>
          </w:tcPr>
          <w:p>
            <w:pPr>
              <w:spacing w:after="0" w:line="178" w:lineRule="exact"/>
              <w:rPr>
                <w:rFonts w:ascii="Arial" w:cs="Arial" w:eastAsia="Arial" w:hAnsi="Arial"/>
                <w:sz w:val="16"/>
                <w:szCs w:val="16"/>
                <w:color w:val="0000EE"/>
                <w:w w:val="90"/>
              </w:rPr>
            </w:pPr>
            <w:hyperlink w:anchor="page19">
              <w:r>
                <w:rPr>
                  <w:rFonts w:ascii="Arial" w:cs="Arial" w:eastAsia="Arial" w:hAnsi="Arial"/>
                  <w:sz w:val="16"/>
                  <w:szCs w:val="16"/>
                  <w:color w:val="0000EE"/>
                  <w:w w:val="90"/>
                </w:rPr>
                <w:t>Nominating and Corporate Governance Committee Report</w:t>
              </w:r>
            </w:hyperlink>
          </w:p>
        </w:tc>
        <w:tc>
          <w:tcPr>
            <w:tcW w:w="492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Risk Management and Risk Assessment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16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Communications from Stockholders and Other Interested Parties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17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top w:val="single" w:sz="8" w:color="0000EE"/>
            </w:tcBorders>
            <w:gridSpan w:val="37"/>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Board of Directors' Meetings and Committees</w:t>
              </w:r>
            </w:hyperlink>
          </w:p>
        </w:tc>
        <w:tc>
          <w:tcPr>
            <w:tcW w:w="454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0">
              <w:r>
                <w:rPr>
                  <w:rFonts w:ascii="Arial" w:cs="Arial" w:eastAsia="Arial" w:hAnsi="Arial"/>
                  <w:sz w:val="16"/>
                  <w:szCs w:val="16"/>
                  <w:color w:val="0000EE"/>
                  <w:w w:val="78"/>
                </w:rPr>
                <w:t>17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Compensation Committee Interlocks and Insider Participation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19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920" w:type="dxa"/>
            <w:vAlign w:val="bottom"/>
            <w:tcBorders>
              <w:bottom w:val="single" w:sz="8" w:color="0000EE"/>
            </w:tcBorders>
            <w:gridSpan w:val="10"/>
          </w:tcPr>
          <w:p>
            <w:pPr>
              <w:spacing w:after="0" w:line="178" w:lineRule="exact"/>
              <w:rPr>
                <w:rFonts w:ascii="Arial" w:cs="Arial" w:eastAsia="Arial" w:hAnsi="Arial"/>
                <w:sz w:val="16"/>
                <w:szCs w:val="16"/>
                <w:color w:val="0000EE"/>
                <w:w w:val="98"/>
              </w:rPr>
            </w:pPr>
            <w:hyperlink w:anchor="page23">
              <w:r>
                <w:rPr>
                  <w:rFonts w:ascii="Arial" w:cs="Arial" w:eastAsia="Arial" w:hAnsi="Arial"/>
                  <w:sz w:val="16"/>
                  <w:szCs w:val="16"/>
                  <w:color w:val="0000EE"/>
                  <w:w w:val="98"/>
                </w:rPr>
                <w:t>INDEPENDENT AUDITOR</w:t>
              </w:r>
            </w:hyperlink>
          </w:p>
        </w:tc>
        <w:tc>
          <w:tcPr>
            <w:tcW w:w="6920" w:type="dxa"/>
            <w:vAlign w:val="bottom"/>
            <w:gridSpan w:val="3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20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bottom w:val="single" w:sz="8" w:color="0000EE"/>
            </w:tcBorders>
            <w:gridSpan w:val="20"/>
          </w:tcPr>
          <w:p>
            <w:pPr>
              <w:spacing w:after="0" w:line="178" w:lineRule="exact"/>
              <w:rPr>
                <w:rFonts w:ascii="Arial" w:cs="Arial" w:eastAsia="Arial" w:hAnsi="Arial"/>
                <w:sz w:val="16"/>
                <w:szCs w:val="16"/>
                <w:color w:val="0000EE"/>
                <w:w w:val="88"/>
              </w:rPr>
            </w:pPr>
            <w:hyperlink w:anchor="page23">
              <w:r>
                <w:rPr>
                  <w:rFonts w:ascii="Arial" w:cs="Arial" w:eastAsia="Arial" w:hAnsi="Arial"/>
                  <w:sz w:val="16"/>
                  <w:szCs w:val="16"/>
                  <w:color w:val="0000EE"/>
                  <w:w w:val="88"/>
                </w:rPr>
                <w:t>Independent Auditor Fees and Services</w:t>
              </w:r>
            </w:hyperlink>
          </w:p>
        </w:tc>
        <w:tc>
          <w:tcPr>
            <w:tcW w:w="6160" w:type="dxa"/>
            <w:vAlign w:val="bottom"/>
            <w:gridSpan w:val="2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20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Borders>
              <w:bottom w:val="single" w:sz="8" w:color="0000EE"/>
            </w:tcBorders>
            <w:gridSpan w:val="31"/>
          </w:tcPr>
          <w:p>
            <w:pPr>
              <w:spacing w:after="0" w:line="178" w:lineRule="exact"/>
              <w:rPr>
                <w:rFonts w:ascii="Arial" w:cs="Arial" w:eastAsia="Arial" w:hAnsi="Arial"/>
                <w:sz w:val="16"/>
                <w:szCs w:val="16"/>
                <w:color w:val="0000EE"/>
                <w:w w:val="91"/>
              </w:rPr>
            </w:pPr>
            <w:hyperlink w:anchor="page24">
              <w:r>
                <w:rPr>
                  <w:rFonts w:ascii="Arial" w:cs="Arial" w:eastAsia="Arial" w:hAnsi="Arial"/>
                  <w:sz w:val="16"/>
                  <w:szCs w:val="16"/>
                  <w:color w:val="0000EE"/>
                  <w:w w:val="91"/>
                </w:rPr>
                <w:t>Audit Committee Pre-Approval Policy and Procedures</w:t>
              </w:r>
            </w:hyperlink>
          </w:p>
        </w:tc>
        <w:tc>
          <w:tcPr>
            <w:tcW w:w="5180" w:type="dxa"/>
            <w:vAlign w:val="bottom"/>
            <w:gridSpan w:val="14"/>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4">
              <w:r>
                <w:rPr>
                  <w:rFonts w:ascii="Arial" w:cs="Arial" w:eastAsia="Arial" w:hAnsi="Arial"/>
                  <w:sz w:val="16"/>
                  <w:szCs w:val="16"/>
                  <w:color w:val="0000EE"/>
                  <w:w w:val="78"/>
                </w:rPr>
                <w:t>21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Audit Committee Report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21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25">
              <w:r>
                <w:rPr>
                  <w:rFonts w:ascii="Arial" w:cs="Arial" w:eastAsia="Arial" w:hAnsi="Arial"/>
                  <w:sz w:val="16"/>
                  <w:szCs w:val="16"/>
                  <w:color w:val="0000EE"/>
                </w:rPr>
                <w:t>EXECUTIVE OFFICER COMPENSATION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5">
              <w:r>
                <w:rPr>
                  <w:rFonts w:ascii="Arial" w:cs="Arial" w:eastAsia="Arial" w:hAnsi="Arial"/>
                  <w:sz w:val="16"/>
                  <w:szCs w:val="16"/>
                  <w:color w:val="0000EE"/>
                </w:rPr>
                <w:t>22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560" w:type="dxa"/>
            <w:vAlign w:val="bottom"/>
            <w:tcBorders>
              <w:top w:val="single" w:sz="8" w:color="0000EE"/>
              <w:bottom w:val="single" w:sz="8" w:color="0000EE"/>
            </w:tcBorders>
            <w:gridSpan w:val="21"/>
          </w:tcPr>
          <w:p>
            <w:pPr>
              <w:spacing w:after="0" w:line="178" w:lineRule="exact"/>
              <w:rPr>
                <w:rFonts w:ascii="Arial" w:cs="Arial" w:eastAsia="Arial" w:hAnsi="Arial"/>
                <w:sz w:val="16"/>
                <w:szCs w:val="16"/>
                <w:color w:val="0000EE"/>
                <w:w w:val="89"/>
              </w:rPr>
            </w:pPr>
            <w:hyperlink w:anchor="page25">
              <w:r>
                <w:rPr>
                  <w:rFonts w:ascii="Arial" w:cs="Arial" w:eastAsia="Arial" w:hAnsi="Arial"/>
                  <w:sz w:val="16"/>
                  <w:szCs w:val="16"/>
                  <w:color w:val="0000EE"/>
                  <w:w w:val="89"/>
                </w:rPr>
                <w:t>Compensation Discussion and Analysis</w:t>
              </w:r>
            </w:hyperlink>
          </w:p>
        </w:tc>
        <w:tc>
          <w:tcPr>
            <w:tcW w:w="160" w:type="dxa"/>
            <w:vAlign w:val="bottom"/>
            <w:tcBorders>
              <w:top w:val="single" w:sz="8" w:color="0000EE"/>
            </w:tcBorders>
          </w:tcPr>
          <w:p>
            <w:pPr>
              <w:spacing w:after="0"/>
              <w:rPr>
                <w:sz w:val="15"/>
                <w:szCs w:val="15"/>
                <w:color w:val="auto"/>
              </w:rPr>
            </w:pPr>
          </w:p>
        </w:tc>
        <w:tc>
          <w:tcPr>
            <w:tcW w:w="5960" w:type="dxa"/>
            <w:vAlign w:val="bottom"/>
            <w:gridSpan w:val="2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5">
              <w:r>
                <w:rPr>
                  <w:rFonts w:ascii="Arial" w:cs="Arial" w:eastAsia="Arial" w:hAnsi="Arial"/>
                  <w:sz w:val="16"/>
                  <w:szCs w:val="16"/>
                  <w:color w:val="0000EE"/>
                  <w:w w:val="78"/>
                </w:rPr>
                <w:t>22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1">
              <w:r>
                <w:rPr>
                  <w:rFonts w:ascii="Arial" w:cs="Arial" w:eastAsia="Arial" w:hAnsi="Arial"/>
                  <w:sz w:val="16"/>
                  <w:szCs w:val="16"/>
                  <w:color w:val="0000EE"/>
                </w:rPr>
                <w:t>Compensation Committee Report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11"/>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bottom w:val="single" w:sz="8" w:color="0000EE"/>
            </w:tcBorders>
            <w:gridSpan w:val="16"/>
          </w:tcPr>
          <w:p>
            <w:pPr>
              <w:spacing w:after="0" w:line="178" w:lineRule="exact"/>
              <w:rPr>
                <w:rFonts w:ascii="Arial" w:cs="Arial" w:eastAsia="Arial" w:hAnsi="Arial"/>
                <w:sz w:val="16"/>
                <w:szCs w:val="16"/>
                <w:color w:val="0000EE"/>
                <w:w w:val="89"/>
              </w:rPr>
            </w:pPr>
            <w:hyperlink w:anchor="page32">
              <w:r>
                <w:rPr>
                  <w:rFonts w:ascii="Arial" w:cs="Arial" w:eastAsia="Arial" w:hAnsi="Arial"/>
                  <w:sz w:val="16"/>
                  <w:szCs w:val="16"/>
                  <w:color w:val="0000EE"/>
                  <w:w w:val="89"/>
                </w:rPr>
                <w:t>2016 Summary Compensation Table</w:t>
              </w:r>
            </w:hyperlink>
          </w:p>
        </w:tc>
        <w:tc>
          <w:tcPr>
            <w:tcW w:w="6340" w:type="dxa"/>
            <w:vAlign w:val="bottom"/>
            <w:gridSpan w:val="29"/>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2">
              <w:r>
                <w:rPr>
                  <w:rFonts w:ascii="Arial" w:cs="Arial" w:eastAsia="Arial" w:hAnsi="Arial"/>
                  <w:sz w:val="16"/>
                  <w:szCs w:val="16"/>
                  <w:color w:val="0000EE"/>
                  <w:w w:val="78"/>
                </w:rPr>
                <w:t>29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3">
              <w:r>
                <w:rPr>
                  <w:rFonts w:ascii="Arial" w:cs="Arial" w:eastAsia="Arial" w:hAnsi="Arial"/>
                  <w:sz w:val="16"/>
                  <w:szCs w:val="16"/>
                  <w:color w:val="0000EE"/>
                </w:rPr>
                <w:t>Grants of Plan Based Awards in 2016</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11"/>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Borders>
              <w:bottom w:val="single" w:sz="8" w:color="0000EE"/>
            </w:tcBorders>
            <w:gridSpan w:val="30"/>
          </w:tcPr>
          <w:p>
            <w:pPr>
              <w:spacing w:after="0" w:line="178" w:lineRule="exact"/>
              <w:rPr>
                <w:rFonts w:ascii="Arial" w:cs="Arial" w:eastAsia="Arial" w:hAnsi="Arial"/>
                <w:sz w:val="16"/>
                <w:szCs w:val="16"/>
                <w:color w:val="0000EE"/>
                <w:w w:val="90"/>
              </w:rPr>
            </w:pPr>
            <w:hyperlink w:anchor="page34">
              <w:r>
                <w:rPr>
                  <w:rFonts w:ascii="Arial" w:cs="Arial" w:eastAsia="Arial" w:hAnsi="Arial"/>
                  <w:sz w:val="16"/>
                  <w:szCs w:val="16"/>
                  <w:color w:val="0000EE"/>
                  <w:w w:val="90"/>
                </w:rPr>
                <w:t>Outstanding Equity Awards at Fiscal Year-End 2016</w:t>
              </w:r>
            </w:hyperlink>
          </w:p>
        </w:tc>
        <w:tc>
          <w:tcPr>
            <w:tcW w:w="532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4">
              <w:r>
                <w:rPr>
                  <w:rFonts w:ascii="Arial" w:cs="Arial" w:eastAsia="Arial" w:hAnsi="Arial"/>
                  <w:sz w:val="16"/>
                  <w:szCs w:val="16"/>
                  <w:color w:val="0000EE"/>
                  <w:w w:val="78"/>
                </w:rPr>
                <w:t>31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Option Exercises and Stock Vested in 2016</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11"/>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Securities Authorized for Issuance Under Equity Compensation Plans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tcBorders>
              <w:top w:val="single" w:sz="8" w:color="0000EE"/>
            </w:tcBorders>
            <w:gridSpan w:val="39"/>
          </w:tcPr>
          <w:p>
            <w:pPr>
              <w:spacing w:after="0" w:line="178" w:lineRule="exact"/>
              <w:rPr>
                <w:rFonts w:ascii="Arial" w:cs="Arial" w:eastAsia="Arial" w:hAnsi="Arial"/>
                <w:sz w:val="16"/>
                <w:szCs w:val="16"/>
                <w:color w:val="0000EE"/>
                <w:w w:val="96"/>
              </w:rPr>
            </w:pPr>
            <w:hyperlink w:anchor="page36">
              <w:r>
                <w:rPr>
                  <w:rFonts w:ascii="Arial" w:cs="Arial" w:eastAsia="Arial" w:hAnsi="Arial"/>
                  <w:sz w:val="16"/>
                  <w:szCs w:val="16"/>
                  <w:color w:val="0000EE"/>
                  <w:w w:val="96"/>
                </w:rPr>
                <w:t>Non-Qualified Deferred Compensation Plan Transactions in 2016</w:t>
              </w:r>
            </w:hyperlink>
          </w:p>
        </w:tc>
        <w:tc>
          <w:tcPr>
            <w:tcW w:w="422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36">
              <w:r>
                <w:rPr>
                  <w:rFonts w:ascii="Arial" w:cs="Arial" w:eastAsia="Arial" w:hAnsi="Arial"/>
                  <w:sz w:val="16"/>
                  <w:szCs w:val="16"/>
                  <w:color w:val="0000EE"/>
                  <w:w w:val="78"/>
                </w:rPr>
                <w:t>33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tcBorders>
              <w:top w:val="single" w:sz="8" w:color="0000EE"/>
              <w:bottom w:val="single" w:sz="8" w:color="0000EE"/>
            </w:tcBorders>
            <w:gridSpan w:val="34"/>
          </w:tcPr>
          <w:p>
            <w:pPr>
              <w:spacing w:after="0" w:line="178" w:lineRule="exact"/>
              <w:rPr>
                <w:rFonts w:ascii="Arial" w:cs="Arial" w:eastAsia="Arial" w:hAnsi="Arial"/>
                <w:sz w:val="16"/>
                <w:szCs w:val="16"/>
                <w:color w:val="0000EE"/>
                <w:w w:val="90"/>
              </w:rPr>
            </w:pPr>
            <w:hyperlink w:anchor="page37">
              <w:r>
                <w:rPr>
                  <w:rFonts w:ascii="Arial" w:cs="Arial" w:eastAsia="Arial" w:hAnsi="Arial"/>
                  <w:sz w:val="16"/>
                  <w:szCs w:val="16"/>
                  <w:color w:val="0000EE"/>
                  <w:w w:val="90"/>
                </w:rPr>
                <w:t>Potential Payments Upon Termination or Change of Control</w:t>
              </w:r>
            </w:hyperlink>
          </w:p>
        </w:tc>
        <w:tc>
          <w:tcPr>
            <w:tcW w:w="340" w:type="dxa"/>
            <w:vAlign w:val="bottom"/>
            <w:tcBorders>
              <w:top w:val="single" w:sz="8" w:color="0000EE"/>
            </w:tcBorders>
            <w:gridSpan w:val="4"/>
          </w:tcPr>
          <w:p>
            <w:pPr>
              <w:spacing w:after="0"/>
              <w:rPr>
                <w:sz w:val="15"/>
                <w:szCs w:val="15"/>
                <w:color w:val="auto"/>
              </w:rPr>
            </w:pPr>
          </w:p>
        </w:tc>
        <w:tc>
          <w:tcPr>
            <w:tcW w:w="448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7">
              <w:r>
                <w:rPr>
                  <w:rFonts w:ascii="Arial" w:cs="Arial" w:eastAsia="Arial" w:hAnsi="Arial"/>
                  <w:sz w:val="16"/>
                  <w:szCs w:val="16"/>
                  <w:color w:val="0000EE"/>
                  <w:w w:val="78"/>
                </w:rPr>
                <w:t>34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DIRECTOR COMPENSATION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35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11"/>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2016 Director Compensation Table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35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13"/>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2640" w:type="dxa"/>
            <w:vAlign w:val="bottom"/>
            <w:tcBorders>
              <w:bottom w:val="single" w:sz="8" w:color="0000EE"/>
            </w:tcBorders>
            <w:gridSpan w:val="20"/>
          </w:tcPr>
          <w:p>
            <w:pPr>
              <w:spacing w:after="0" w:line="178" w:lineRule="exact"/>
              <w:rPr>
                <w:rFonts w:ascii="Arial" w:cs="Arial" w:eastAsia="Arial" w:hAnsi="Arial"/>
                <w:sz w:val="16"/>
                <w:szCs w:val="16"/>
                <w:color w:val="0000EE"/>
                <w:w w:val="95"/>
              </w:rPr>
            </w:pPr>
            <w:hyperlink w:anchor="page39">
              <w:r>
                <w:rPr>
                  <w:rFonts w:ascii="Arial" w:cs="Arial" w:eastAsia="Arial" w:hAnsi="Arial"/>
                  <w:sz w:val="16"/>
                  <w:szCs w:val="16"/>
                  <w:color w:val="0000EE"/>
                  <w:w w:val="95"/>
                </w:rPr>
                <w:t>RELATED PERSON TRANSACTIONS</w:t>
              </w:r>
            </w:hyperlink>
          </w:p>
        </w:tc>
        <w:tc>
          <w:tcPr>
            <w:tcW w:w="6200" w:type="dxa"/>
            <w:vAlign w:val="bottom"/>
            <w:gridSpan w:val="2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9">
              <w:r>
                <w:rPr>
                  <w:rFonts w:ascii="Arial" w:cs="Arial" w:eastAsia="Arial" w:hAnsi="Arial"/>
                  <w:sz w:val="16"/>
                  <w:szCs w:val="16"/>
                  <w:color w:val="0000EE"/>
                  <w:w w:val="78"/>
                </w:rPr>
                <w:t>36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Policy on Related Person Transactions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36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13"/>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6"/>
          </w:tcPr>
          <w:p>
            <w:pPr>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ADDITIONAL INFORMATION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37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1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Stockholder Proposals for 2018 Annual Meeting</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37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25"/>
          </w:tcPr>
          <w:p>
            <w:pPr>
              <w:spacing w:after="0" w:line="178" w:lineRule="exact"/>
              <w:rPr>
                <w:rFonts w:ascii="Arial" w:cs="Arial" w:eastAsia="Arial" w:hAnsi="Arial"/>
                <w:sz w:val="16"/>
                <w:szCs w:val="16"/>
                <w:color w:val="0000EE"/>
                <w:w w:val="92"/>
              </w:rPr>
            </w:pPr>
            <w:hyperlink w:anchor="page40">
              <w:r>
                <w:rPr>
                  <w:rFonts w:ascii="Arial" w:cs="Arial" w:eastAsia="Arial" w:hAnsi="Arial"/>
                  <w:sz w:val="16"/>
                  <w:szCs w:val="16"/>
                  <w:color w:val="0000EE"/>
                  <w:w w:val="92"/>
                </w:rPr>
                <w:t>Householding of Annual Meeting Materials</w:t>
              </w:r>
            </w:hyperlink>
          </w:p>
        </w:tc>
        <w:tc>
          <w:tcPr>
            <w:tcW w:w="300" w:type="dxa"/>
            <w:vAlign w:val="bottom"/>
            <w:tcBorders>
              <w:top w:val="single" w:sz="8" w:color="0000EE"/>
            </w:tcBorders>
            <w:gridSpan w:val="4"/>
          </w:tcPr>
          <w:p>
            <w:pPr>
              <w:spacing w:after="0"/>
              <w:rPr>
                <w:sz w:val="15"/>
                <w:szCs w:val="15"/>
                <w:color w:val="auto"/>
              </w:rPr>
            </w:pPr>
          </w:p>
        </w:tc>
        <w:tc>
          <w:tcPr>
            <w:tcW w:w="558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0">
              <w:r>
                <w:rPr>
                  <w:rFonts w:ascii="Arial" w:cs="Arial" w:eastAsia="Arial" w:hAnsi="Arial"/>
                  <w:sz w:val="16"/>
                  <w:szCs w:val="16"/>
                  <w:color w:val="0000EE"/>
                  <w:w w:val="78"/>
                </w:rPr>
                <w:t>37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5"/>
          </w:tcPr>
          <w:p>
            <w:pPr>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Annual Report and Other SEC Filings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0">
              <w:r>
                <w:rPr>
                  <w:rFonts w:ascii="Arial" w:cs="Arial" w:eastAsia="Arial" w:hAnsi="Arial"/>
                  <w:sz w:val="16"/>
                  <w:szCs w:val="16"/>
                  <w:color w:val="0000EE"/>
                </w:rPr>
                <w:t>37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4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40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ATN INTERNATIONAL, INC.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500 Cummings Center</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Beverly, MA 01915</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2017 ANNUAL MEETING OF STOCKHOLDERS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BE HELD ON JUNE 15, 2017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INFORMATION ABOUT VOTING</w:t>
      </w:r>
    </w:p>
    <w:p>
      <w:pPr>
        <w:spacing w:after="0" w:line="215" w:lineRule="exact"/>
        <w:rPr>
          <w:sz w:val="20"/>
          <w:szCs w:val="20"/>
          <w:color w:val="auto"/>
        </w:rPr>
      </w:pPr>
    </w:p>
    <w:p>
      <w:pPr>
        <w:ind w:right="100" w:firstLine="318"/>
        <w:spacing w:after="0" w:line="284"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ATN International, Inc., a Delaware corporation, for use at the 2017 Annual Meeting of Stockholders to be held on June 15, 2017, at 9:00 a.m. ET, or any adjournments or postponements thereof.</w:t>
      </w:r>
    </w:p>
    <w:p>
      <w:pPr>
        <w:spacing w:after="0" w:line="156" w:lineRule="exact"/>
        <w:rPr>
          <w:sz w:val="20"/>
          <w:szCs w:val="20"/>
          <w:color w:val="auto"/>
        </w:rPr>
      </w:pPr>
    </w:p>
    <w:p>
      <w:pPr>
        <w:ind w:right="140" w:firstLine="318"/>
        <w:spacing w:after="0" w:line="284" w:lineRule="auto"/>
        <w:rPr>
          <w:sz w:val="20"/>
          <w:szCs w:val="20"/>
          <w:color w:val="auto"/>
        </w:rPr>
      </w:pPr>
      <w:r>
        <w:rPr>
          <w:rFonts w:ascii="Arial" w:cs="Arial" w:eastAsia="Arial" w:hAnsi="Arial"/>
          <w:sz w:val="16"/>
          <w:szCs w:val="16"/>
          <w:color w:val="auto"/>
        </w:rPr>
        <w:t>We are mailing this proxy statement together with our Annual Letter to Stockholders, our Annual Report on Form 10-K for the year ended December 31, 2016 (excluding exhibits) and a proxy card or voting instruction for the Annual Meeting on or about April 28, 2017.</w:t>
      </w:r>
    </w:p>
    <w:p>
      <w:pPr>
        <w:spacing w:after="0" w:line="152" w:lineRule="exact"/>
        <w:rPr>
          <w:sz w:val="20"/>
          <w:szCs w:val="20"/>
          <w:color w:val="auto"/>
        </w:rPr>
      </w:pPr>
    </w:p>
    <w:p>
      <w:pPr>
        <w:ind w:right="40" w:firstLine="321"/>
        <w:spacing w:after="0" w:line="28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June 15, 2017: </w:t>
      </w:r>
      <w:r>
        <w:rPr>
          <w:rFonts w:ascii="Arial" w:cs="Arial" w:eastAsia="Arial" w:hAnsi="Arial"/>
          <w:sz w:val="16"/>
          <w:szCs w:val="16"/>
          <w:color w:val="auto"/>
        </w:rPr>
        <w:t>This Proxy Statement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2016 Annual Report on Form 10-K are available at http://ir.atni.com/financials.cfm.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w:t>
      </w:r>
    </w:p>
    <w:p>
      <w:pPr>
        <w:spacing w:after="0" w:line="215" w:lineRule="exact"/>
        <w:rPr>
          <w:sz w:val="20"/>
          <w:szCs w:val="20"/>
          <w:color w:val="auto"/>
        </w:rPr>
      </w:pPr>
    </w:p>
    <w:p>
      <w:pPr>
        <w:ind w:right="80" w:firstLine="321"/>
        <w:spacing w:after="0" w:line="315" w:lineRule="auto"/>
        <w:rPr>
          <w:sz w:val="20"/>
          <w:szCs w:val="20"/>
          <w:color w:val="auto"/>
        </w:rPr>
      </w:pPr>
      <w:r>
        <w:rPr>
          <w:rFonts w:ascii="Arial" w:cs="Arial" w:eastAsia="Arial" w:hAnsi="Arial"/>
          <w:sz w:val="14"/>
          <w:szCs w:val="14"/>
          <w:color w:val="auto"/>
        </w:rPr>
        <w:t>Only stockholders of record at the close of business on April 21, 2017 are entitled to vote at the Annual Meeting. On that date, 16,190,797 shares of common stock, par value $.01 per share, were outstanding, with each share entitled to one vote. If your shares are registered directly in your name with our transfer agent,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215" w:lineRule="exact"/>
        <w:rPr>
          <w:sz w:val="20"/>
          <w:szCs w:val="20"/>
          <w:color w:val="auto"/>
        </w:rPr>
      </w:pPr>
    </w:p>
    <w:p>
      <w:pPr>
        <w:ind w:firstLine="315"/>
        <w:spacing w:after="0" w:line="285" w:lineRule="auto"/>
        <w:rPr>
          <w:sz w:val="20"/>
          <w:szCs w:val="20"/>
          <w:color w:val="auto"/>
        </w:rPr>
      </w:pPr>
      <w:r>
        <w:rPr>
          <w:rFonts w:ascii="Arial" w:cs="Arial" w:eastAsia="Arial" w:hAnsi="Arial"/>
          <w:sz w:val="15"/>
          <w:szCs w:val="15"/>
          <w:color w:val="auto"/>
        </w:rPr>
        <w:t>You may vote your shares held of record either by attending the meeting and voting in person or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If you vote by mail and your proxy card is received in time for voting and not revoked, your shares will be voted at the Annual Meeting in accordance with your instructions as set forth on your signed proxy card. If no instructions are indicated, the shares represented by the proxy card will be voted by the proxy holders as follows:</w:t>
      </w:r>
    </w:p>
    <w:p>
      <w:pPr>
        <w:spacing w:after="0" w:line="168" w:lineRule="exact"/>
        <w:rPr>
          <w:sz w:val="20"/>
          <w:szCs w:val="20"/>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director nominees named herein;</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compensation of our named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an advisory vote to approve the compensation of our named executive officers to take place EVERY THREE YEARS;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independent auditor; and</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right="120" w:hanging="488"/>
        <w:spacing w:after="0" w:line="28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accordance with the judgment of the proxy holders named on the proxy card as to any other matter that is properly brought before the Annual Meeting, or any adjournments or postponements thereof.</w:t>
      </w:r>
    </w:p>
    <w:p>
      <w:pPr>
        <w:spacing w:after="0" w:line="156"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If you hold your shares through a bank, broker or other nominee, they will give you separate instructions for voting your shares and you must make arrangements with your broker, bank or other nominee in advance of the Annual Meeting to vote your shares in person.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21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6"/>
          <w:szCs w:val="16"/>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 Abstentions, votes withheld and broker non-votes will be counted for purposes of determining whether a quorum is present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w:t>
      </w:r>
    </w:p>
    <w:p>
      <w:pPr>
        <w:spacing w:after="0" w:line="215" w:lineRule="exact"/>
        <w:rPr>
          <w:sz w:val="20"/>
          <w:szCs w:val="20"/>
          <w:color w:val="auto"/>
        </w:rPr>
      </w:pPr>
    </w:p>
    <w:p>
      <w:pPr>
        <w:ind w:right="320" w:firstLine="321"/>
        <w:spacing w:after="0" w:line="284" w:lineRule="auto"/>
        <w:rPr>
          <w:sz w:val="20"/>
          <w:szCs w:val="20"/>
          <w:color w:val="auto"/>
        </w:rPr>
      </w:pPr>
      <w:r>
        <w:rPr>
          <w:rFonts w:ascii="Arial" w:cs="Arial" w:eastAsia="Arial" w:hAnsi="Arial"/>
          <w:sz w:val="16"/>
          <w:szCs w:val="16"/>
          <w:b w:val="1"/>
          <w:bCs w:val="1"/>
          <w:i w:val="1"/>
          <w:iCs w:val="1"/>
          <w:color w:val="auto"/>
        </w:rPr>
        <w:t>Proposal 1</w:t>
      </w:r>
      <w:r>
        <w:rPr>
          <w:rFonts w:ascii="Arial" w:cs="Arial" w:eastAsia="Arial" w:hAnsi="Arial"/>
          <w:sz w:val="16"/>
          <w:szCs w:val="16"/>
          <w:color w:val="auto"/>
        </w:rPr>
        <w:t>, the election of each director nominee, requires the affirmative vote of a majority of the votes cast and entitled to vote at the Annual Meeting regarding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nominee's election.</w:t>
      </w:r>
    </w:p>
    <w:p>
      <w:pPr>
        <w:spacing w:after="0" w:line="156"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b w:val="1"/>
          <w:bCs w:val="1"/>
          <w:i w:val="1"/>
          <w:iCs w:val="1"/>
          <w:color w:val="auto"/>
        </w:rPr>
        <w:t>Proposal 2</w:t>
      </w:r>
      <w:r>
        <w:rPr>
          <w:rFonts w:ascii="Arial" w:cs="Arial" w:eastAsia="Arial" w:hAnsi="Arial"/>
          <w:sz w:val="16"/>
          <w:szCs w:val="16"/>
          <w:color w:val="auto"/>
        </w:rPr>
        <w:t>, the advisory vote on the compensation of our named executive officers, requires the affirmative vote of a majority of the shares present, or represented by proxy,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entitled to vote on the matter.</w:t>
      </w:r>
    </w:p>
    <w:p>
      <w:pPr>
        <w:spacing w:after="0" w:line="156" w:lineRule="exact"/>
        <w:rPr>
          <w:sz w:val="20"/>
          <w:szCs w:val="20"/>
          <w:color w:val="auto"/>
        </w:rPr>
      </w:pPr>
    </w:p>
    <w:p>
      <w:pPr>
        <w:ind w:right="280" w:firstLine="321"/>
        <w:spacing w:after="0" w:line="284" w:lineRule="auto"/>
        <w:rPr>
          <w:sz w:val="20"/>
          <w:szCs w:val="20"/>
          <w:color w:val="auto"/>
        </w:rPr>
      </w:pPr>
      <w:r>
        <w:rPr>
          <w:rFonts w:ascii="Arial" w:cs="Arial" w:eastAsia="Arial" w:hAnsi="Arial"/>
          <w:sz w:val="16"/>
          <w:szCs w:val="16"/>
          <w:b w:val="1"/>
          <w:bCs w:val="1"/>
          <w:i w:val="1"/>
          <w:iCs w:val="1"/>
          <w:color w:val="auto"/>
        </w:rPr>
        <w:t>Proposal 3</w:t>
      </w:r>
      <w:r>
        <w:rPr>
          <w:rFonts w:ascii="Arial" w:cs="Arial" w:eastAsia="Arial" w:hAnsi="Arial"/>
          <w:sz w:val="16"/>
          <w:szCs w:val="16"/>
          <w:color w:val="auto"/>
        </w:rPr>
        <w:t>, the advisory vote to determine the frequency of future advisory votes on the compensation of our named executive officers, requires an affirmative vote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plurality of the shares cast and entitled to vote on the matter.</w:t>
      </w:r>
    </w:p>
    <w:p>
      <w:pPr>
        <w:spacing w:after="0" w:line="156" w:lineRule="exact"/>
        <w:rPr>
          <w:sz w:val="20"/>
          <w:szCs w:val="20"/>
          <w:color w:val="auto"/>
        </w:rPr>
      </w:pPr>
    </w:p>
    <w:p>
      <w:pPr>
        <w:ind w:right="20" w:firstLine="321"/>
        <w:spacing w:after="0" w:line="284" w:lineRule="auto"/>
        <w:rPr>
          <w:sz w:val="20"/>
          <w:szCs w:val="20"/>
          <w:color w:val="auto"/>
        </w:rPr>
      </w:pPr>
      <w:r>
        <w:rPr>
          <w:rFonts w:ascii="Arial" w:cs="Arial" w:eastAsia="Arial" w:hAnsi="Arial"/>
          <w:sz w:val="16"/>
          <w:szCs w:val="16"/>
          <w:b w:val="1"/>
          <w:bCs w:val="1"/>
          <w:i w:val="1"/>
          <w:iCs w:val="1"/>
          <w:color w:val="auto"/>
        </w:rPr>
        <w:t>Proposal 4</w:t>
      </w:r>
      <w:r>
        <w:rPr>
          <w:rFonts w:ascii="Arial" w:cs="Arial" w:eastAsia="Arial" w:hAnsi="Arial"/>
          <w:sz w:val="16"/>
          <w:szCs w:val="16"/>
          <w:color w:val="auto"/>
        </w:rPr>
        <w:t>, the ratification of the appointment of PricewaterhouseCoopers LLP as our independent auditor for 2017, requires the affirmative vote of a majority of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 or represented by proxy, at the Annual Meeting and entitled to vote on the matter.</w:t>
      </w:r>
    </w:p>
    <w:p>
      <w:pPr>
        <w:spacing w:after="0" w:line="156" w:lineRule="exact"/>
        <w:rPr>
          <w:sz w:val="20"/>
          <w:szCs w:val="20"/>
          <w:color w:val="auto"/>
        </w:rPr>
      </w:pPr>
    </w:p>
    <w:p>
      <w:pPr>
        <w:ind w:right="140" w:firstLine="318"/>
        <w:spacing w:after="0" w:line="307" w:lineRule="auto"/>
        <w:rPr>
          <w:sz w:val="20"/>
          <w:szCs w:val="20"/>
          <w:color w:val="auto"/>
        </w:rPr>
      </w:pPr>
      <w:r>
        <w:rPr>
          <w:rFonts w:ascii="Arial" w:cs="Arial" w:eastAsia="Arial" w:hAnsi="Arial"/>
          <w:sz w:val="14"/>
          <w:szCs w:val="14"/>
          <w:color w:val="auto"/>
        </w:rPr>
        <w:t>We will not count shares that abstain from voting ("abstentions") on a particular matter as votes in favor of such matter. Similarly, we will not count broker non-votes as votes in favor of such matter. A broker non-vote occurs when a broker cannot vote a customer's shares registered in the broker's name because the customer did not send the broker instructions on how to vote on the matter and the broker is prohibited by law or stock exchange regulations from exercising its discretionary voting authority in the particular matter. Accordingly, broker non-votes will have no effect on the outcome of voting on Proposals 1, 2 or 3. Brokers will be entitled to vote a customer's shares in their discretion on Proposal 4, so there will be no broker non-votes on that proposal. However, abstentions will be considered to be votes present and entitled to vote on Proposals 1 and 4, and they will have the effect of a vote against these proposals. Inspectors of election appointed by our Board will tabulate votes.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Proxies</w:t>
      </w:r>
    </w:p>
    <w:p>
      <w:pPr>
        <w:spacing w:after="0" w:line="215" w:lineRule="exact"/>
        <w:rPr>
          <w:sz w:val="20"/>
          <w:szCs w:val="20"/>
          <w:color w:val="auto"/>
        </w:rPr>
      </w:pPr>
    </w:p>
    <w:p>
      <w:pPr>
        <w:jc w:val="both"/>
        <w:ind w:right="200" w:firstLine="312"/>
        <w:spacing w:after="0" w:line="270"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ATN International, Inc., Attn: Secretary, 500 Cummings Center, Beverly, MA 01915. A proxy may also be revoked by voting in person at the Annual Meeting. If you hold your shares through a bank, broker or other nominee, you must make arrangements with your broker, bank or other nominee to revoke your proxy.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Annual Meeting?</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In addition, we are required to file on a Current Report on Form 8-K no later than the earlier of 180 calendar days after the Annual Meeting or 60 calendar days prior to the deadline for submission of stockholder proposals set forth on page 38 of this proxy statement under the heading "Stockholder Proposals for 2017 Annual Meeting" our decision on how frequently we will include a stockholder vote on the compensation of our named executive officers in our proxy materials.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 Expenses</w:t>
      </w:r>
    </w:p>
    <w:p>
      <w:pPr>
        <w:spacing w:after="0" w:line="215" w:lineRule="exact"/>
        <w:rPr>
          <w:sz w:val="20"/>
          <w:szCs w:val="20"/>
          <w:color w:val="auto"/>
        </w:rPr>
      </w:pPr>
    </w:p>
    <w:p>
      <w:pPr>
        <w:ind w:right="40" w:firstLine="318"/>
        <w:spacing w:after="0" w:line="264" w:lineRule="auto"/>
        <w:rPr>
          <w:sz w:val="20"/>
          <w:szCs w:val="20"/>
          <w:color w:val="auto"/>
        </w:rPr>
      </w:pPr>
      <w:r>
        <w:rPr>
          <w:rFonts w:ascii="Arial" w:cs="Arial" w:eastAsia="Arial" w:hAnsi="Arial"/>
          <w:sz w:val="16"/>
          <w:szCs w:val="16"/>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$14,500 for any such services, plus reasonable out-of-pocket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to Contact for Additional Information</w:t>
      </w:r>
    </w:p>
    <w:p>
      <w:pPr>
        <w:spacing w:after="0" w:line="215" w:lineRule="exact"/>
        <w:rPr>
          <w:sz w:val="20"/>
          <w:szCs w:val="20"/>
          <w:color w:val="auto"/>
        </w:rPr>
      </w:pPr>
    </w:p>
    <w:p>
      <w:pPr>
        <w:jc w:val="center"/>
        <w:ind w:left="300"/>
        <w:spacing w:after="0"/>
        <w:rPr>
          <w:sz w:val="20"/>
          <w:szCs w:val="20"/>
          <w:color w:val="auto"/>
        </w:rPr>
      </w:pPr>
      <w:r>
        <w:rPr>
          <w:rFonts w:ascii="Arial" w:cs="Arial" w:eastAsia="Arial" w:hAnsi="Arial"/>
          <w:sz w:val="14"/>
          <w:szCs w:val="14"/>
          <w:color w:val="auto"/>
        </w:rPr>
        <w:t>If you have questions about how to submit your proxy, or if you need additional copies of this proxy statement or the enclosed proxy card, please contact our proxy solicitor:</w:t>
      </w:r>
    </w:p>
    <w:p>
      <w:pPr>
        <w:spacing w:after="0" w:line="23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Broadridge Investor Communications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 INTERNET: www.proxyvote.com</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 TELEPHONE: 1-800-579-1639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 E-MAIL: sendmaterial@proxyvote.com</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you have questions about attending the meeting in person or require directions, please contact us at the following address or telephone number: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ATN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Attn: Investor Relations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500 Cummings Center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Beverly, MA 01915</w:t>
      </w:r>
    </w:p>
    <w:p>
      <w:pPr>
        <w:spacing w:after="0" w:line="13" w:lineRule="exact"/>
        <w:rPr>
          <w:sz w:val="20"/>
          <w:szCs w:val="20"/>
          <w:color w:val="auto"/>
        </w:rPr>
      </w:pPr>
    </w:p>
    <w:p>
      <w:pPr>
        <w:ind w:left="5600" w:hanging="387"/>
        <w:spacing w:after="0"/>
        <w:tabs>
          <w:tab w:leader="none" w:pos="5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619-1300</w:t>
      </w:r>
    </w:p>
    <w:p>
      <w:pPr>
        <w:spacing w:after="0" w:line="203"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5"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following table sets forth certain information known to us as of April 21, 2017 (unless otherwise indicated in the footnotes to this table) with respect to the shares of our common stock that were beneficially owned as of such date by:</w:t>
      </w:r>
    </w:p>
    <w:p>
      <w:pPr>
        <w:spacing w:after="0" w:line="169" w:lineRule="exact"/>
        <w:rPr>
          <w:sz w:val="20"/>
          <w:szCs w:val="20"/>
          <w:color w:val="auto"/>
        </w:rPr>
      </w:pPr>
    </w:p>
    <w:p>
      <w:pPr>
        <w:ind w:left="980" w:right="160" w:hanging="488"/>
        <w:spacing w:after="0" w:line="28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person (including any partnership, syndicate or other group) known to us to be the beneficial owner of more than 5% of our outstanding shares of common stock;</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our directors and each of the nominees seeking election as director;</w:t>
      </w:r>
    </w:p>
    <w:p>
      <w:pPr>
        <w:spacing w:after="0" w:line="222" w:lineRule="exact"/>
        <w:rPr>
          <w:rFonts w:ascii="Arial" w:cs="Arial" w:eastAsia="Arial" w:hAnsi="Arial"/>
          <w:sz w:val="16"/>
          <w:szCs w:val="16"/>
          <w:color w:val="auto"/>
        </w:rPr>
      </w:pPr>
    </w:p>
    <w:p>
      <w:pPr>
        <w:ind w:left="980" w:right="200" w:hanging="488"/>
        <w:spacing w:after="0" w:line="359" w:lineRule="auto"/>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principal executive officer and our principal financial officer during the fiscal year ended December 31, 2016, and the three other most highly compensated executive officers who were serving as executive officers on December 31, 2016, whom we refer to collectively as our named executive officers; and</w:t>
      </w:r>
    </w:p>
    <w:p>
      <w:pPr>
        <w:spacing w:after="0" w:line="122" w:lineRule="exact"/>
        <w:rPr>
          <w:rFonts w:ascii="Arial" w:cs="Arial" w:eastAsia="Arial" w:hAnsi="Arial"/>
          <w:sz w:val="14"/>
          <w:szCs w:val="14"/>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w:t>
      </w:r>
    </w:p>
    <w:p>
      <w:pPr>
        <w:spacing w:after="0" w:line="211" w:lineRule="exact"/>
        <w:rPr>
          <w:sz w:val="20"/>
          <w:szCs w:val="20"/>
          <w:color w:val="auto"/>
        </w:rPr>
      </w:pPr>
    </w:p>
    <w:p>
      <w:pPr>
        <w:ind w:right="180" w:firstLine="318"/>
        <w:spacing w:after="0" w:line="315" w:lineRule="auto"/>
        <w:rPr>
          <w:sz w:val="20"/>
          <w:szCs w:val="20"/>
          <w:color w:val="auto"/>
        </w:rPr>
      </w:pPr>
      <w:r>
        <w:rPr>
          <w:rFonts w:ascii="Arial" w:cs="Arial" w:eastAsia="Arial" w:hAnsi="Arial"/>
          <w:sz w:val="14"/>
          <w:szCs w:val="14"/>
          <w:color w:val="auto"/>
        </w:rPr>
        <w:t>The number of shares beneficially owned by each person listed below includes any shares that the person has a right to acquire on or before June 20, 2017 by exercising stock options or other rights to acquire shares. For each person listed below, the percentage set forth under "Percent of Class" was calculated based on 16,190,797 shares of common stock outstanding on April 21, 2017, plus any shares that person could acquire upon the exercise of any other rights exercisable on or before June 20, 2017. Except as indicated in the footnotes to this table, the persons named in the table have sole voting and investment power with respect to the shares shown as beneficially owned by them.</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4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w w:val="99"/>
              </w:rPr>
              <w:t>Shares Beneficially Owned</w:t>
            </w:r>
          </w:p>
        </w:tc>
      </w:tr>
      <w:tr>
        <w:trPr>
          <w:trHeight w:val="115"/>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2"/>
                <w:szCs w:val="12"/>
                <w:b w:val="1"/>
                <w:bCs w:val="1"/>
                <w:color w:val="auto"/>
              </w:rPr>
              <w:t>Percent of</w:t>
            </w:r>
          </w:p>
        </w:tc>
        <w:tc>
          <w:tcPr>
            <w:tcW w:w="140" w:type="dxa"/>
            <w:vAlign w:val="bottom"/>
          </w:tcPr>
          <w:p>
            <w:pPr>
              <w:spacing w:after="0"/>
              <w:rPr>
                <w:sz w:val="10"/>
                <w:szCs w:val="10"/>
                <w:color w:val="auto"/>
              </w:rPr>
            </w:pPr>
          </w:p>
        </w:tc>
      </w:tr>
      <w:tr>
        <w:trPr>
          <w:trHeight w:val="149"/>
        </w:trPr>
        <w:tc>
          <w:tcPr>
            <w:tcW w:w="7300" w:type="dxa"/>
            <w:vAlign w:val="bottom"/>
            <w:gridSpan w:val="3"/>
          </w:tcPr>
          <w:p>
            <w:pPr>
              <w:spacing w:after="0"/>
              <w:rPr>
                <w:sz w:val="20"/>
                <w:szCs w:val="20"/>
                <w:color w:val="auto"/>
              </w:rPr>
            </w:pPr>
            <w:r>
              <w:rPr>
                <w:rFonts w:ascii="Arial" w:cs="Arial" w:eastAsia="Arial" w:hAnsi="Arial"/>
                <w:sz w:val="12"/>
                <w:szCs w:val="12"/>
                <w:b w:val="1"/>
                <w:bCs w:val="1"/>
                <w:color w:val="auto"/>
              </w:rPr>
              <w:t>Beneficial Owners</w:t>
            </w:r>
          </w:p>
        </w:tc>
        <w:tc>
          <w:tcPr>
            <w:tcW w:w="760" w:type="dxa"/>
            <w:vAlign w:val="bottom"/>
          </w:tcPr>
          <w:p>
            <w:pPr>
              <w:jc w:val="right"/>
              <w:ind w:right="82"/>
              <w:spacing w:after="0"/>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Class</w:t>
            </w:r>
          </w:p>
        </w:tc>
      </w:tr>
      <w:tr>
        <w:trPr>
          <w:trHeight w:val="25"/>
        </w:trPr>
        <w:tc>
          <w:tcPr>
            <w:tcW w:w="960" w:type="dxa"/>
            <w:vAlign w:val="bottom"/>
            <w:shd w:val="clear" w:color="auto" w:fill="000000"/>
          </w:tcPr>
          <w:p>
            <w:pPr>
              <w:spacing w:after="0"/>
              <w:rPr>
                <w:sz w:val="2"/>
                <w:szCs w:val="2"/>
                <w:color w:val="auto"/>
              </w:rPr>
            </w:pPr>
          </w:p>
        </w:tc>
        <w:tc>
          <w:tcPr>
            <w:tcW w:w="6340" w:type="dxa"/>
            <w:vAlign w:val="bottom"/>
            <w:gridSpan w:val="2"/>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85"/>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Directors, Director Nominees and Named Executive Officers:</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Cornelius B. Prior, Jr.(1)</w:t>
            </w:r>
          </w:p>
        </w:tc>
        <w:tc>
          <w:tcPr>
            <w:tcW w:w="760" w:type="dxa"/>
            <w:vAlign w:val="bottom"/>
          </w:tcPr>
          <w:p>
            <w:pPr>
              <w:jc w:val="right"/>
              <w:spacing w:after="0"/>
              <w:rPr>
                <w:sz w:val="20"/>
                <w:szCs w:val="20"/>
                <w:color w:val="auto"/>
              </w:rPr>
            </w:pPr>
            <w:r>
              <w:rPr>
                <w:rFonts w:ascii="Arial" w:cs="Arial" w:eastAsia="Arial" w:hAnsi="Arial"/>
                <w:sz w:val="16"/>
                <w:szCs w:val="16"/>
                <w:color w:val="auto"/>
              </w:rPr>
              <w:t>4,380,020</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27.1%</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Martin L. Budd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Bernard J. Bulkin</w:t>
            </w:r>
          </w:p>
        </w:tc>
        <w:tc>
          <w:tcPr>
            <w:tcW w:w="760" w:type="dxa"/>
            <w:vAlign w:val="bottom"/>
          </w:tcPr>
          <w:p>
            <w:pPr>
              <w:jc w:val="right"/>
              <w:spacing w:after="0"/>
              <w:rPr>
                <w:sz w:val="20"/>
                <w:szCs w:val="20"/>
                <w:color w:val="auto"/>
              </w:rPr>
            </w:pPr>
            <w:r>
              <w:rPr>
                <w:rFonts w:ascii="Arial" w:cs="Arial" w:eastAsia="Arial" w:hAnsi="Arial"/>
                <w:sz w:val="16"/>
                <w:szCs w:val="16"/>
                <w:color w:val="auto"/>
              </w:rPr>
              <w:t>1,701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Flynn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Charles J. Roesslein(2)</w:t>
            </w:r>
          </w:p>
        </w:tc>
        <w:tc>
          <w:tcPr>
            <w:tcW w:w="760" w:type="dxa"/>
            <w:vAlign w:val="bottom"/>
          </w:tcPr>
          <w:p>
            <w:pPr>
              <w:jc w:val="right"/>
              <w:spacing w:after="0"/>
              <w:rPr>
                <w:sz w:val="20"/>
                <w:szCs w:val="20"/>
                <w:color w:val="auto"/>
              </w:rPr>
            </w:pPr>
            <w:r>
              <w:rPr>
                <w:rFonts w:ascii="Arial" w:cs="Arial" w:eastAsia="Arial" w:hAnsi="Arial"/>
                <w:sz w:val="16"/>
                <w:szCs w:val="16"/>
                <w:color w:val="auto"/>
              </w:rPr>
              <w:t>5,753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Liane J. Pelletier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Michael T. Prior(3)</w:t>
            </w:r>
          </w:p>
        </w:tc>
        <w:tc>
          <w:tcPr>
            <w:tcW w:w="760" w:type="dxa"/>
            <w:vAlign w:val="bottom"/>
          </w:tcPr>
          <w:p>
            <w:pPr>
              <w:jc w:val="right"/>
              <w:spacing w:after="0"/>
              <w:rPr>
                <w:sz w:val="20"/>
                <w:szCs w:val="20"/>
                <w:color w:val="auto"/>
              </w:rPr>
            </w:pPr>
            <w:r>
              <w:rPr>
                <w:rFonts w:ascii="Arial" w:cs="Arial" w:eastAsia="Arial" w:hAnsi="Arial"/>
                <w:sz w:val="16"/>
                <w:szCs w:val="16"/>
                <w:color w:val="auto"/>
              </w:rPr>
              <w:t>630,572</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3.9%</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Justin D. Benincasa(4)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William F. Kreisher(5)</w:t>
            </w:r>
          </w:p>
        </w:tc>
        <w:tc>
          <w:tcPr>
            <w:tcW w:w="760" w:type="dxa"/>
            <w:vAlign w:val="bottom"/>
          </w:tcPr>
          <w:p>
            <w:pPr>
              <w:jc w:val="right"/>
              <w:spacing w:after="0"/>
              <w:rPr>
                <w:sz w:val="20"/>
                <w:szCs w:val="20"/>
                <w:color w:val="auto"/>
              </w:rPr>
            </w:pPr>
            <w:r>
              <w:rPr>
                <w:rFonts w:ascii="Arial" w:cs="Arial" w:eastAsia="Arial" w:hAnsi="Arial"/>
                <w:sz w:val="16"/>
                <w:szCs w:val="16"/>
                <w:color w:val="auto"/>
              </w:rPr>
              <w:t>88,515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Leonard Q. Slap(6)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Barry C. Fougere(7)</w:t>
            </w:r>
          </w:p>
        </w:tc>
        <w:tc>
          <w:tcPr>
            <w:tcW w:w="760" w:type="dxa"/>
            <w:vAlign w:val="bottom"/>
          </w:tcPr>
          <w:p>
            <w:pPr>
              <w:jc w:val="right"/>
              <w:spacing w:after="0"/>
              <w:rPr>
                <w:sz w:val="20"/>
                <w:szCs w:val="20"/>
                <w:color w:val="auto"/>
              </w:rPr>
            </w:pPr>
            <w:r>
              <w:rPr>
                <w:rFonts w:ascii="Arial" w:cs="Arial" w:eastAsia="Arial" w:hAnsi="Arial"/>
                <w:sz w:val="16"/>
                <w:szCs w:val="16"/>
                <w:color w:val="auto"/>
              </w:rPr>
              <w:t>20,065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5% Stockholders: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BlackRock, Inc.(8)</w:t>
            </w:r>
          </w:p>
        </w:tc>
        <w:tc>
          <w:tcPr>
            <w:tcW w:w="760" w:type="dxa"/>
            <w:vAlign w:val="bottom"/>
          </w:tcPr>
          <w:p>
            <w:pPr>
              <w:jc w:val="right"/>
              <w:spacing w:after="0"/>
              <w:rPr>
                <w:sz w:val="20"/>
                <w:szCs w:val="20"/>
                <w:color w:val="auto"/>
              </w:rPr>
            </w:pPr>
            <w:r>
              <w:rPr>
                <w:rFonts w:ascii="Arial" w:cs="Arial" w:eastAsia="Arial" w:hAnsi="Arial"/>
                <w:sz w:val="16"/>
                <w:szCs w:val="16"/>
                <w:color w:val="auto"/>
              </w:rPr>
              <w:t>1,484,135</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9.2%</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The Vanguard Group(9)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1,324,962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Mawer Investment Management Ltd.(10)</w:t>
            </w:r>
          </w:p>
        </w:tc>
        <w:tc>
          <w:tcPr>
            <w:tcW w:w="760" w:type="dxa"/>
            <w:vAlign w:val="bottom"/>
          </w:tcPr>
          <w:p>
            <w:pPr>
              <w:jc w:val="right"/>
              <w:spacing w:after="0"/>
              <w:rPr>
                <w:sz w:val="20"/>
                <w:szCs w:val="20"/>
                <w:color w:val="auto"/>
              </w:rPr>
            </w:pPr>
            <w:r>
              <w:rPr>
                <w:rFonts w:ascii="Arial" w:cs="Arial" w:eastAsia="Arial" w:hAnsi="Arial"/>
                <w:sz w:val="16"/>
                <w:szCs w:val="16"/>
                <w:color w:val="auto"/>
              </w:rPr>
              <w:t>970,237</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6.0%</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Dimensional Fund Advisors LP (11)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859,346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r>
      <w:tr>
        <w:trPr>
          <w:trHeight w:val="209"/>
        </w:trPr>
        <w:tc>
          <w:tcPr>
            <w:tcW w:w="7300" w:type="dxa"/>
            <w:vAlign w:val="bottom"/>
            <w:gridSpan w:val="3"/>
          </w:tcPr>
          <w:p>
            <w:pPr>
              <w:spacing w:after="0"/>
              <w:rPr>
                <w:sz w:val="20"/>
                <w:szCs w:val="20"/>
                <w:color w:val="auto"/>
              </w:rPr>
            </w:pPr>
            <w:r>
              <w:rPr>
                <w:rFonts w:ascii="Arial" w:cs="Arial" w:eastAsia="Arial" w:hAnsi="Arial"/>
                <w:sz w:val="16"/>
                <w:szCs w:val="16"/>
                <w:b w:val="1"/>
                <w:bCs w:val="1"/>
                <w:color w:val="auto"/>
              </w:rPr>
              <w:t>All Current Directors and Executive Officers as a group (11 persons)</w:t>
            </w:r>
          </w:p>
        </w:tc>
        <w:tc>
          <w:tcPr>
            <w:tcW w:w="760" w:type="dxa"/>
            <w:vAlign w:val="bottom"/>
          </w:tcPr>
          <w:p>
            <w:pPr>
              <w:jc w:val="right"/>
              <w:spacing w:after="0"/>
              <w:rPr>
                <w:sz w:val="20"/>
                <w:szCs w:val="20"/>
                <w:color w:val="auto"/>
              </w:rPr>
            </w:pPr>
            <w:r>
              <w:rPr>
                <w:rFonts w:ascii="Arial" w:cs="Arial" w:eastAsia="Arial" w:hAnsi="Arial"/>
                <w:sz w:val="16"/>
                <w:szCs w:val="16"/>
                <w:color w:val="auto"/>
              </w:rPr>
              <w:t>5,294,490</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32.7%</w:t>
            </w:r>
          </w:p>
        </w:tc>
      </w:tr>
      <w:tr>
        <w:trPr>
          <w:trHeight w:val="87"/>
        </w:trPr>
        <w:tc>
          <w:tcPr>
            <w:tcW w:w="9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3" w:lineRule="exact"/>
        <w:rPr>
          <w:sz w:val="20"/>
          <w:szCs w:val="20"/>
          <w:color w:val="auto"/>
        </w:rPr>
      </w:pPr>
    </w:p>
    <w:p>
      <w:pPr>
        <w:ind w:left="1640" w:hanging="498"/>
        <w:spacing w:after="0"/>
        <w:tabs>
          <w:tab w:leader="none" w:pos="1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3" w:lineRule="exact"/>
        <w:rPr>
          <w:sz w:val="20"/>
          <w:szCs w:val="20"/>
          <w:color w:val="auto"/>
        </w:rPr>
      </w:pPr>
    </w:p>
    <w:p>
      <w:pPr>
        <w:ind w:left="1640" w:hanging="498"/>
        <w:spacing w:after="0" w:line="297" w:lineRule="auto"/>
        <w:tabs>
          <w:tab w:leader="none" w:pos="1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500 shares owned by Gertrude Prior, Mr. Cornelius B. Prior, Jr.'s wife; 34,000 shares owned by the Katherine D. Prior Revocable Trust; and 8,227 shares held by Tropical Aircraft Co., a company in which Mr. Prior owns approximately 90% of the equity. Mr. C.B. Prior, Jr. disclaims beneficial ownership of the shares owned by his wife and the Katherine D. Prior Trust, of which Mr. Prior serves as trustee. His address is P.O. Box 12030,</w:t>
      </w:r>
    </w:p>
    <w:p>
      <w:pPr>
        <w:spacing w:after="0" w:line="1" w:lineRule="exact"/>
        <w:rPr>
          <w:rFonts w:ascii="Arial" w:cs="Arial" w:eastAsia="Arial" w:hAnsi="Arial"/>
          <w:sz w:val="14"/>
          <w:szCs w:val="14"/>
          <w:color w:val="auto"/>
        </w:rPr>
      </w:pPr>
    </w:p>
    <w:p>
      <w:pPr>
        <w:ind w:left="1640"/>
        <w:spacing w:after="0"/>
        <w:rPr>
          <w:rFonts w:ascii="Arial" w:cs="Arial" w:eastAsia="Arial" w:hAnsi="Arial"/>
          <w:sz w:val="14"/>
          <w:szCs w:val="14"/>
          <w:color w:val="auto"/>
        </w:rPr>
      </w:pPr>
      <w:r>
        <w:rPr>
          <w:rFonts w:ascii="Arial" w:cs="Arial" w:eastAsia="Arial" w:hAnsi="Arial"/>
          <w:sz w:val="16"/>
          <w:szCs w:val="16"/>
          <w:color w:val="auto"/>
        </w:rPr>
        <w:t>St. Thomas, U.S. Virgin Islands 00801-5030. Excludes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270" w:lineRule="auto"/>
        <w:rPr>
          <w:sz w:val="20"/>
          <w:szCs w:val="20"/>
          <w:color w:val="auto"/>
        </w:rPr>
      </w:pPr>
      <w:r>
        <w:rPr>
          <w:rFonts w:ascii="Arial" w:cs="Arial" w:eastAsia="Arial" w:hAnsi="Arial"/>
          <w:sz w:val="16"/>
          <w:szCs w:val="16"/>
          <w:color w:val="auto"/>
        </w:rPr>
        <w:t>392,776 shares owned by the Prior Family Foundation, a charitable trust for which Mr. C.B. Prior, Jr.'s wife serves as trustee. Mr. Prior currently has approximately 763,000 shares pledged as collateral for outstanding loans and 550,550 shares held in a brokerage margin account. There are currently no outstanding margin loans in this account.</w:t>
      </w:r>
    </w:p>
    <w:p>
      <w:pPr>
        <w:spacing w:after="0" w:line="181" w:lineRule="exact"/>
        <w:rPr>
          <w:sz w:val="20"/>
          <w:szCs w:val="20"/>
          <w:color w:val="auto"/>
        </w:rPr>
      </w:pPr>
    </w:p>
    <w:p>
      <w:pPr>
        <w:ind w:left="1640" w:hanging="498"/>
        <w:spacing w:after="0"/>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shares are owned jointly with his spouse.</w:t>
      </w:r>
    </w:p>
    <w:p>
      <w:pPr>
        <w:spacing w:after="0" w:line="235" w:lineRule="exact"/>
        <w:rPr>
          <w:rFonts w:ascii="Arial" w:cs="Arial" w:eastAsia="Arial" w:hAnsi="Arial"/>
          <w:sz w:val="16"/>
          <w:szCs w:val="16"/>
          <w:color w:val="auto"/>
        </w:rPr>
      </w:pPr>
    </w:p>
    <w:p>
      <w:pPr>
        <w:ind w:left="1640" w:right="160" w:hanging="498"/>
        <w:spacing w:after="0" w:line="283"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323,078 shares owned by the Michael T. Prior 2013 Trust and 146,647 shares owned by the Lauren T. Prior 2013 Trust, for each of which Mr. Prior serves as trustee, 54,325 shares of restricted stock (5,500 of which vest on March 20, 2018; 10,500 of which vest ratably on March 17, 2018 and 2019; 16,425 of which vest ratably on March 9, 2018, 2019 and 2020; 21,900 of which vest ratably on March 8, 2018, 2019, 2020 and 2021) and 62,500 shares issuable on or before June 14, 2017, upon exercise of outstanding options. Also includes 9,341 shares held by the RP 2014 Trust, 9,441 shares held by the WP 2015 Trust and 9,841 shares held in the name of Mr. Prior's minor child. Mr. Prior serves as trustee of each trust and custodian for his minor child and disclaims beneficial ownership of all shares held by the trusts and his child.</w:t>
      </w:r>
    </w:p>
    <w:p>
      <w:pPr>
        <w:spacing w:after="0" w:line="173" w:lineRule="exact"/>
        <w:rPr>
          <w:rFonts w:ascii="Arial" w:cs="Arial" w:eastAsia="Arial" w:hAnsi="Arial"/>
          <w:sz w:val="15"/>
          <w:szCs w:val="15"/>
          <w:color w:val="auto"/>
        </w:rPr>
      </w:pPr>
    </w:p>
    <w:p>
      <w:pPr>
        <w:ind w:left="1640" w:right="40" w:hanging="498"/>
        <w:spacing w:after="0" w:line="266"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55,347 shares owned by the Justin D. Benincasa Revocable Trust, for which Mr. Benincasa serves as trustee, 20,925 shares of restricted stock (2,375 of which vest on March 20, 2018; 4,550 of which vest ratably on March 17, 2018 and 2019; 6,000 of which vest ratably on March 9, 2018, 2019 and 2020; and 8,000 of which vest ratably on March 8, 2018, 2019, 2020 and 2021) and 47,000 shares issuable on or before June 14, 2017, upon exercise of outstanding options.</w:t>
      </w:r>
    </w:p>
    <w:p>
      <w:pPr>
        <w:spacing w:after="0" w:line="183" w:lineRule="exact"/>
        <w:rPr>
          <w:rFonts w:ascii="Arial" w:cs="Arial" w:eastAsia="Arial" w:hAnsi="Arial"/>
          <w:sz w:val="16"/>
          <w:szCs w:val="16"/>
          <w:color w:val="auto"/>
        </w:rPr>
      </w:pPr>
    </w:p>
    <w:p>
      <w:pPr>
        <w:ind w:left="1640" w:hanging="498"/>
        <w:spacing w:after="0" w:line="297"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47,643 shares held jointly with Mr. Kreisher's spouse, 13,725 shares of restricted stock (1,500 of which vest on March 20, 2018; 2,950 of which vest ratably on March 17, 2018 and 2019; 3,975 of which vest ratably on March 9, 2018, 2019 and 2020; 5,300 of which vest ratably on March 8, 2018, 2019, 2020 and 2021) and 40,872 shares issuable on or before June 14, 2017, upon exercise of outstanding options.</w:t>
      </w:r>
    </w:p>
    <w:p>
      <w:pPr>
        <w:spacing w:after="0" w:line="173" w:lineRule="exact"/>
        <w:rPr>
          <w:rFonts w:ascii="Arial" w:cs="Arial" w:eastAsia="Arial" w:hAnsi="Arial"/>
          <w:sz w:val="15"/>
          <w:szCs w:val="15"/>
          <w:color w:val="auto"/>
        </w:rPr>
      </w:pPr>
    </w:p>
    <w:p>
      <w:pPr>
        <w:ind w:left="1640" w:hanging="498"/>
        <w:spacing w:after="0" w:line="297"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7,293 shares held jointly with Mr. Slap's spouse, 12,212 shares of restricted stock (1,250 of which vest on March 20, 2018; 2,650 of which vest ratably on March 17, 2018 and 2019; 3,562 of which vest ratably on March 9, 2018, 2019 and 2020 and 4,750 of which vest ratably on March 8, 2018, 2019, 2020 and 2021) and 12,500 shares issuable on or before June 14, 2017, upon exercise of outstanding options.</w:t>
      </w:r>
    </w:p>
    <w:p>
      <w:pPr>
        <w:spacing w:after="0" w:line="161" w:lineRule="exact"/>
        <w:rPr>
          <w:rFonts w:ascii="Arial" w:cs="Arial" w:eastAsia="Arial" w:hAnsi="Arial"/>
          <w:sz w:val="15"/>
          <w:szCs w:val="15"/>
          <w:color w:val="auto"/>
        </w:rPr>
      </w:pPr>
    </w:p>
    <w:p>
      <w:pPr>
        <w:ind w:left="1640" w:right="360" w:hanging="498"/>
        <w:spacing w:after="0" w:line="319" w:lineRule="auto"/>
        <w:tabs>
          <w:tab w:leader="none" w:pos="1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13,506 shares of restricted stock (2,031 of which vest ratably on May 20, 2018; 1,450 of which vest ratably on March 17, 2018 and 2019; 4,125 of which vest ratably on March 9, 2018, 2019, and 2020; 5,900 of which vest ratably on March 8, 2018, 2019, 2020 and 2021).</w:t>
      </w:r>
    </w:p>
    <w:p>
      <w:pPr>
        <w:spacing w:after="0" w:line="145" w:lineRule="exact"/>
        <w:rPr>
          <w:rFonts w:ascii="Arial" w:cs="Arial" w:eastAsia="Arial" w:hAnsi="Arial"/>
          <w:sz w:val="15"/>
          <w:szCs w:val="15"/>
          <w:color w:val="auto"/>
        </w:rPr>
      </w:pPr>
    </w:p>
    <w:p>
      <w:pPr>
        <w:ind w:left="1640" w:hanging="498"/>
        <w:spacing w:after="0" w:line="270"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Securities and Exchange Commission ("SEC") on January 19, 2017, BlackRock, Inc. ("BlackRock") has sole voting power with respect to 1,459,051 shares and sole dispositive power with respect to 1,484,135 shares. The address of BlackRock is 55 East 52nd Street; New York, NY 10055.</w:t>
      </w:r>
    </w:p>
    <w:p>
      <w:pPr>
        <w:spacing w:after="0" w:line="192" w:lineRule="exact"/>
        <w:rPr>
          <w:rFonts w:ascii="Arial" w:cs="Arial" w:eastAsia="Arial" w:hAnsi="Arial"/>
          <w:sz w:val="16"/>
          <w:szCs w:val="16"/>
          <w:color w:val="auto"/>
        </w:rPr>
      </w:pPr>
    </w:p>
    <w:p>
      <w:pPr>
        <w:ind w:left="1640" w:right="20" w:hanging="498"/>
        <w:spacing w:after="0" w:line="262"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10, 2017. The Vanguard Group ("Vanguard") has sole voting power with respect to 12,589 shares, sole dispositive power with respect to 1,312,331 shares and shared dispositive power with respect to 12,631 shares. Includes 12,060 shares beneficially owned by Vanguard's wholly-owned subsidiary Vanguard Fiduciary Trust Company ("VFTC") as a result of VFTC's serving as investment manager of collective trust accounts and 1,100 shares beneficially owned by Vanguard's wholly-owned subsidiary Vanguard Investments Australia, Ltd. ("VIA") as a result of VIA's serving as investment manager of Australian investment offerings. The address of Vanguard is 100 Vanguard Blvd. Malvern, PA 19355.</w:t>
      </w:r>
    </w:p>
    <w:p>
      <w:pPr>
        <w:spacing w:after="0" w:line="188" w:lineRule="exact"/>
        <w:rPr>
          <w:rFonts w:ascii="Arial" w:cs="Arial" w:eastAsia="Arial" w:hAnsi="Arial"/>
          <w:sz w:val="16"/>
          <w:szCs w:val="16"/>
          <w:color w:val="auto"/>
        </w:rPr>
      </w:pPr>
    </w:p>
    <w:p>
      <w:pPr>
        <w:ind w:left="1640" w:right="600" w:hanging="498"/>
        <w:spacing w:after="0" w:line="284"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7, 2017. Mawer Investment Management Ltd. ("Mawer") has sole voting power with respect to 970,327</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400"/>
        <w:spacing w:after="0" w:line="284" w:lineRule="auto"/>
        <w:rPr>
          <w:sz w:val="20"/>
          <w:szCs w:val="20"/>
          <w:color w:val="auto"/>
        </w:rPr>
      </w:pPr>
      <w:r>
        <w:rPr>
          <w:rFonts w:ascii="Arial" w:cs="Arial" w:eastAsia="Arial" w:hAnsi="Arial"/>
          <w:sz w:val="16"/>
          <w:szCs w:val="16"/>
          <w:color w:val="auto"/>
        </w:rPr>
        <w:t>shares and sole dispositive power with respect to 970,327 shares. The address of Mawer is 600, 517—10th Avenue SW; Calgary, Alberta, Canada T2R 0A8.</w:t>
      </w:r>
    </w:p>
    <w:p>
      <w:pPr>
        <w:spacing w:after="0" w:line="169" w:lineRule="exact"/>
        <w:rPr>
          <w:sz w:val="20"/>
          <w:szCs w:val="20"/>
          <w:color w:val="auto"/>
        </w:rPr>
      </w:pPr>
    </w:p>
    <w:p>
      <w:pPr>
        <w:ind w:left="1640" w:right="500" w:hanging="498"/>
        <w:spacing w:after="0" w:line="270" w:lineRule="auto"/>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9, 2017, Dimensional Fund Advisors LP ("Dimensional") has sole voting power with respect to 813,805 shares and sole dispositive power with respect to 859,346 shares. The address of Dimensional is Building One, 6300 Bee Cave Road, Austin, Texas 78746.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common stock and provide us with copies of those reports. To our knowledge, based solely on review of the copies of such forms furnished to us and written representations from our executive officers and directors, for the fiscal year ended December 31, 2016, all Section 16(a) reports applicable to our executive officers, directors and 10% stockholders were timely filed except as described below.</w:t>
      </w:r>
    </w:p>
    <w:p>
      <w:pPr>
        <w:spacing w:after="0" w:line="172" w:lineRule="exact"/>
        <w:rPr>
          <w:sz w:val="20"/>
          <w:szCs w:val="20"/>
          <w:color w:val="auto"/>
        </w:rPr>
      </w:pPr>
    </w:p>
    <w:p>
      <w:pPr>
        <w:ind w:right="380" w:firstLine="321"/>
        <w:spacing w:after="0" w:line="284" w:lineRule="auto"/>
        <w:rPr>
          <w:sz w:val="20"/>
          <w:szCs w:val="20"/>
          <w:color w:val="auto"/>
        </w:rPr>
      </w:pPr>
      <w:r>
        <w:rPr>
          <w:rFonts w:ascii="Arial" w:cs="Arial" w:eastAsia="Arial" w:hAnsi="Arial"/>
          <w:sz w:val="16"/>
          <w:szCs w:val="16"/>
          <w:color w:val="auto"/>
        </w:rPr>
        <w:t>Mr. Kreisher filed a late Form 4 on each of February 17, 2016 and August 29, 2016, each reporting one transaction. On May 27, 2016, Mr. Fougere filed a late Form 4 reporting one transaction.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1: ELECTION OF DIRECTORS</w:t>
      </w:r>
    </w:p>
    <w:p>
      <w:pPr>
        <w:spacing w:after="0" w:line="215" w:lineRule="exact"/>
        <w:rPr>
          <w:sz w:val="20"/>
          <w:szCs w:val="20"/>
          <w:color w:val="auto"/>
        </w:rPr>
      </w:pPr>
    </w:p>
    <w:p>
      <w:pPr>
        <w:ind w:right="260" w:firstLine="321"/>
        <w:spacing w:after="0" w:line="284" w:lineRule="auto"/>
        <w:rPr>
          <w:sz w:val="20"/>
          <w:szCs w:val="20"/>
          <w:color w:val="auto"/>
        </w:rPr>
      </w:pPr>
      <w:r>
        <w:rPr>
          <w:rFonts w:ascii="Arial" w:cs="Arial" w:eastAsia="Arial" w:hAnsi="Arial"/>
          <w:sz w:val="16"/>
          <w:szCs w:val="16"/>
          <w:color w:val="auto"/>
        </w:rPr>
        <w:t>Stockholders are being asked to elect the following seven members to our Board of Directors to hold office until our next annual meeting of stockholders and until their respective successors are elected and qualified, subject to their earlier retirement, resignation or removal:</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Cornelius B. Prior, Jr.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Martin L. Budd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Bernard J. Bulkin</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Michael T. Flynn</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Liane J. Pelletier</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Michael T. Prior</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Charles J. Roesslein</w:t>
      </w:r>
    </w:p>
    <w:p>
      <w:pPr>
        <w:spacing w:after="0" w:line="203" w:lineRule="exact"/>
        <w:rPr>
          <w:sz w:val="20"/>
          <w:szCs w:val="20"/>
          <w:color w:val="auto"/>
        </w:rPr>
      </w:pPr>
    </w:p>
    <w:p>
      <w:pPr>
        <w:ind w:right="120" w:firstLine="321"/>
        <w:spacing w:after="0" w:line="270" w:lineRule="auto"/>
        <w:rPr>
          <w:sz w:val="20"/>
          <w:szCs w:val="20"/>
          <w:color w:val="auto"/>
        </w:rPr>
      </w:pPr>
      <w:r>
        <w:rPr>
          <w:rFonts w:ascii="Arial" w:cs="Arial" w:eastAsia="Arial" w:hAnsi="Arial"/>
          <w:sz w:val="16"/>
          <w:szCs w:val="16"/>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5" w:lineRule="exact"/>
        <w:rPr>
          <w:sz w:val="20"/>
          <w:szCs w:val="20"/>
          <w:color w:val="auto"/>
        </w:rPr>
      </w:pPr>
    </w:p>
    <w:p>
      <w:pPr>
        <w:ind w:right="160" w:firstLine="321"/>
        <w:spacing w:after="0" w:line="284" w:lineRule="auto"/>
        <w:rPr>
          <w:sz w:val="20"/>
          <w:szCs w:val="20"/>
          <w:color w:val="auto"/>
        </w:rPr>
      </w:pPr>
      <w:r>
        <w:rPr>
          <w:rFonts w:ascii="Arial" w:cs="Arial" w:eastAsia="Arial" w:hAnsi="Arial"/>
          <w:sz w:val="16"/>
          <w:szCs w:val="16"/>
          <w:color w:val="auto"/>
        </w:rPr>
        <w:t>Each director nominee must be elected by an affirmative vote of a majority of the votes cast at the Annual Meeting and entitled to vote regarding such director nominee's election. Abstentions and broker non-votes will not be treated as votes cast and, therefore, will not affect the outcome of the elections.</w:t>
      </w:r>
    </w:p>
    <w:p>
      <w:pPr>
        <w:spacing w:after="0" w:line="156"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If a director nominee does not receive a majority of the votes cast regarding his or her election, such nominee would be required to submit an irrevocable resignation to the Nominating and Corporate Governance Committee of the Board, and the committee would make a recommendation to the Board as to whether to accept or reject the resignation or whether other action should be taken. The Board would then act on the resignation, taking into account the committee's recommendation, and publicly disclose (by filing an appropriate disclosure with the SEC) its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OUR BOARD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THESE NOMINEES.</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2: ADVISORY VOTE ON EXECUTIVE COMPENSATION</w:t>
      </w:r>
    </w:p>
    <w:p>
      <w:pPr>
        <w:spacing w:after="0" w:line="215" w:lineRule="exact"/>
        <w:rPr>
          <w:sz w:val="20"/>
          <w:szCs w:val="20"/>
          <w:color w:val="auto"/>
        </w:rPr>
      </w:pPr>
    </w:p>
    <w:p>
      <w:pPr>
        <w:ind w:right="140" w:firstLine="321"/>
        <w:spacing w:after="0" w:line="285" w:lineRule="auto"/>
        <w:rPr>
          <w:sz w:val="20"/>
          <w:szCs w:val="20"/>
          <w:color w:val="auto"/>
        </w:rPr>
      </w:pPr>
      <w:r>
        <w:rPr>
          <w:rFonts w:ascii="Arial" w:cs="Arial" w:eastAsia="Arial" w:hAnsi="Arial"/>
          <w:sz w:val="15"/>
          <w:szCs w:val="15"/>
          <w:color w:val="auto"/>
        </w:rPr>
        <w:t>Our Board is providing stockholders with the opportunity to cast an advisory vote on the compensation of our named executive officers as described in the Compensation Discussion and Analysis, the compensation tables and related materials contained in this proxy. This proposal, also commonly referred to as a "Say on Pay" vote, gives our stockholders the opportunity to indicate whether they approve of or do not approve of our executive compensation policies and programs and the compensation actually paid to our named executive officers. This resolution is required pursuant to Section 14A of the Securities Exchange Act. We currently provide our stockholders the opportunity to indicate whether they approve of the compensation of our named executive officers every three years.</w:t>
      </w:r>
    </w:p>
    <w:p>
      <w:pPr>
        <w:spacing w:after="0" w:line="160" w:lineRule="exact"/>
        <w:rPr>
          <w:sz w:val="20"/>
          <w:szCs w:val="20"/>
          <w:color w:val="auto"/>
        </w:rPr>
      </w:pPr>
    </w:p>
    <w:p>
      <w:pPr>
        <w:ind w:right="80" w:firstLine="321"/>
        <w:spacing w:after="0" w:line="264" w:lineRule="auto"/>
        <w:rPr>
          <w:sz w:val="20"/>
          <w:szCs w:val="20"/>
          <w:color w:val="auto"/>
        </w:rPr>
      </w:pPr>
      <w:r>
        <w:rPr>
          <w:rFonts w:ascii="Arial" w:cs="Arial" w:eastAsia="Arial" w:hAnsi="Arial"/>
          <w:sz w:val="16"/>
          <w:szCs w:val="16"/>
          <w:color w:val="auto"/>
        </w:rPr>
        <w:t>Please review the Compensation Discussion and Analysis beginning on page 21 and the accompanying tabular and other disclosures on executive compensation beginning on page 28,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Compensation Committee and the Board believe our executive compensation programs use appropriate structures and policies that are effective in achieving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goals and objectives. Accordingly, the Board recommends that you vote in favor of the following resolution:</w:t>
      </w:r>
    </w:p>
    <w:p>
      <w:pPr>
        <w:spacing w:after="0" w:line="203" w:lineRule="exact"/>
        <w:rPr>
          <w:sz w:val="20"/>
          <w:szCs w:val="20"/>
          <w:color w:val="auto"/>
        </w:rPr>
      </w:pPr>
    </w:p>
    <w:p>
      <w:pPr>
        <w:ind w:left="500" w:right="80"/>
        <w:spacing w:after="0" w:line="284" w:lineRule="auto"/>
        <w:rPr>
          <w:sz w:val="20"/>
          <w:szCs w:val="20"/>
          <w:color w:val="auto"/>
        </w:rPr>
      </w:pPr>
      <w:r>
        <w:rPr>
          <w:rFonts w:ascii="Arial" w:cs="Arial" w:eastAsia="Arial" w:hAnsi="Arial"/>
          <w:sz w:val="16"/>
          <w:szCs w:val="16"/>
          <w:color w:val="auto"/>
        </w:rPr>
        <w:t>"RESOLVED, that the stockholders approve of the compensation of the Company's named executive officers, as disclosed in the Compensation Discussion and Analysis and Executive Compensation sections contained in this Proxy Statement."</w:t>
      </w:r>
    </w:p>
    <w:p>
      <w:pPr>
        <w:spacing w:after="0" w:line="156" w:lineRule="exact"/>
        <w:rPr>
          <w:sz w:val="20"/>
          <w:szCs w:val="20"/>
          <w:color w:val="auto"/>
        </w:rPr>
      </w:pPr>
    </w:p>
    <w:p>
      <w:pPr>
        <w:ind w:right="140" w:firstLine="318"/>
        <w:spacing w:after="0" w:line="270" w:lineRule="auto"/>
        <w:rPr>
          <w:sz w:val="20"/>
          <w:szCs w:val="20"/>
          <w:color w:val="auto"/>
        </w:rPr>
      </w:pPr>
      <w:r>
        <w:rPr>
          <w:rFonts w:ascii="Arial" w:cs="Arial" w:eastAsia="Arial" w:hAnsi="Arial"/>
          <w:sz w:val="16"/>
          <w:szCs w:val="16"/>
          <w:color w:val="auto"/>
        </w:rPr>
        <w:t>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Vote</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approval, on an advisory and non-binding basis, of the compensation of our named executive officers requires the affirmative vote of a majority of the shares present, or represented by proxy, and entitled to vote thereon.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right="200" w:firstLine="321"/>
        <w:spacing w:after="0" w:line="289" w:lineRule="auto"/>
        <w:rPr>
          <w:sz w:val="20"/>
          <w:szCs w:val="20"/>
          <w:color w:val="auto"/>
        </w:rPr>
      </w:pPr>
      <w:r>
        <w:rPr>
          <w:rFonts w:ascii="Arial" w:cs="Arial" w:eastAsia="Arial" w:hAnsi="Arial"/>
          <w:sz w:val="16"/>
          <w:szCs w:val="16"/>
          <w:color w:val="auto"/>
        </w:rPr>
        <w:t xml:space="preserve">OUR BOARD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COMPENSATION OF OUR NAMED EXECUTIVE OFFICERS AS DISCLOSED IN THIS PROXY STATEMENT.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PROPOSAL 3: ADVISORY VOTE ON FREQUENCY</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OF EXECUTIVE COMPENSATION VOTE</w:t>
      </w:r>
    </w:p>
    <w:p>
      <w:pPr>
        <w:spacing w:after="0" w:line="203" w:lineRule="exact"/>
        <w:rPr>
          <w:sz w:val="20"/>
          <w:szCs w:val="20"/>
          <w:color w:val="auto"/>
        </w:rPr>
      </w:pPr>
    </w:p>
    <w:p>
      <w:pPr>
        <w:ind w:left="321"/>
        <w:spacing w:after="0"/>
        <w:rPr>
          <w:sz w:val="20"/>
          <w:szCs w:val="20"/>
          <w:color w:val="auto"/>
        </w:rPr>
      </w:pPr>
      <w:r>
        <w:rPr>
          <w:rFonts w:ascii="Arial" w:cs="Arial" w:eastAsia="Arial" w:hAnsi="Arial"/>
          <w:sz w:val="14"/>
          <w:szCs w:val="14"/>
          <w:color w:val="auto"/>
        </w:rPr>
        <w:t>The following proposal gives our stockholders the opportunity to inform us as to how often you wish the Company to include a "Say on Pay" proposal (similar to Proposal</w:t>
      </w:r>
    </w:p>
    <w:p>
      <w:pPr>
        <w:spacing w:after="0" w:line="44" w:lineRule="exact"/>
        <w:rPr>
          <w:sz w:val="20"/>
          <w:szCs w:val="20"/>
          <w:color w:val="auto"/>
        </w:rPr>
      </w:pPr>
    </w:p>
    <w:p>
      <w:pPr>
        <w:ind w:left="1" w:hanging="1"/>
        <w:spacing w:after="0" w:line="286" w:lineRule="auto"/>
        <w:tabs>
          <w:tab w:leader="none" w:pos="1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our Proxy Statement. This resolution is required pursuant to Section 14A of the Securities Exchange Act. You may elect to have the vote held every year, every two years or every three years, or you may abstain. While our Board intends to carefully consider the stockholder vote resulting from the proposal when making decisions regarding the inclusion of "Say on Pay" proposals in future proxy statements, the final vote is advisory in nature and will be non-binding. At least once every six years, stockholders will be asked to vote on the frequency with which a "Say on Pay" proposal should be included in future proxy statements.</w:t>
      </w:r>
    </w:p>
    <w:p>
      <w:pPr>
        <w:spacing w:after="0" w:line="157" w:lineRule="exact"/>
        <w:rPr>
          <w:sz w:val="20"/>
          <w:szCs w:val="20"/>
          <w:color w:val="auto"/>
        </w:rPr>
      </w:pPr>
    </w:p>
    <w:p>
      <w:pPr>
        <w:ind w:left="1" w:right="80" w:firstLine="318"/>
        <w:spacing w:after="0" w:line="310" w:lineRule="auto"/>
        <w:rPr>
          <w:sz w:val="20"/>
          <w:szCs w:val="20"/>
          <w:color w:val="auto"/>
        </w:rPr>
      </w:pPr>
      <w:r>
        <w:rPr>
          <w:rFonts w:ascii="Arial" w:cs="Arial" w:eastAsia="Arial" w:hAnsi="Arial"/>
          <w:sz w:val="14"/>
          <w:szCs w:val="14"/>
          <w:color w:val="auto"/>
        </w:rPr>
        <w:t>The Board of Directors recommends that you vote to hold an advisory vote on executive compensation every three years. We believe that a triennial vote on executive compensation will provide stockholders with a more accurate window for evaluating Company performance trends and allow our Board the time for more thoughtful analysis in weighing our compensation policies against the Company's performance. We believe in taking a long term approach to operating our Company's business, and believe that our approach to management compensation should mirror this strategy. By reviewing executive compensation every three years, stockholders will have the benefit of multiple performance periods to better evaluate the way our Board has measured executive compensation against Company performance over that time period.</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Required Vote</w:t>
      </w:r>
    </w:p>
    <w:p>
      <w:pPr>
        <w:spacing w:after="0" w:line="215" w:lineRule="exact"/>
        <w:rPr>
          <w:sz w:val="20"/>
          <w:szCs w:val="20"/>
          <w:color w:val="auto"/>
        </w:rPr>
      </w:pPr>
    </w:p>
    <w:p>
      <w:pPr>
        <w:ind w:left="1" w:right="600" w:firstLine="318"/>
        <w:spacing w:after="0" w:line="284" w:lineRule="auto"/>
        <w:rPr>
          <w:sz w:val="20"/>
          <w:szCs w:val="20"/>
          <w:color w:val="auto"/>
        </w:rPr>
      </w:pPr>
      <w:r>
        <w:rPr>
          <w:rFonts w:ascii="Arial" w:cs="Arial" w:eastAsia="Arial" w:hAnsi="Arial"/>
          <w:sz w:val="16"/>
          <w:szCs w:val="16"/>
          <w:color w:val="auto"/>
        </w:rPr>
        <w:t>The Stockholders will indicate their selection, on an advisory and non-binding basis, the frequency with which "Say on Pay" proposals are included in future proxy statements by a plurality of the votes cast.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left="1" w:right="380" w:firstLine="321"/>
        <w:spacing w:after="0" w:line="289" w:lineRule="auto"/>
        <w:rPr>
          <w:sz w:val="20"/>
          <w:szCs w:val="20"/>
          <w:color w:val="auto"/>
        </w:rPr>
      </w:pPr>
      <w:r>
        <w:rPr>
          <w:rFonts w:ascii="Arial" w:cs="Arial" w:eastAsia="Arial" w:hAnsi="Arial"/>
          <w:sz w:val="16"/>
          <w:szCs w:val="16"/>
          <w:color w:val="auto"/>
        </w:rPr>
        <w:t xml:space="preserve">OUR BOARD RECOMMENDS THAT YOU VOTE </w:t>
      </w:r>
      <w:r>
        <w:rPr>
          <w:rFonts w:ascii="Arial" w:cs="Arial" w:eastAsia="Arial" w:hAnsi="Arial"/>
          <w:sz w:val="16"/>
          <w:szCs w:val="16"/>
          <w:b w:val="1"/>
          <w:bCs w:val="1"/>
          <w:color w:val="auto"/>
        </w:rPr>
        <w:t>TO APPROVE</w:t>
      </w:r>
      <w:r>
        <w:rPr>
          <w:rFonts w:ascii="Arial" w:cs="Arial" w:eastAsia="Arial" w:hAnsi="Arial"/>
          <w:sz w:val="16"/>
          <w:szCs w:val="16"/>
          <w:color w:val="auto"/>
        </w:rPr>
        <w:t xml:space="preserve"> AN ADVISORY VOTE ON EXECUTIVE COMPENSATION OCCURRING EVERY THREE YEARS.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AND NOMINEE EXPERIENCE AND QUALIFICATIONS</w:t>
      </w:r>
    </w:p>
    <w:p>
      <w:pPr>
        <w:spacing w:after="0" w:line="215" w:lineRule="exact"/>
        <w:rPr>
          <w:sz w:val="20"/>
          <w:szCs w:val="20"/>
          <w:color w:val="auto"/>
        </w:rPr>
      </w:pPr>
    </w:p>
    <w:p>
      <w:pPr>
        <w:ind w:right="320" w:firstLine="321"/>
        <w:spacing w:after="0" w:line="284" w:lineRule="auto"/>
        <w:rPr>
          <w:sz w:val="20"/>
          <w:szCs w:val="20"/>
          <w:color w:val="auto"/>
        </w:rPr>
      </w:pPr>
      <w:r>
        <w:rPr>
          <w:rFonts w:ascii="Arial" w:cs="Arial" w:eastAsia="Arial" w:hAnsi="Arial"/>
          <w:sz w:val="16"/>
          <w:szCs w:val="16"/>
          <w:color w:val="auto"/>
        </w:rPr>
        <w:t>Set forth below is biographical information about the nominees for director, each of whom is currently a director. All of the directors' present terms expire at the Annual Meeting.</w:t>
      </w:r>
    </w:p>
    <w:p>
      <w:pPr>
        <w:spacing w:after="0" w:line="156"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b w:val="1"/>
          <w:bCs w:val="1"/>
          <w:i w:val="1"/>
          <w:iCs w:val="1"/>
          <w:color w:val="auto"/>
        </w:rPr>
        <w:t>Cornelius B. Prior, Jr.</w:t>
      </w:r>
      <w:r>
        <w:rPr>
          <w:rFonts w:ascii="Arial" w:cs="Arial" w:eastAsia="Arial" w:hAnsi="Arial"/>
          <w:sz w:val="16"/>
          <w:szCs w:val="16"/>
          <w:color w:val="auto"/>
        </w:rPr>
        <w:t>, 83, is the Chairman of our Board of Directors. He served as our Chief Executive Officer and Chairman of the Board from 1998 through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at which time he retired as Chief Executive Officer. Mr. Prior has served as the Chairman of CANTO (the Caribbean Association of National Telecommunication Organizations) and presently is the Chairman of CCAA (Caribbean and Central American Action). He was a managing director and stockholder of Kidder, Peabody &amp; Co. Incorporated, where he directed the Telecommunications Finance Group. A former Naval Officer and Fulbright Scholar, Mr. Prior started his career as an attorney with Sullivan &amp; Cromwell in New York. He is a Trustee of Holy Cross College and former member of the Visiting Committee to Harvard Law School. He resides in St. Thomas, US Virgin Islands, where he is Chairman of the Forum, a not-for-profit arts organization, and Honorary Trustee of the Antilles School. He is also a director of the University of North Carolina Medical School Ophthalmology Research Institute. He is the father of Michael T. Prior, our President and Chief Executive Officer. Mr. Prior earned his legal degree from the Harvard Law School.</w:t>
      </w:r>
    </w:p>
    <w:p>
      <w:pPr>
        <w:spacing w:after="0" w:line="175" w:lineRule="exact"/>
        <w:rPr>
          <w:sz w:val="20"/>
          <w:szCs w:val="20"/>
          <w:color w:val="auto"/>
        </w:rPr>
      </w:pPr>
    </w:p>
    <w:p>
      <w:pPr>
        <w:jc w:val="both"/>
        <w:ind w:right="40" w:firstLine="321"/>
        <w:spacing w:after="0" w:line="266" w:lineRule="auto"/>
        <w:rPr>
          <w:sz w:val="20"/>
          <w:szCs w:val="20"/>
          <w:color w:val="auto"/>
        </w:rPr>
      </w:pPr>
      <w:r>
        <w:rPr>
          <w:rFonts w:ascii="Arial" w:cs="Arial" w:eastAsia="Arial" w:hAnsi="Arial"/>
          <w:sz w:val="16"/>
          <w:szCs w:val="16"/>
          <w:color w:val="auto"/>
        </w:rPr>
        <w:t>Mr. C.B. Prior, Jr. was selected to serve as a director on our Board because of his extensive strategic involvement with the Company, including as its founder, former Chief Executive Officer and largest stockholder of the Company. Mr. C.B. Prior, Jr. has extensive knowledge of the telecommunications markets in the Caribbean, and brings valuable expertise and business judgment to the Company. For additional information regarding the Company's decision to select Mr. C.B. Prior, Jr. as a director and Chairman, please see "Corporate Governance—Board Leadership Structure."</w:t>
      </w:r>
    </w:p>
    <w:p>
      <w:pPr>
        <w:spacing w:after="0" w:line="171" w:lineRule="exact"/>
        <w:rPr>
          <w:sz w:val="20"/>
          <w:szCs w:val="20"/>
          <w:color w:val="auto"/>
        </w:rPr>
      </w:pPr>
    </w:p>
    <w:p>
      <w:pPr>
        <w:ind w:right="20" w:firstLine="321"/>
        <w:spacing w:after="0" w:line="283" w:lineRule="auto"/>
        <w:rPr>
          <w:sz w:val="20"/>
          <w:szCs w:val="20"/>
          <w:color w:val="auto"/>
        </w:rPr>
      </w:pPr>
      <w:r>
        <w:rPr>
          <w:rFonts w:ascii="Arial" w:cs="Arial" w:eastAsia="Arial" w:hAnsi="Arial"/>
          <w:sz w:val="15"/>
          <w:szCs w:val="15"/>
          <w:b w:val="1"/>
          <w:bCs w:val="1"/>
          <w:i w:val="1"/>
          <w:iCs w:val="1"/>
          <w:color w:val="auto"/>
        </w:rPr>
        <w:t>Martin L. Budd</w:t>
      </w:r>
      <w:r>
        <w:rPr>
          <w:rFonts w:ascii="Arial" w:cs="Arial" w:eastAsia="Arial" w:hAnsi="Arial"/>
          <w:sz w:val="15"/>
          <w:szCs w:val="15"/>
          <w:color w:val="auto"/>
        </w:rPr>
        <w:t>, 76, has been a director of ours since May 2007, and is the Chair of our Compensation Committee and a member of our Audit Committee. He retired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of the law firm of Day, Berry and 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He is a member of the National Executive Committee of the Anti-Defamation League and is the former chairman, and currently serves as a member of, the Board of Trustees of the Hartford Seminary. Mr. Budd also serves on the Board of the "I Have a Dream" Foundation. Mr. Budd earned his legal degree from the Harvard Law School.</w:t>
      </w:r>
    </w:p>
    <w:p>
      <w:pPr>
        <w:spacing w:after="0" w:line="161" w:lineRule="exact"/>
        <w:rPr>
          <w:sz w:val="20"/>
          <w:szCs w:val="20"/>
          <w:color w:val="auto"/>
        </w:rPr>
      </w:pPr>
    </w:p>
    <w:p>
      <w:pPr>
        <w:ind w:right="480" w:firstLine="321"/>
        <w:spacing w:after="0" w:line="284" w:lineRule="auto"/>
        <w:rPr>
          <w:sz w:val="20"/>
          <w:szCs w:val="20"/>
          <w:color w:val="auto"/>
        </w:rPr>
      </w:pPr>
      <w:r>
        <w:rPr>
          <w:rFonts w:ascii="Arial" w:cs="Arial" w:eastAsia="Arial" w:hAnsi="Arial"/>
          <w:sz w:val="16"/>
          <w:szCs w:val="16"/>
          <w:color w:val="auto"/>
        </w:rPr>
        <w:t>Mr. Budd was selected to serve as a director on our Board because of his extensive background providing legal, regulatory and corporate governance advice to public companies.</w:t>
      </w:r>
    </w:p>
    <w:p>
      <w:pPr>
        <w:spacing w:after="0" w:line="156" w:lineRule="exact"/>
        <w:rPr>
          <w:sz w:val="20"/>
          <w:szCs w:val="20"/>
          <w:color w:val="auto"/>
        </w:rPr>
      </w:pPr>
    </w:p>
    <w:p>
      <w:pPr>
        <w:ind w:firstLine="321"/>
        <w:spacing w:after="0" w:line="303" w:lineRule="auto"/>
        <w:rPr>
          <w:sz w:val="20"/>
          <w:szCs w:val="20"/>
          <w:color w:val="auto"/>
        </w:rPr>
      </w:pPr>
      <w:r>
        <w:rPr>
          <w:rFonts w:ascii="Arial" w:cs="Arial" w:eastAsia="Arial" w:hAnsi="Arial"/>
          <w:sz w:val="14"/>
          <w:szCs w:val="14"/>
          <w:b w:val="1"/>
          <w:bCs w:val="1"/>
          <w:i w:val="1"/>
          <w:iCs w:val="1"/>
          <w:color w:val="auto"/>
        </w:rPr>
        <w:t>Dr. Bernard J. Bulkin</w:t>
      </w:r>
      <w:r>
        <w:rPr>
          <w:rFonts w:ascii="Arial" w:cs="Arial" w:eastAsia="Arial" w:hAnsi="Arial"/>
          <w:sz w:val="14"/>
          <w:szCs w:val="14"/>
          <w:color w:val="auto"/>
        </w:rPr>
        <w:t>, 75, has been a director of ours since March 2016 and is a member of our Nominating and Corporate Governance Committee. Dr. Bulkin brings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particular expertise in the field of renewable energy. He held several senior management roles throughout his approximately twenty- year career at British Petroleum, including Director of the refining business, Vice President Environmental Affairs, and Chief Scientist. Dr Bulkin left BP in 2003. He is currently a Director of Ludgate Investments Limited, K3Solar Ltd., IDSolar Power Ltd., and Sustainable Power Ltd., and is a member of the FTSE Environmental Markets Advisory Committee. Dr. Bulkin has served on the boards of Severn Trent plc,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and has held several other UK government roles in sustainable energy and transport. He earned a B.S. in Chemistry from the Polytechnic Institute of Brooklyn and a Ph.D. in Physical Chemistry from Purdue University. Dr. Bulkin is a Professorial Fellow at the University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Cambridge and is the author of Crash Course, published in March 2015. He was awarded the Honour of Officer of the Order of the British Empire (OBE) in the 2017 New Year Honours List.</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Dr. Bulkin was selected to serve as a director on our Board because of his particular expertise in the field of renewable energy.</w:t>
      </w:r>
    </w:p>
    <w:p>
      <w:pPr>
        <w:spacing w:after="0" w:line="211"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b w:val="1"/>
          <w:bCs w:val="1"/>
          <w:i w:val="1"/>
          <w:iCs w:val="1"/>
          <w:color w:val="auto"/>
        </w:rPr>
        <w:t>Michael T. Flynn</w:t>
      </w:r>
      <w:r>
        <w:rPr>
          <w:rFonts w:ascii="Arial" w:cs="Arial" w:eastAsia="Arial" w:hAnsi="Arial"/>
          <w:sz w:val="16"/>
          <w:szCs w:val="16"/>
          <w:color w:val="auto"/>
        </w:rPr>
        <w:t>, 68, has been a director of ours since June 2010 and is a member of our Audit and Compensation Committees. He is currently a director of Airspan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Inc., a provider of wireless broadband equipment and CALIX, Inc., a manufacturer of broadband equipment. Mr. Flynn has forty years of experience in the telecommunications wireline and wireless businesses, and spent ten years as an officer at Alltel Corporation prior to his retirement in 2004. He also previously served as an officer of Southwestern Bell Telephone Co. and its parent SBC Communications from 1987 to 1994. Mr. Flynn has previously served on the board of directors of WebEx Communications, Inc., a provider of internet collaboration services, Equity Media Holding Corporation, an owner and operator of television stations throughout the United States, iLinc Communications, Inc., a provider of SaS web collaboration and GENBAND, a worldwide leader of next generation network systems. Mr. Flynn received a Bachelor of Science degree in Industrial Engineering from Texas A&amp;M University and attended the Dartmouth Institute and the Harvard Graduate School of Business' Advanced Management Program.</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Mr. Flynn was selected to serve as a director on our Board due to his lengthy and broad operating experience in the telecommunications industry.</w:t>
      </w:r>
    </w:p>
    <w:p>
      <w:pPr>
        <w:spacing w:after="0" w:line="211" w:lineRule="exact"/>
        <w:rPr>
          <w:sz w:val="20"/>
          <w:szCs w:val="20"/>
          <w:color w:val="auto"/>
        </w:rPr>
      </w:pPr>
    </w:p>
    <w:p>
      <w:pPr>
        <w:ind w:right="40" w:firstLine="321"/>
        <w:spacing w:after="0" w:line="282" w:lineRule="auto"/>
        <w:rPr>
          <w:sz w:val="20"/>
          <w:szCs w:val="20"/>
          <w:color w:val="auto"/>
        </w:rPr>
      </w:pPr>
      <w:r>
        <w:rPr>
          <w:rFonts w:ascii="Arial" w:cs="Arial" w:eastAsia="Arial" w:hAnsi="Arial"/>
          <w:sz w:val="15"/>
          <w:szCs w:val="15"/>
          <w:b w:val="1"/>
          <w:bCs w:val="1"/>
          <w:i w:val="1"/>
          <w:iCs w:val="1"/>
          <w:color w:val="auto"/>
        </w:rPr>
        <w:t>Liane J. Pelletier</w:t>
      </w:r>
      <w:r>
        <w:rPr>
          <w:rFonts w:ascii="Arial" w:cs="Arial" w:eastAsia="Arial" w:hAnsi="Arial"/>
          <w:sz w:val="15"/>
          <w:szCs w:val="15"/>
          <w:color w:val="auto"/>
        </w:rPr>
        <w:t>, 59, has been a director of ours since June 2012, and is the Chair of our Nominating and Corporate Governance Committee and a member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Ms. Pelletier has over twenty-five years of 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on the Board of Directors of Expeditors International and as Chairman of the National Association of Corporate Directors ("NACD"), Northwest Chapter. Ms. Pelletier is a NACD Board Leadership Fellow. During 2017, Ms. Pelletier received the CERT Certificate in Cybersecurity Oversight awarded by the Software Engineering Institute of Carnegie Mellon University.</w:t>
      </w:r>
    </w:p>
    <w:p>
      <w:pPr>
        <w:spacing w:after="0" w:line="160" w:lineRule="exact"/>
        <w:rPr>
          <w:sz w:val="20"/>
          <w:szCs w:val="20"/>
          <w:color w:val="auto"/>
        </w:rPr>
      </w:pPr>
    </w:p>
    <w:p>
      <w:pPr>
        <w:ind w:right="520" w:firstLine="321"/>
        <w:spacing w:after="0" w:line="284" w:lineRule="auto"/>
        <w:rPr>
          <w:sz w:val="20"/>
          <w:szCs w:val="20"/>
          <w:color w:val="auto"/>
        </w:rPr>
      </w:pPr>
      <w:r>
        <w:rPr>
          <w:rFonts w:ascii="Arial" w:cs="Arial" w:eastAsia="Arial" w:hAnsi="Arial"/>
          <w:sz w:val="16"/>
          <w:szCs w:val="16"/>
          <w:color w:val="auto"/>
        </w:rPr>
        <w:t>Ms. Pelletier was selected to serve as a director on our Board due to her expertise in the telecommunications industry, her history as a chief executive officer and her experience in guiding and advising on business strategy.</w:t>
      </w:r>
    </w:p>
    <w:p>
      <w:pPr>
        <w:spacing w:after="0" w:line="156"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b w:val="1"/>
          <w:bCs w:val="1"/>
          <w:i w:val="1"/>
          <w:iCs w:val="1"/>
          <w:color w:val="auto"/>
        </w:rPr>
        <w:t xml:space="preserve">Michael T. Prior, </w:t>
      </w:r>
      <w:r>
        <w:rPr>
          <w:rFonts w:ascii="Arial" w:cs="Arial" w:eastAsia="Arial" w:hAnsi="Arial"/>
          <w:sz w:val="16"/>
          <w:szCs w:val="16"/>
          <w:color w:val="auto"/>
        </w:rPr>
        <w:t>52, has been our President and Chief Executive Officer since December 2005 and an officer of the Company since June 2003. He was elected to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2008. 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176" w:lineRule="exact"/>
        <w:rPr>
          <w:sz w:val="20"/>
          <w:szCs w:val="20"/>
          <w:color w:val="auto"/>
        </w:rPr>
      </w:pPr>
    </w:p>
    <w:p>
      <w:pPr>
        <w:ind w:right="1080" w:firstLine="321"/>
        <w:spacing w:after="0" w:line="284" w:lineRule="auto"/>
        <w:rPr>
          <w:sz w:val="20"/>
          <w:szCs w:val="20"/>
          <w:color w:val="auto"/>
        </w:rPr>
      </w:pPr>
      <w:r>
        <w:rPr>
          <w:rFonts w:ascii="Arial" w:cs="Arial" w:eastAsia="Arial" w:hAnsi="Arial"/>
          <w:sz w:val="16"/>
          <w:szCs w:val="16"/>
          <w:color w:val="auto"/>
        </w:rPr>
        <w:t>Mr. M. Prior was selected to serve as a director on our Board due to his position as Chief Executive Officer of the Company and his broad experience in the telecommunications industry.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b w:val="1"/>
          <w:bCs w:val="1"/>
          <w:i w:val="1"/>
          <w:iCs w:val="1"/>
          <w:color w:val="auto"/>
        </w:rPr>
        <w:t xml:space="preserve">Charles J. Roesslein, </w:t>
      </w:r>
      <w:r>
        <w:rPr>
          <w:rFonts w:ascii="Arial" w:cs="Arial" w:eastAsia="Arial" w:hAnsi="Arial"/>
          <w:sz w:val="16"/>
          <w:szCs w:val="16"/>
          <w:color w:val="auto"/>
        </w:rPr>
        <w:t>68, has been a director of ours since April 2002 and is the Chair of our Audit Committee and a member of our Compensation and Nominating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Committees. He has been a director of National Instruments Corporation since July 2000 and is the Co-Founder of Austin Tele-Services Partners, LP, a telecommunications provider, for whom he served as Chief Executive Officer from 2004 to January 2016.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w:t>
      </w:r>
    </w:p>
    <w:p>
      <w:pPr>
        <w:spacing w:after="0" w:line="176" w:lineRule="exact"/>
        <w:rPr>
          <w:sz w:val="20"/>
          <w:szCs w:val="20"/>
          <w:color w:val="auto"/>
        </w:rPr>
      </w:pPr>
    </w:p>
    <w:p>
      <w:pPr>
        <w:ind w:right="20" w:firstLine="321"/>
        <w:spacing w:after="0" w:line="284" w:lineRule="auto"/>
        <w:rPr>
          <w:sz w:val="20"/>
          <w:szCs w:val="20"/>
          <w:color w:val="auto"/>
        </w:rPr>
      </w:pPr>
      <w:r>
        <w:rPr>
          <w:rFonts w:ascii="Arial" w:cs="Arial" w:eastAsia="Arial" w:hAnsi="Arial"/>
          <w:sz w:val="16"/>
          <w:szCs w:val="16"/>
          <w:color w:val="auto"/>
        </w:rPr>
        <w:t>Mr. Roesslein was selected to serve as a director on our Board due to his financial expertise, and previous and current senior positions held with other telecommunications companies. Mr. Roesslein is qualified as an "audit committee financial expert" under SEC guidelines.</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PROPOSAL 4: RATIFICATION OF SELECTION OF INDEPENDENT AUDITOR</w:t>
      </w:r>
    </w:p>
    <w:p>
      <w:pPr>
        <w:spacing w:after="0" w:line="215"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Audit Committee of our Board of Directors has selected PricewaterhouseCoopers LLP ("PwC") as our independent auditor to perform the audit of our financial statements and of our internal control over financial reporting for the fiscal year ending December 31, 2017. In making its selection, the Audit Committee conducted a review of PwC's performance, including consideration of the following:</w:t>
      </w:r>
    </w:p>
    <w:p>
      <w:pPr>
        <w:spacing w:after="0" w:line="181" w:lineRule="exact"/>
        <w:rPr>
          <w:sz w:val="20"/>
          <w:szCs w:val="20"/>
          <w:color w:val="auto"/>
        </w:rPr>
      </w:pPr>
    </w:p>
    <w:p>
      <w:pPr>
        <w:ind w:left="980" w:hanging="488"/>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PwC's performance on the audit, including the quality of the engagement team and the firm's experience, client service, responsiveness and technical expertise;</w:t>
      </w:r>
    </w:p>
    <w:p>
      <w:pPr>
        <w:spacing w:after="0" w:line="258" w:lineRule="exact"/>
        <w:rPr>
          <w:rFonts w:ascii="Arial" w:cs="Arial" w:eastAsia="Arial" w:hAnsi="Arial"/>
          <w:sz w:val="14"/>
          <w:szCs w:val="14"/>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record of the firm against comparable accounting firms in various matters such as regulatory, litigation and accounting matters;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firm's financial strength and performance;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appropriateness of fees charged by the firm.</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PwC was our independent auditor for the year ended December 31, 2016.</w:t>
      </w:r>
    </w:p>
    <w:p>
      <w:pPr>
        <w:spacing w:after="0" w:line="211" w:lineRule="exact"/>
        <w:rPr>
          <w:sz w:val="20"/>
          <w:szCs w:val="20"/>
          <w:color w:val="auto"/>
        </w:rPr>
      </w:pPr>
    </w:p>
    <w:p>
      <w:pPr>
        <w:jc w:val="both"/>
        <w:ind w:right="400" w:firstLine="318"/>
        <w:spacing w:after="0" w:line="315" w:lineRule="auto"/>
        <w:rPr>
          <w:sz w:val="20"/>
          <w:szCs w:val="20"/>
          <w:color w:val="auto"/>
        </w:rPr>
      </w:pPr>
      <w:r>
        <w:rPr>
          <w:rFonts w:ascii="Arial" w:cs="Arial" w:eastAsia="Arial" w:hAnsi="Arial"/>
          <w:sz w:val="14"/>
          <w:szCs w:val="14"/>
          <w:color w:val="auto"/>
        </w:rPr>
        <w:t>The Board of Directors recommends that stockholders ratify the selection of PwC as our independent auditor. Although ratification is not required by our bylaws or otherwise, the Board is submitting the selection of PwC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5" w:lineRule="exact"/>
        <w:rPr>
          <w:sz w:val="20"/>
          <w:szCs w:val="20"/>
          <w:color w:val="auto"/>
        </w:rPr>
      </w:pPr>
    </w:p>
    <w:p>
      <w:pPr>
        <w:jc w:val="both"/>
        <w:ind w:right="40" w:firstLine="318"/>
        <w:spacing w:after="0" w:line="326" w:lineRule="auto"/>
        <w:rPr>
          <w:sz w:val="20"/>
          <w:szCs w:val="20"/>
          <w:color w:val="auto"/>
        </w:rPr>
      </w:pPr>
      <w:r>
        <w:rPr>
          <w:rFonts w:ascii="Arial" w:cs="Arial" w:eastAsia="Arial" w:hAnsi="Arial"/>
          <w:sz w:val="14"/>
          <w:szCs w:val="14"/>
          <w:color w:val="auto"/>
        </w:rPr>
        <w:t>The ratification of the appointment of PwC as our independent auditor for 2017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Brokers will be entitled to vote a customer's shares in their discretion on this proposal, so there will be no broker non-votes on this proposal.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OUR BOARD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THE INDEPENDENT AUDITOR.</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5" w:lineRule="exact"/>
        <w:rPr>
          <w:sz w:val="20"/>
          <w:szCs w:val="20"/>
          <w:color w:val="auto"/>
        </w:rPr>
      </w:pPr>
    </w:p>
    <w:p>
      <w:pPr>
        <w:ind w:right="100" w:firstLine="318"/>
        <w:spacing w:after="0" w:line="270" w:lineRule="auto"/>
        <w:rPr>
          <w:sz w:val="20"/>
          <w:szCs w:val="20"/>
          <w:color w:val="auto"/>
        </w:rPr>
      </w:pPr>
      <w:r>
        <w:rPr>
          <w:rFonts w:ascii="Arial" w:cs="Arial" w:eastAsia="Arial" w:hAnsi="Arial"/>
          <w:sz w:val="16"/>
          <w:szCs w:val="16"/>
          <w:color w:val="auto"/>
        </w:rPr>
        <w:t>The role of the Board of Directors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68" w:lineRule="exact"/>
        <w:rPr>
          <w:sz w:val="20"/>
          <w:szCs w:val="20"/>
          <w:color w:val="auto"/>
        </w:rPr>
      </w:pPr>
    </w:p>
    <w:p>
      <w:pPr>
        <w:ind w:right="460" w:firstLine="321"/>
        <w:spacing w:after="0" w:line="284" w:lineRule="auto"/>
        <w:rPr>
          <w:sz w:val="20"/>
          <w:szCs w:val="20"/>
          <w:color w:val="auto"/>
        </w:rPr>
      </w:pPr>
      <w:r>
        <w:rPr>
          <w:rFonts w:ascii="Arial" w:cs="Arial" w:eastAsia="Arial" w:hAnsi="Arial"/>
          <w:sz w:val="16"/>
          <w:szCs w:val="16"/>
          <w:color w:val="auto"/>
        </w:rPr>
        <w:t>During the past year, we have reviewed our corporate governance practices in comparison to the practices of other public companies and to ensure they comport with guidance and interpretations provided by the SEC and the Nasdaq Stock Market.</w:t>
      </w:r>
    </w:p>
    <w:p>
      <w:pPr>
        <w:spacing w:after="0" w:line="156" w:lineRule="exact"/>
        <w:rPr>
          <w:sz w:val="20"/>
          <w:szCs w:val="20"/>
          <w:color w:val="auto"/>
        </w:rPr>
      </w:pPr>
    </w:p>
    <w:p>
      <w:pPr>
        <w:ind w:right="40" w:firstLine="318"/>
        <w:spacing w:after="0" w:line="266" w:lineRule="auto"/>
        <w:rPr>
          <w:sz w:val="20"/>
          <w:szCs w:val="20"/>
          <w:color w:val="auto"/>
        </w:rPr>
      </w:pPr>
      <w:r>
        <w:rPr>
          <w:rFonts w:ascii="Arial" w:cs="Arial" w:eastAsia="Arial" w:hAnsi="Arial"/>
          <w:sz w:val="16"/>
          <w:szCs w:val="16"/>
          <w:color w:val="auto"/>
        </w:rPr>
        <w:t>We have adopted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ATN International, Inc., Attn: Secretary, 500 Cummings Center, Beverly, MA 01915.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5" w:lineRule="exact"/>
        <w:rPr>
          <w:sz w:val="20"/>
          <w:szCs w:val="20"/>
          <w:color w:val="auto"/>
        </w:rPr>
      </w:pPr>
    </w:p>
    <w:p>
      <w:pPr>
        <w:ind w:right="80" w:firstLine="321"/>
        <w:spacing w:after="0" w:line="297" w:lineRule="auto"/>
        <w:rPr>
          <w:sz w:val="20"/>
          <w:szCs w:val="20"/>
          <w:color w:val="auto"/>
        </w:rPr>
      </w:pPr>
      <w:r>
        <w:rPr>
          <w:rFonts w:ascii="Arial" w:cs="Arial" w:eastAsia="Arial" w:hAnsi="Arial"/>
          <w:sz w:val="14"/>
          <w:szCs w:val="14"/>
          <w:color w:val="auto"/>
        </w:rPr>
        <w:t>Our Board of Directors is committed to maintaining responsible and effective corporate governance and is focused on the interests of our stockholders. The Board does not have a policy regarding the separation of the roles of Chairman of the Board and Chief Executive Officer, as the Board believes it is in our best interests to make this determination based on an assessment of the current condition of our Company and composition of the Board. It has determined that its leadership structure, including</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Mr. Cornelius B. Prior, Jr. serving as Chairman, our Chief Executive Officer serving as a director, and the composition of independent directors for each of the Audit, Compensation and Nominating and Corporate Governance Committees of the Board, best serves the Company and its stockholders at this time. Our Board brings strong leadership and industry expertise to inform the management and direction of the Company on behalf of our stockholders. Mr. C.B. Prior, Jr., who has served as our Chairman since 1997, was also our Chief Executive Officer until December 2005. He, together with related entities, affiliates and family members, controls approximately 27% of our outstanding common stock, possesses extensive investment and financial management experience and has a long history and familiarity with the Company and many of its Caribbean operating markets. Management and the Board of Directors work together to try to focus the Board on major questions of governance, succession and setting the Company's overall operating and investment strategy.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215"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color w:val="auto"/>
        </w:rPr>
        <w:t>Our Nominating and Corporate Governance Committee considers director nominees, whether proposed by a stockholder or identified through the Company's processes, in accordance with its charter and our Corporate Governance Guidelines, as currently in effect. The Nominating and Corporate Governance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viewpoints and practical experiences can enhance the effectiveness of the Board. Accordingly, our Nominating and Corporate Governance Committee also considers nominees based on their differences of viewpoint, professional experience,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line="319" w:lineRule="auto"/>
        <w:rPr>
          <w:sz w:val="20"/>
          <w:szCs w:val="20"/>
          <w:color w:val="auto"/>
        </w:rPr>
      </w:pPr>
      <w:r>
        <w:rPr>
          <w:rFonts w:ascii="Arial" w:cs="Arial" w:eastAsia="Arial" w:hAnsi="Arial"/>
          <w:sz w:val="15"/>
          <w:szCs w:val="15"/>
          <w:color w:val="auto"/>
        </w:rPr>
        <w:t>education, skill and other characteristics that are relevant to the current needs of the Company, including those that promote diversity. Our Nominating and Corporate Governance Committee then recommends director nominees to the Board for its consideration and nomination at the next annual meeting of stockholders.</w:t>
      </w:r>
    </w:p>
    <w:p>
      <w:pPr>
        <w:spacing w:after="0" w:line="133" w:lineRule="exact"/>
        <w:rPr>
          <w:sz w:val="20"/>
          <w:szCs w:val="20"/>
          <w:color w:val="auto"/>
        </w:rPr>
      </w:pPr>
    </w:p>
    <w:p>
      <w:pPr>
        <w:ind w:left="1" w:right="60" w:firstLine="321"/>
        <w:spacing w:after="0" w:line="297" w:lineRule="auto"/>
        <w:rPr>
          <w:sz w:val="20"/>
          <w:szCs w:val="20"/>
          <w:color w:val="auto"/>
        </w:rPr>
      </w:pPr>
      <w:r>
        <w:rPr>
          <w:rFonts w:ascii="Arial" w:cs="Arial" w:eastAsia="Arial" w:hAnsi="Arial"/>
          <w:sz w:val="14"/>
          <w:szCs w:val="14"/>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w:t>
      </w:r>
    </w:p>
    <w:p>
      <w:pPr>
        <w:spacing w:after="0" w:line="2" w:lineRule="exact"/>
        <w:rPr>
          <w:sz w:val="20"/>
          <w:szCs w:val="20"/>
          <w:color w:val="auto"/>
        </w:rPr>
      </w:pPr>
    </w:p>
    <w:p>
      <w:pPr>
        <w:ind w:left="1" w:right="100" w:hanging="1"/>
        <w:spacing w:after="0" w:line="261" w:lineRule="auto"/>
        <w:tabs>
          <w:tab w:leader="none" w:pos="2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candidate's principal occupation or employment for the past five years and information about any positions on the board of directors of other companies,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Beverly, MA 01915 and must comply with applicable timing requirements.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Determination of Independence</w:t>
      </w:r>
    </w:p>
    <w:p>
      <w:pPr>
        <w:spacing w:after="0" w:line="215" w:lineRule="exact"/>
        <w:rPr>
          <w:sz w:val="20"/>
          <w:szCs w:val="20"/>
          <w:color w:val="auto"/>
        </w:rPr>
      </w:pPr>
    </w:p>
    <w:p>
      <w:pPr>
        <w:ind w:left="1" w:right="120" w:firstLine="321"/>
        <w:spacing w:after="0" w:line="264" w:lineRule="auto"/>
        <w:rPr>
          <w:sz w:val="20"/>
          <w:szCs w:val="20"/>
          <w:color w:val="auto"/>
        </w:rPr>
      </w:pPr>
      <w:r>
        <w:rPr>
          <w:rFonts w:ascii="Arial" w:cs="Arial" w:eastAsia="Arial" w:hAnsi="Arial"/>
          <w:sz w:val="16"/>
          <w:szCs w:val="16"/>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and Corporate Governance Committee, affirmatively determines that the director does not have a relationship with us, an affiliate of ours, or otherwise that, in the opinion of the Board, would interfere with the exercise of independent judgment in discharging his or her duties as a director. Nasdaq rules preclude an affirmative determination by the Board that a director is independent if:</w:t>
      </w:r>
    </w:p>
    <w:p>
      <w:pPr>
        <w:spacing w:after="0" w:line="184" w:lineRule="exact"/>
        <w:rPr>
          <w:sz w:val="20"/>
          <w:szCs w:val="20"/>
          <w:color w:val="auto"/>
        </w:rPr>
      </w:pPr>
    </w:p>
    <w:p>
      <w:pPr>
        <w:ind w:left="981" w:hanging="488"/>
        <w:spacing w:after="0"/>
        <w:tabs>
          <w:tab w:leader="none" w:pos="9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director who is, or was at any time during the past three years, employed by us or by any subsidiary of ours;</w:t>
      </w:r>
    </w:p>
    <w:p>
      <w:pPr>
        <w:spacing w:after="0" w:line="235" w:lineRule="exact"/>
        <w:rPr>
          <w:rFonts w:ascii="Arial" w:cs="Arial" w:eastAsia="Arial" w:hAnsi="Arial"/>
          <w:sz w:val="16"/>
          <w:szCs w:val="16"/>
          <w:color w:val="auto"/>
        </w:rPr>
      </w:pPr>
    </w:p>
    <w:p>
      <w:pPr>
        <w:ind w:left="981" w:right="260" w:hanging="488"/>
        <w:spacing w:after="0" w:line="266" w:lineRule="auto"/>
        <w:tabs>
          <w:tab w:leader="none" w:pos="9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director who accepted or has a family member who accepted any compensation from us or any subsidiary of ours in excess of $120,000 during any period of twelve consecutive months within the three years preceding the determination of independence, other than: (i) compensation for board or board committee service, (ii) compensation paid to a family member who is an employee (other than the executive officer) of the company, or (iii) benefits under a tax-qualified retirement plan, or non-discretionary compensation;</w:t>
      </w:r>
    </w:p>
    <w:p>
      <w:pPr>
        <w:spacing w:after="0" w:line="183" w:lineRule="exact"/>
        <w:rPr>
          <w:rFonts w:ascii="Arial" w:cs="Arial" w:eastAsia="Arial" w:hAnsi="Arial"/>
          <w:sz w:val="16"/>
          <w:szCs w:val="16"/>
          <w:color w:val="auto"/>
        </w:rPr>
      </w:pPr>
    </w:p>
    <w:p>
      <w:pPr>
        <w:ind w:left="981" w:right="140" w:hanging="488"/>
        <w:spacing w:after="0" w:line="284" w:lineRule="auto"/>
        <w:tabs>
          <w:tab w:leader="none" w:pos="9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director who is a family member of an individual who is, or at any time during the past three years was, employed by us or a subsidiary of ours as an executive officer;</w:t>
      </w:r>
    </w:p>
    <w:p>
      <w:pPr>
        <w:spacing w:after="0" w:line="168" w:lineRule="exact"/>
        <w:rPr>
          <w:rFonts w:ascii="Arial" w:cs="Arial" w:eastAsia="Arial" w:hAnsi="Arial"/>
          <w:sz w:val="16"/>
          <w:szCs w:val="16"/>
          <w:color w:val="auto"/>
        </w:rPr>
      </w:pPr>
    </w:p>
    <w:p>
      <w:pPr>
        <w:ind w:left="981" w:right="40" w:hanging="488"/>
        <w:spacing w:after="0" w:line="297" w:lineRule="auto"/>
        <w:tabs>
          <w:tab w:leader="none" w:pos="981"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director who is, or has a family member who is, a partner in, or a controlling stockholder or an executive officer of, any organization to which we made, or from which we received, payments for property or services in the current or any of the past three fiscal years that exceed the greater of 5 percent of the recipient's consolidated gross revenues for that year, or $200,000, whichever is more, other than: (i) payments arising solely from investments in our securities or</w:t>
      </w:r>
    </w:p>
    <w:p>
      <w:pPr>
        <w:spacing w:after="0" w:line="1" w:lineRule="exact"/>
        <w:rPr>
          <w:rFonts w:ascii="Arial" w:cs="Arial" w:eastAsia="Arial" w:hAnsi="Arial"/>
          <w:sz w:val="14"/>
          <w:szCs w:val="14"/>
          <w:color w:val="auto"/>
        </w:rPr>
      </w:pPr>
    </w:p>
    <w:p>
      <w:pPr>
        <w:ind w:left="981"/>
        <w:spacing w:after="0"/>
        <w:rPr>
          <w:rFonts w:ascii="Arial" w:cs="Arial" w:eastAsia="Arial" w:hAnsi="Arial"/>
          <w:sz w:val="14"/>
          <w:szCs w:val="14"/>
          <w:color w:val="auto"/>
        </w:rPr>
      </w:pPr>
      <w:r>
        <w:rPr>
          <w:rFonts w:ascii="Arial" w:cs="Arial" w:eastAsia="Arial" w:hAnsi="Arial"/>
          <w:sz w:val="16"/>
          <w:szCs w:val="16"/>
          <w:color w:val="auto"/>
        </w:rPr>
        <w:t>(ii) payments under non-discretionary charitable contribution matching programs;</w:t>
      </w:r>
    </w:p>
    <w:p>
      <w:pPr>
        <w:spacing w:after="0" w:line="227" w:lineRule="exact"/>
        <w:rPr>
          <w:rFonts w:ascii="Arial" w:cs="Arial" w:eastAsia="Arial" w:hAnsi="Arial"/>
          <w:sz w:val="14"/>
          <w:szCs w:val="14"/>
          <w:color w:val="auto"/>
        </w:rPr>
      </w:pPr>
    </w:p>
    <w:p>
      <w:pPr>
        <w:ind w:left="981" w:right="380" w:hanging="488"/>
        <w:spacing w:after="0" w:line="284" w:lineRule="auto"/>
        <w:tabs>
          <w:tab w:leader="none" w:pos="9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director who is, or has a family member who is, employed as an executive officer of another entity where at any time during the past three years any of our executive officers have served on the compensation committee of such other entity;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right="60" w:hanging="488"/>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current partner of our outside auditor, or was a partner or employee of our outside auditor who worked on our audit at any time during any of the past three years.</w:t>
      </w:r>
    </w:p>
    <w:p>
      <w:pPr>
        <w:spacing w:after="0" w:line="156" w:lineRule="exact"/>
        <w:rPr>
          <w:sz w:val="20"/>
          <w:szCs w:val="20"/>
          <w:color w:val="auto"/>
        </w:rPr>
      </w:pPr>
    </w:p>
    <w:p>
      <w:pPr>
        <w:ind w:right="80" w:firstLine="321"/>
        <w:spacing w:after="0" w:line="297" w:lineRule="auto"/>
        <w:rPr>
          <w:sz w:val="20"/>
          <w:szCs w:val="20"/>
          <w:color w:val="auto"/>
        </w:rPr>
      </w:pPr>
      <w:r>
        <w:rPr>
          <w:rFonts w:ascii="Arial" w:cs="Arial" w:eastAsia="Arial" w:hAnsi="Arial"/>
          <w:sz w:val="15"/>
          <w:szCs w:val="15"/>
          <w:color w:val="auto"/>
        </w:rPr>
        <w:t>Based on the Nasdaq rules, our Nominating and Corporate Governance Committee and the Board has determined that Messrs. Budd, Flynn and Roesslein, Dr. Bulkin and Ms. Pelletier are independent for purposes of SEC rules and Nasdaq listing compliance. This determination included reviewing the following relationships and transactions with Mr. Budd, which our Nominating and Corporate Governance Committee and the Board concluded did not affect his independence:</w:t>
      </w:r>
    </w:p>
    <w:p>
      <w:pPr>
        <w:spacing w:after="0" w:line="149" w:lineRule="exact"/>
        <w:rPr>
          <w:sz w:val="20"/>
          <w:szCs w:val="20"/>
          <w:color w:val="auto"/>
        </w:rPr>
      </w:pPr>
    </w:p>
    <w:p>
      <w:pPr>
        <w:ind w:left="500" w:right="20"/>
        <w:spacing w:after="0" w:line="266" w:lineRule="auto"/>
        <w:rPr>
          <w:sz w:val="20"/>
          <w:szCs w:val="20"/>
          <w:color w:val="auto"/>
        </w:rPr>
      </w:pPr>
      <w:r>
        <w:rPr>
          <w:rFonts w:ascii="Arial" w:cs="Arial" w:eastAsia="Arial" w:hAnsi="Arial"/>
          <w:sz w:val="16"/>
          <w:szCs w:val="16"/>
          <w:b w:val="1"/>
          <w:bCs w:val="1"/>
          <w:i w:val="1"/>
          <w:iCs w:val="1"/>
          <w:color w:val="auto"/>
        </w:rPr>
        <w:t xml:space="preserve">Mr. Budd. </w:t>
      </w:r>
      <w:r>
        <w:rPr>
          <w:rFonts w:ascii="Arial" w:cs="Arial" w:eastAsia="Arial" w:hAnsi="Arial"/>
          <w:sz w:val="16"/>
          <w:szCs w:val="16"/>
          <w:color w:val="auto"/>
        </w:rPr>
        <w:t>Mr. Budd is a former partner of the law firm of Day, Berry and Howard, LLP, which is now known as Day Pitney LLP ("Day Pitney"), and had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outside counsel for a number of years until his retirement on December 31, 2006. From time to time, our Chairman has engaged, in an individual capacity, Day Pitney for legal services. The Compensation Committee retained Day Pitney in 2015 to advise it on the terms and conditions of standard severance agreements for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 Report</w:t>
      </w:r>
    </w:p>
    <w:p>
      <w:pPr>
        <w:spacing w:after="0" w:line="215" w:lineRule="exact"/>
        <w:rPr>
          <w:sz w:val="20"/>
          <w:szCs w:val="20"/>
          <w:color w:val="auto"/>
        </w:rPr>
      </w:pPr>
    </w:p>
    <w:p>
      <w:pPr>
        <w:jc w:val="both"/>
        <w:ind w:right="180" w:firstLine="318"/>
        <w:spacing w:after="0" w:line="270" w:lineRule="auto"/>
        <w:rPr>
          <w:sz w:val="20"/>
          <w:szCs w:val="20"/>
          <w:color w:val="auto"/>
        </w:rPr>
      </w:pPr>
      <w:r>
        <w:rPr>
          <w:rFonts w:ascii="Arial" w:cs="Arial" w:eastAsia="Arial" w:hAnsi="Arial"/>
          <w:sz w:val="16"/>
          <w:szCs w:val="16"/>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Nominating and Corporate Governance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Liane J. Pelletier,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Bernard J. Bulkin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Charles J. Roesslein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Risk Assessment</w:t>
      </w:r>
    </w:p>
    <w:p>
      <w:pPr>
        <w:spacing w:after="0" w:line="215" w:lineRule="exact"/>
        <w:rPr>
          <w:sz w:val="20"/>
          <w:szCs w:val="20"/>
          <w:color w:val="auto"/>
        </w:rPr>
      </w:pPr>
    </w:p>
    <w:p>
      <w:pPr>
        <w:ind w:firstLine="321"/>
        <w:spacing w:after="0" w:line="260" w:lineRule="auto"/>
        <w:rPr>
          <w:sz w:val="20"/>
          <w:szCs w:val="20"/>
          <w:color w:val="auto"/>
        </w:rPr>
      </w:pPr>
      <w:r>
        <w:rPr>
          <w:rFonts w:ascii="Arial" w:cs="Arial" w:eastAsia="Arial" w:hAnsi="Arial"/>
          <w:sz w:val="16"/>
          <w:szCs w:val="16"/>
          <w:color w:val="auto"/>
        </w:rPr>
        <w:t>In accordance with Nasdaq requirements, our Audit Committee has the primary responsibility for the oversight of risk management and risk assessment, including the Company's major financial risk exposures and the steps management has undertaken to control such risks. Our Board of Directors remains actively involved in such oversight of risk management and assessment and receives periodic presentations from our executive officers and certain of their direct reports, as the Board of Directors may deem appropriate. This includes discussions of the Company's balance sheet and capital structure in light of potential capital needs and projections of operating cash flows and the risks to such cash flows. While the Board of Directors maintains such oversight responsibility, management is responsible for the day-to-day risk management processes and makes detailed recommendations on sources and uses of capital. The Board of Directors believes this division of responsibility is the most effective approach for addressing the risks facing the Company. As a general matter, management and the Board of Directors seek to mitigate major risks to the Company's financial condition by striving to maintain a level of debt to annual operating cash flows that allows the Company to survive short-term unforeseen reductions in cash flow or unanticipated large capital spending needs. To date, the Board of Directors believes that the Company has maintained a more conservative level of debt (relative to cash flows) than most of its peers in the telecommunications industry.</w:t>
      </w:r>
    </w:p>
    <w:p>
      <w:pPr>
        <w:spacing w:after="0" w:line="177"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For the year ended December 31, 2016,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create incentives that might motivate inappropriate or excessive risk-taking. In the course of such review, the following mitigating features of the Company's incentive compensation programs were considered: (1) the Company's focus on multiple year vesting periods for all equity compensation, including the restricted stock awards made for 2016 achievements; (2) management's practice of conservative awards of annual cash bonus payments; (3) the relatively low level and intermittent awards of stock options to senior management; and (4) the use of restricted stock awards to encourage management to balance "upside" and "downside" risk. As a result of this process, there were no recommended changes to the Company's incentive compensation programs.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from Stockholders and Other Interested Parties</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To communicate with our Audit Committee regarding issues or complaints about questionable accounting, internal accounting controls or auditing matters, contact the Audit Committee by writing to Audit Committee, ATN International, Inc., 500 Cummings Center, Beverly, MA 01915.</w:t>
      </w:r>
    </w:p>
    <w:p>
      <w:pPr>
        <w:spacing w:after="0" w:line="156" w:lineRule="exact"/>
        <w:rPr>
          <w:sz w:val="20"/>
          <w:szCs w:val="20"/>
          <w:color w:val="auto"/>
        </w:rPr>
      </w:pPr>
    </w:p>
    <w:p>
      <w:pPr>
        <w:ind w:right="180" w:firstLine="318"/>
        <w:spacing w:after="0" w:line="284" w:lineRule="auto"/>
        <w:rPr>
          <w:sz w:val="20"/>
          <w:szCs w:val="20"/>
          <w:color w:val="auto"/>
        </w:rPr>
      </w:pPr>
      <w:r>
        <w:rPr>
          <w:rFonts w:ascii="Arial" w:cs="Arial" w:eastAsia="Arial" w:hAnsi="Arial"/>
          <w:sz w:val="16"/>
          <w:szCs w:val="16"/>
          <w:color w:val="auto"/>
        </w:rPr>
        <w:t>To send communications to the Board or to individual directors, stockholders should write to Board of Directors, ATN International, Inc., 500 Cummings Center, Beverly, MA 01915. All communications received will be directly sent to the Board or to individual members of our Board, as addressed.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Meetings and Committees</w:t>
      </w:r>
    </w:p>
    <w:p>
      <w:pPr>
        <w:spacing w:after="0" w:line="215" w:lineRule="exact"/>
        <w:rPr>
          <w:sz w:val="20"/>
          <w:szCs w:val="20"/>
          <w:color w:val="auto"/>
        </w:rPr>
      </w:pPr>
    </w:p>
    <w:p>
      <w:pPr>
        <w:jc w:val="both"/>
        <w:ind w:right="40" w:firstLine="321"/>
        <w:spacing w:after="0" w:line="270" w:lineRule="auto"/>
        <w:rPr>
          <w:sz w:val="20"/>
          <w:szCs w:val="20"/>
          <w:color w:val="auto"/>
        </w:rPr>
      </w:pPr>
      <w:r>
        <w:rPr>
          <w:rFonts w:ascii="Arial" w:cs="Arial" w:eastAsia="Arial" w:hAnsi="Arial"/>
          <w:sz w:val="16"/>
          <w:szCs w:val="16"/>
          <w:color w:val="auto"/>
        </w:rPr>
        <w:t>During 2016, our Board met four times either by conference call or in person. In 2016, no director attended fewer than 75% of the meetings of the Board or the meetings of the committee(s) on which he or she served. Although we do not have a policy requiring our directors to attend the Annual Meeting, all of our then-current directors attended last year's annual meeting of stockholders.</w:t>
      </w:r>
    </w:p>
    <w:p>
      <w:pPr>
        <w:spacing w:after="0" w:line="168"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Our Board has established three standing committees: the Audit Committee, the Compensation Committee and the Nominating and Corporate Governance Committee. The current membership of each committee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2"/>
                <w:szCs w:val="12"/>
                <w:b w:val="1"/>
                <w:bCs w:val="1"/>
                <w:color w:val="auto"/>
                <w:w w:val="93"/>
              </w:rPr>
              <w:t>Nominating and Corporate</w:t>
            </w:r>
          </w:p>
        </w:tc>
      </w:tr>
      <w:tr>
        <w:trPr>
          <w:trHeight w:val="14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Audit Committee</w:t>
            </w:r>
          </w:p>
        </w:tc>
        <w:tc>
          <w:tcPr>
            <w:tcW w:w="1140" w:type="dxa"/>
            <w:vAlign w:val="bottom"/>
          </w:tcPr>
          <w:p>
            <w:pPr>
              <w:spacing w:after="0"/>
              <w:rPr>
                <w:sz w:val="12"/>
                <w:szCs w:val="12"/>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Compensation Committee</w:t>
            </w:r>
          </w:p>
        </w:tc>
        <w:tc>
          <w:tcPr>
            <w:tcW w:w="1140" w:type="dxa"/>
            <w:vAlign w:val="bottom"/>
          </w:tcPr>
          <w:p>
            <w:pPr>
              <w:spacing w:after="0"/>
              <w:rPr>
                <w:sz w:val="12"/>
                <w:szCs w:val="12"/>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Governance Committee</w:t>
            </w:r>
          </w:p>
        </w:tc>
      </w:tr>
      <w:tr>
        <w:trPr>
          <w:trHeight w:val="181"/>
        </w:trPr>
        <w:tc>
          <w:tcPr>
            <w:tcW w:w="3340" w:type="dxa"/>
            <w:vAlign w:val="bottom"/>
          </w:tcPr>
          <w:p>
            <w:pPr>
              <w:jc w:val="center"/>
              <w:spacing w:after="0" w:line="181" w:lineRule="exact"/>
              <w:rPr>
                <w:sz w:val="20"/>
                <w:szCs w:val="20"/>
                <w:color w:val="auto"/>
              </w:rPr>
            </w:pPr>
            <w:r>
              <w:rPr>
                <w:rFonts w:ascii="Arial" w:cs="Arial" w:eastAsia="Arial" w:hAnsi="Arial"/>
                <w:sz w:val="16"/>
                <w:szCs w:val="16"/>
                <w:color w:val="auto"/>
                <w:w w:val="89"/>
              </w:rPr>
              <w:t xml:space="preserve">Charles J. Roesslein, </w:t>
            </w:r>
            <w:r>
              <w:rPr>
                <w:rFonts w:ascii="Arial" w:cs="Arial" w:eastAsia="Arial" w:hAnsi="Arial"/>
                <w:sz w:val="16"/>
                <w:szCs w:val="16"/>
                <w:i w:val="1"/>
                <w:iCs w:val="1"/>
                <w:color w:val="auto"/>
                <w:w w:val="89"/>
              </w:rPr>
              <w:t>Chair</w:t>
            </w:r>
          </w:p>
        </w:tc>
        <w:tc>
          <w:tcPr>
            <w:tcW w:w="1140" w:type="dxa"/>
            <w:vAlign w:val="bottom"/>
          </w:tcPr>
          <w:p>
            <w:pPr>
              <w:spacing w:after="0"/>
              <w:rPr>
                <w:sz w:val="15"/>
                <w:szCs w:val="15"/>
                <w:color w:val="auto"/>
              </w:rPr>
            </w:pPr>
          </w:p>
        </w:tc>
        <w:tc>
          <w:tcPr>
            <w:tcW w:w="2820" w:type="dxa"/>
            <w:vAlign w:val="bottom"/>
          </w:tcPr>
          <w:p>
            <w:pPr>
              <w:jc w:val="center"/>
              <w:spacing w:after="0" w:line="181" w:lineRule="exact"/>
              <w:rPr>
                <w:sz w:val="20"/>
                <w:szCs w:val="20"/>
                <w:color w:val="auto"/>
              </w:rPr>
            </w:pPr>
            <w:r>
              <w:rPr>
                <w:rFonts w:ascii="Arial" w:cs="Arial" w:eastAsia="Arial" w:hAnsi="Arial"/>
                <w:sz w:val="16"/>
                <w:szCs w:val="16"/>
                <w:color w:val="auto"/>
                <w:w w:val="96"/>
              </w:rPr>
              <w:t xml:space="preserve">Martin L. Budd, </w:t>
            </w:r>
            <w:r>
              <w:rPr>
                <w:rFonts w:ascii="Arial" w:cs="Arial" w:eastAsia="Arial" w:hAnsi="Arial"/>
                <w:sz w:val="16"/>
                <w:szCs w:val="16"/>
                <w:i w:val="1"/>
                <w:iCs w:val="1"/>
                <w:color w:val="auto"/>
                <w:w w:val="96"/>
              </w:rPr>
              <w:t>Chair</w:t>
            </w:r>
          </w:p>
        </w:tc>
        <w:tc>
          <w:tcPr>
            <w:tcW w:w="1140" w:type="dxa"/>
            <w:vAlign w:val="bottom"/>
          </w:tcPr>
          <w:p>
            <w:pPr>
              <w:spacing w:after="0"/>
              <w:rPr>
                <w:sz w:val="15"/>
                <w:szCs w:val="15"/>
                <w:color w:val="auto"/>
              </w:rPr>
            </w:pPr>
          </w:p>
        </w:tc>
        <w:tc>
          <w:tcPr>
            <w:tcW w:w="2980" w:type="dxa"/>
            <w:vAlign w:val="bottom"/>
          </w:tcPr>
          <w:p>
            <w:pPr>
              <w:jc w:val="center"/>
              <w:spacing w:after="0" w:line="181" w:lineRule="exact"/>
              <w:rPr>
                <w:sz w:val="20"/>
                <w:szCs w:val="20"/>
                <w:color w:val="auto"/>
              </w:rPr>
            </w:pPr>
            <w:r>
              <w:rPr>
                <w:rFonts w:ascii="Arial" w:cs="Arial" w:eastAsia="Arial" w:hAnsi="Arial"/>
                <w:sz w:val="16"/>
                <w:szCs w:val="16"/>
                <w:color w:val="auto"/>
                <w:w w:val="93"/>
              </w:rPr>
              <w:t xml:space="preserve">Liane J. Pelletier, </w:t>
            </w:r>
            <w:r>
              <w:rPr>
                <w:rFonts w:ascii="Arial" w:cs="Arial" w:eastAsia="Arial" w:hAnsi="Arial"/>
                <w:sz w:val="16"/>
                <w:szCs w:val="16"/>
                <w:i w:val="1"/>
                <w:iCs w:val="1"/>
                <w:color w:val="auto"/>
                <w:w w:val="93"/>
              </w:rPr>
              <w:t>Chair</w:t>
            </w:r>
          </w:p>
        </w:tc>
      </w:tr>
      <w:tr>
        <w:trPr>
          <w:trHeight w:val="197"/>
        </w:trPr>
        <w:tc>
          <w:tcPr>
            <w:tcW w:w="3340" w:type="dxa"/>
            <w:vAlign w:val="bottom"/>
          </w:tcPr>
          <w:p>
            <w:pPr>
              <w:jc w:val="center"/>
              <w:spacing w:after="0"/>
              <w:rPr>
                <w:sz w:val="20"/>
                <w:szCs w:val="20"/>
                <w:color w:val="auto"/>
              </w:rPr>
            </w:pPr>
            <w:r>
              <w:rPr>
                <w:rFonts w:ascii="Arial" w:cs="Arial" w:eastAsia="Arial" w:hAnsi="Arial"/>
                <w:sz w:val="16"/>
                <w:szCs w:val="16"/>
                <w:color w:val="auto"/>
                <w:w w:val="97"/>
              </w:rPr>
              <w:t>Martin L. Budd</w:t>
            </w:r>
          </w:p>
        </w:tc>
        <w:tc>
          <w:tcPr>
            <w:tcW w:w="11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3"/>
              </w:rPr>
              <w:t>Michael T. Flynn</w:t>
            </w:r>
          </w:p>
        </w:tc>
        <w:tc>
          <w:tcPr>
            <w:tcW w:w="114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3"/>
              </w:rPr>
              <w:t>Dr. Bernard J. Bulkin</w:t>
            </w:r>
          </w:p>
        </w:tc>
      </w:tr>
      <w:tr>
        <w:trPr>
          <w:trHeight w:val="205"/>
        </w:trPr>
        <w:tc>
          <w:tcPr>
            <w:tcW w:w="3340" w:type="dxa"/>
            <w:vAlign w:val="bottom"/>
          </w:tcPr>
          <w:p>
            <w:pPr>
              <w:jc w:val="center"/>
              <w:spacing w:after="0"/>
              <w:rPr>
                <w:sz w:val="20"/>
                <w:szCs w:val="20"/>
                <w:color w:val="auto"/>
              </w:rPr>
            </w:pPr>
            <w:r>
              <w:rPr>
                <w:rFonts w:ascii="Arial" w:cs="Arial" w:eastAsia="Arial" w:hAnsi="Arial"/>
                <w:sz w:val="16"/>
                <w:szCs w:val="16"/>
                <w:color w:val="auto"/>
                <w:w w:val="93"/>
              </w:rPr>
              <w:t>Michael T. Flynn</w:t>
            </w:r>
          </w:p>
        </w:tc>
        <w:tc>
          <w:tcPr>
            <w:tcW w:w="11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1"/>
              </w:rPr>
              <w:t>Liane J. Pelletier</w:t>
            </w:r>
          </w:p>
        </w:tc>
        <w:tc>
          <w:tcPr>
            <w:tcW w:w="114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88"/>
              </w:rPr>
              <w:t>Charles J. Roesslein</w:t>
            </w:r>
          </w:p>
        </w:tc>
      </w:tr>
    </w:tbl>
    <w:p>
      <w:pPr>
        <w:spacing w:after="0" w:line="190" w:lineRule="exact"/>
        <w:rPr>
          <w:sz w:val="20"/>
          <w:szCs w:val="20"/>
          <w:color w:val="auto"/>
        </w:rPr>
      </w:pPr>
    </w:p>
    <w:p>
      <w:pPr>
        <w:ind w:right="220" w:firstLine="312"/>
        <w:spacing w:after="0" w:line="270" w:lineRule="auto"/>
        <w:rPr>
          <w:sz w:val="20"/>
          <w:szCs w:val="20"/>
          <w:color w:val="auto"/>
        </w:rPr>
      </w:pPr>
      <w:r>
        <w:rPr>
          <w:rFonts w:ascii="Arial" w:cs="Arial" w:eastAsia="Arial" w:hAnsi="Arial"/>
          <w:sz w:val="16"/>
          <w:szCs w:val="16"/>
          <w:color w:val="auto"/>
        </w:rPr>
        <w:t>All members of these committees are independent as defined in the listing standards of Nasdaq. Copies of the charters of each of the Audit Committee, the Compensation Committee and the Nominating and Corporate Governance Committee, as adopted and amended by our Board, are available in the "Corporate Governance" section of our website at ir.atni.com.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right="240" w:firstLine="321"/>
        <w:spacing w:after="0" w:line="284" w:lineRule="auto"/>
        <w:rPr>
          <w:sz w:val="20"/>
          <w:szCs w:val="20"/>
          <w:color w:val="auto"/>
        </w:rPr>
      </w:pPr>
      <w:r>
        <w:rPr>
          <w:rFonts w:ascii="Arial" w:cs="Arial" w:eastAsia="Arial" w:hAnsi="Arial"/>
          <w:sz w:val="16"/>
          <w:szCs w:val="16"/>
          <w:color w:val="auto"/>
        </w:rPr>
        <w:t>During 2016, the Audit Committee met eight times either by conference call or in person, including several meetings without members of management or the Company's independent auditors. The functions of the Audit Committee include:</w:t>
      </w:r>
    </w:p>
    <w:p>
      <w:pPr>
        <w:spacing w:after="0" w:line="169" w:lineRule="exact"/>
        <w:rPr>
          <w:sz w:val="20"/>
          <w:szCs w:val="20"/>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Appointing, compensating, evaluating and overseeing our independent auditor;</w:t>
      </w:r>
    </w:p>
    <w:p>
      <w:pPr>
        <w:spacing w:after="0" w:line="235" w:lineRule="exact"/>
        <w:rPr>
          <w:rFonts w:ascii="Arial" w:cs="Arial" w:eastAsia="Arial" w:hAnsi="Arial"/>
          <w:sz w:val="16"/>
          <w:szCs w:val="16"/>
          <w:color w:val="auto"/>
        </w:rPr>
      </w:pPr>
    </w:p>
    <w:p>
      <w:pPr>
        <w:ind w:left="980" w:right="40" w:hanging="488"/>
        <w:spacing w:after="0" w:line="284"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with our independent auditor the plan and scope of the audit, its status during the year and any recommendations the independent auditor may have for improving or changing the audit and control environment;</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Pre-approving the services provided by our independent auditor;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the Company's internal audit department and its review and testing of the Company's internal control policies, systems and procedures;</w:t>
      </w:r>
    </w:p>
    <w:p>
      <w:pPr>
        <w:spacing w:after="0" w:line="235" w:lineRule="exact"/>
        <w:rPr>
          <w:rFonts w:ascii="Arial" w:cs="Arial" w:eastAsia="Arial" w:hAnsi="Arial"/>
          <w:sz w:val="16"/>
          <w:szCs w:val="16"/>
          <w:color w:val="auto"/>
        </w:rPr>
      </w:pPr>
    </w:p>
    <w:p>
      <w:pPr>
        <w:ind w:left="980" w:right="80" w:hanging="488"/>
        <w:spacing w:after="0" w:line="319" w:lineRule="auto"/>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145" w:lineRule="exact"/>
        <w:rPr>
          <w:rFonts w:ascii="Arial" w:cs="Arial" w:eastAsia="Arial" w:hAnsi="Arial"/>
          <w:sz w:val="15"/>
          <w:szCs w:val="15"/>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our accounting principles, policies and practices and financial reporting policies and practices;</w:t>
      </w:r>
    </w:p>
    <w:p>
      <w:pPr>
        <w:spacing w:after="0" w:line="222" w:lineRule="exact"/>
        <w:rPr>
          <w:rFonts w:ascii="Arial" w:cs="Arial" w:eastAsia="Arial" w:hAnsi="Arial"/>
          <w:sz w:val="16"/>
          <w:szCs w:val="16"/>
          <w:color w:val="auto"/>
        </w:rPr>
      </w:pPr>
    </w:p>
    <w:p>
      <w:pPr>
        <w:ind w:left="980" w:right="300" w:hanging="488"/>
        <w:spacing w:after="0" w:line="28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our Code of Ethics, the Audit Committee Charter, the Internal Audit Department Charter any other relevant Company policies and the oversight of other compliance matters;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evaluating the effectiveness of the Company's risk assessment and risk management policies and processes;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if appropriate, approving related party transactions entered into by the Company;</w:t>
      </w:r>
    </w:p>
    <w:p>
      <w:pPr>
        <w:spacing w:after="0" w:line="222"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Undertaking other duties as assigned by our Board.</w:t>
      </w:r>
    </w:p>
    <w:p>
      <w:pPr>
        <w:spacing w:after="0" w:line="211" w:lineRule="exact"/>
        <w:rPr>
          <w:sz w:val="20"/>
          <w:szCs w:val="20"/>
          <w:color w:val="auto"/>
        </w:rPr>
      </w:pPr>
    </w:p>
    <w:p>
      <w:pPr>
        <w:ind w:right="40" w:firstLine="321"/>
        <w:spacing w:after="0" w:line="266" w:lineRule="auto"/>
        <w:rPr>
          <w:sz w:val="20"/>
          <w:szCs w:val="20"/>
          <w:color w:val="auto"/>
        </w:rPr>
      </w:pPr>
      <w:r>
        <w:rPr>
          <w:rFonts w:ascii="Arial" w:cs="Arial" w:eastAsia="Arial" w:hAnsi="Arial"/>
          <w:sz w:val="16"/>
          <w:szCs w:val="16"/>
          <w:color w:val="auto"/>
        </w:rPr>
        <w:t>Our Board has determined that each current member of the Audit Committee meets the financial literacy requirements of Nasdaq. It has also determined that Mr. Roesslein, who is currently the Chair of the Audit Committee and a director nominee for re-election, qualifies as an "audit committee financial expert" under the rules of the SEC and meets the financial sophistication requirements of Nasdaq. In addition, our Nominating and Corporate Governance Committee has determined that each of the current members of our Audit Committee meet the Nasdaq and SEC standards for audit committee member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right="260" w:firstLine="318"/>
        <w:spacing w:after="0" w:line="359" w:lineRule="auto"/>
        <w:rPr>
          <w:sz w:val="20"/>
          <w:szCs w:val="20"/>
          <w:color w:val="auto"/>
        </w:rPr>
      </w:pPr>
      <w:r>
        <w:rPr>
          <w:rFonts w:ascii="Arial" w:cs="Arial" w:eastAsia="Arial" w:hAnsi="Arial"/>
          <w:sz w:val="14"/>
          <w:szCs w:val="14"/>
          <w:color w:val="auto"/>
        </w:rPr>
        <w:t>The Compensation Committee met four times during 2016, and the Chairman of the Compensation Committee consulted and met several times with the Chief Executive Officer. The Compensation Committee also met once during 2017 to discuss 2016 compensation and bonus awards. The functions of the Compensation Committee include:</w:t>
      </w:r>
    </w:p>
    <w:p>
      <w:pPr>
        <w:spacing w:after="0" w:line="123" w:lineRule="exact"/>
        <w:rPr>
          <w:sz w:val="20"/>
          <w:szCs w:val="20"/>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determining the compensation of our Chief Executive Officer and our other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with the Chief Executive Officer the compensation of the managers of the Company's key operating units;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discussing our Compensation Discussion and Analysis in our Proxy Statement with management;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Developing, administering and taking all action required or permitted to be taken by the Board under our stock-based incentive plan;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recommending to the Board the compensation of our directors;</w:t>
      </w:r>
    </w:p>
    <w:p>
      <w:pPr>
        <w:spacing w:after="0" w:line="235"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coverage, disability coverage and life insurance benefits, and use of our stock in option, bonus, or appreciation arrangements), and other perquisites;</w:t>
      </w:r>
    </w:p>
    <w:p>
      <w:pPr>
        <w:spacing w:after="0" w:line="234" w:lineRule="exact"/>
        <w:rPr>
          <w:sz w:val="20"/>
          <w:szCs w:val="20"/>
          <w:color w:val="auto"/>
        </w:rPr>
      </w:pPr>
    </w:p>
    <w:p>
      <w:pPr>
        <w:ind w:left="980" w:hanging="488"/>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Retaining and working with compensation consultants or other advisors as the Compensation Committee may deem appropriate to carry out its responsibilities;</w:t>
      </w:r>
    </w:p>
    <w:p>
      <w:pPr>
        <w:spacing w:after="0" w:line="258" w:lineRule="exact"/>
        <w:rPr>
          <w:rFonts w:ascii="Arial" w:cs="Arial" w:eastAsia="Arial" w:hAnsi="Arial"/>
          <w:sz w:val="14"/>
          <w:szCs w:val="14"/>
          <w:color w:val="auto"/>
        </w:rPr>
      </w:pPr>
    </w:p>
    <w:p>
      <w:pPr>
        <w:ind w:left="980" w:hanging="48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the Compensation Committee Charter;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Undertaking such other functions as are assigned to the Compensation Committee by the Board.</w:t>
      </w:r>
    </w:p>
    <w:p>
      <w:pPr>
        <w:spacing w:after="0" w:line="211" w:lineRule="exact"/>
        <w:rPr>
          <w:sz w:val="20"/>
          <w:szCs w:val="20"/>
          <w:color w:val="auto"/>
        </w:rPr>
      </w:pPr>
    </w:p>
    <w:p>
      <w:pPr>
        <w:ind w:firstLine="318"/>
        <w:spacing w:after="0" w:line="300" w:lineRule="auto"/>
        <w:rPr>
          <w:sz w:val="20"/>
          <w:szCs w:val="20"/>
          <w:color w:val="auto"/>
        </w:rPr>
      </w:pPr>
      <w:r>
        <w:rPr>
          <w:rFonts w:ascii="Arial" w:cs="Arial" w:eastAsia="Arial" w:hAnsi="Arial"/>
          <w:sz w:val="14"/>
          <w:szCs w:val="14"/>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a compensation consultant, to re-evaluate and make recommendations as to the Company's peer group as well as consult on executive and director compensation trends. Following this review, the Chief Executive Officer typically meets with the Chairman of the Compensation Committee in order to discuss the draft compensation recommendations, performance analysis and future objectives of each of the executive officers of the Company and finalizes, with the Chairman,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of Directors to delegate to the Chief Executive Officer the power to make limited awards under the Company's 2008 Equity Incentive Plan (the "2008 Plan") to employees of the Company. Our Nominating and Corporate Governance Committee has determined that each of the current members of our Compensation Committee meets the independence requirements under Nasdaq and SEC standards for director independence.</w:t>
      </w:r>
    </w:p>
    <w:p>
      <w:pPr>
        <w:spacing w:after="0" w:line="154"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The Compensation Committee determines the compensation of the Chief Executive Officer in an executive session following its review of the CEO's performance against his goals for the year, the growth and performance of the Company, his leadership skills for the previous year, his self-analysis for the prior year's performance, and any other relevant factors.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Board has determined that each of the current members of the Compensation Committee meet the Nasdaq and SEC standards for committee member independence.</w:t>
      </w:r>
    </w:p>
    <w:p>
      <w:pPr>
        <w:spacing w:after="0" w:line="234" w:lineRule="exact"/>
        <w:rPr>
          <w:sz w:val="20"/>
          <w:szCs w:val="20"/>
          <w:color w:val="auto"/>
        </w:rPr>
      </w:pPr>
    </w:p>
    <w:p>
      <w:pPr>
        <w:ind w:right="300" w:firstLine="321"/>
        <w:spacing w:after="0" w:line="284" w:lineRule="auto"/>
        <w:rPr>
          <w:sz w:val="20"/>
          <w:szCs w:val="20"/>
          <w:color w:val="auto"/>
        </w:rPr>
      </w:pPr>
      <w:r>
        <w:rPr>
          <w:rFonts w:ascii="Arial" w:cs="Arial" w:eastAsia="Arial" w:hAnsi="Arial"/>
          <w:sz w:val="16"/>
          <w:szCs w:val="16"/>
          <w:color w:val="auto"/>
        </w:rPr>
        <w:t>For further information about the Compensation Committee's practices, please see "Compensation Discussion and Analysis," under "Executive Officer Compensation,"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160" w:firstLine="321"/>
        <w:spacing w:after="0" w:line="359" w:lineRule="auto"/>
        <w:rPr>
          <w:sz w:val="20"/>
          <w:szCs w:val="20"/>
          <w:color w:val="auto"/>
        </w:rPr>
      </w:pPr>
      <w:r>
        <w:rPr>
          <w:rFonts w:ascii="Arial" w:cs="Arial" w:eastAsia="Arial" w:hAnsi="Arial"/>
          <w:sz w:val="14"/>
          <w:szCs w:val="14"/>
          <w:color w:val="auto"/>
        </w:rPr>
        <w:t>During or prior to the fiscal year ended December 31, 2016,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11" w:lineRule="exact"/>
        <w:rPr>
          <w:sz w:val="20"/>
          <w:szCs w:val="20"/>
          <w:color w:val="auto"/>
        </w:rPr>
      </w:pPr>
    </w:p>
    <w:p>
      <w:pPr>
        <w:ind w:right="80" w:firstLine="318"/>
        <w:spacing w:after="0" w:line="284" w:lineRule="auto"/>
        <w:rPr>
          <w:sz w:val="20"/>
          <w:szCs w:val="20"/>
          <w:color w:val="auto"/>
        </w:rPr>
      </w:pPr>
      <w:r>
        <w:rPr>
          <w:rFonts w:ascii="Arial" w:cs="Arial" w:eastAsia="Arial" w:hAnsi="Arial"/>
          <w:sz w:val="16"/>
          <w:szCs w:val="16"/>
          <w:color w:val="auto"/>
        </w:rPr>
        <w:t>The Nominating and Corporate Governance Committee of our Board met four times in 2016. To date, the Nominating and Corporate Governance Committee has met once in 2017 to discuss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nominations for elections of directors and for committee membership on our Board. The functions of the Nominating and Corporate Governance Committee include:</w:t>
      </w:r>
    </w:p>
    <w:p>
      <w:pPr>
        <w:spacing w:after="0" w:line="234" w:lineRule="exact"/>
        <w:rPr>
          <w:sz w:val="20"/>
          <w:szCs w:val="20"/>
          <w:color w:val="auto"/>
        </w:rPr>
      </w:pPr>
    </w:p>
    <w:p>
      <w:pPr>
        <w:ind w:left="980" w:right="260" w:hanging="488"/>
        <w:spacing w:after="0" w:line="284"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recommending to the Board the persons to be considered for nomination for election as directors at any meeting of stockholders and the persons (if any) to be elected by the Board to fill any vacancies on the Board;</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determining the independence of any director or director nominee to our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recommending to the Board the directors to be appointed to each committee of the Board;</w:t>
      </w:r>
    </w:p>
    <w:p>
      <w:pPr>
        <w:spacing w:after="0" w:line="222" w:lineRule="exact"/>
        <w:rPr>
          <w:rFonts w:ascii="Arial" w:cs="Arial" w:eastAsia="Arial" w:hAnsi="Arial"/>
          <w:sz w:val="16"/>
          <w:szCs w:val="16"/>
          <w:color w:val="auto"/>
        </w:rPr>
      </w:pPr>
    </w:p>
    <w:p>
      <w:pPr>
        <w:ind w:left="980" w:right="480" w:hanging="488"/>
        <w:spacing w:after="0" w:line="284"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any stockholder proposals submitted to the Company pertaining to Board governance and directors;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developing and making recommendations to the Board regarding any corporate governance policies for the Company;</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overseeing periodic Board self-evaluations;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undertaking such other functions as are assigned to the Nominating and Corporate Governance Committee by the Board.</w:t>
      </w:r>
    </w:p>
    <w:p>
      <w:pPr>
        <w:spacing w:after="0" w:line="211" w:lineRule="exact"/>
        <w:rPr>
          <w:sz w:val="20"/>
          <w:szCs w:val="20"/>
          <w:color w:val="auto"/>
        </w:rPr>
      </w:pPr>
    </w:p>
    <w:p>
      <w:pPr>
        <w:ind w:right="140" w:firstLine="321"/>
        <w:spacing w:after="0" w:line="284" w:lineRule="auto"/>
        <w:rPr>
          <w:sz w:val="20"/>
          <w:szCs w:val="20"/>
          <w:color w:val="auto"/>
        </w:rPr>
      </w:pPr>
      <w:r>
        <w:rPr>
          <w:rFonts w:ascii="Arial" w:cs="Arial" w:eastAsia="Arial" w:hAnsi="Arial"/>
          <w:sz w:val="16"/>
          <w:szCs w:val="16"/>
          <w:color w:val="auto"/>
        </w:rPr>
        <w:t>Our Board has determined that each of the current members of our Nominating and Corporate Governance Committee meet the Nasdaq and SEC standards for committee member independence.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AUDITOR</w:t>
      </w:r>
    </w:p>
    <w:p>
      <w:pPr>
        <w:spacing w:after="0" w:line="21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PwC has audited our accounts since 2002. Our Audit Committee has appointed PwC to be our independent auditor for 2017 and we are asking stockholders to ratify this appointment in Proposal 4. The services provided by PwC in 2017 are expected to include, in addition to performing the consolidated audit, audits of certain subsidiaries; review of quarterly reports; issuance of letters to underwriters in connection with registration statements, if any, we may file with the SEC and consultation on accounting, financial reporting, tax and related matters. A representative of PwC is expected to be at the meeting and will have an opportunity to make a statement and respond to questions.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Auditor Fees and Services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aggregate fees for professional services rendered to us by PwC for the years ended December 31, 2016 and 2015:</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2"/>
                <w:szCs w:val="12"/>
                <w:color w:val="auto"/>
              </w:rPr>
            </w:pPr>
          </w:p>
        </w:tc>
      </w:tr>
      <w:tr>
        <w:trPr>
          <w:trHeight w:val="190"/>
        </w:trPr>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4,214,398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1,935,462</w:t>
            </w:r>
          </w:p>
        </w:tc>
      </w:tr>
      <w:tr>
        <w:trPr>
          <w:trHeight w:val="197"/>
        </w:trPr>
        <w:tc>
          <w:tcPr>
            <w:tcW w:w="6020" w:type="dxa"/>
            <w:vAlign w:val="bottom"/>
            <w:gridSpan w:val="2"/>
          </w:tcPr>
          <w:p>
            <w:pPr>
              <w:spacing w:after="0"/>
              <w:rPr>
                <w:sz w:val="20"/>
                <w:szCs w:val="20"/>
                <w:color w:val="auto"/>
              </w:rPr>
            </w:pPr>
            <w:r>
              <w:rPr>
                <w:rFonts w:ascii="Arial" w:cs="Arial" w:eastAsia="Arial" w:hAnsi="Arial"/>
                <w:sz w:val="16"/>
                <w:szCs w:val="16"/>
                <w:color w:val="auto"/>
              </w:rPr>
              <w:t>Audit Related Fees(2)</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131,700</w:t>
            </w:r>
          </w:p>
        </w:tc>
      </w:tr>
      <w:tr>
        <w:trPr>
          <w:trHeight w:val="197"/>
        </w:trPr>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Fees(3)</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54,027</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w:t>
            </w:r>
          </w:p>
        </w:tc>
      </w:tr>
      <w:tr>
        <w:trPr>
          <w:trHeight w:val="197"/>
        </w:trPr>
        <w:tc>
          <w:tcPr>
            <w:tcW w:w="602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2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4,271,425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2,087,162</w:t>
            </w:r>
          </w:p>
        </w:tc>
      </w:tr>
      <w:tr>
        <w:trPr>
          <w:trHeight w:val="20"/>
        </w:trPr>
        <w:tc>
          <w:tcPr>
            <w:tcW w:w="2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213" w:lineRule="exact"/>
        <w:rPr>
          <w:sz w:val="20"/>
          <w:szCs w:val="20"/>
          <w:color w:val="auto"/>
        </w:rPr>
      </w:pPr>
    </w:p>
    <w:p>
      <w:pPr>
        <w:ind w:left="2200" w:hanging="487"/>
        <w:spacing w:after="0" w:line="326" w:lineRule="auto"/>
        <w:tabs>
          <w:tab w:leader="none" w:pos="22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fees for professional services rendered for the audits of our consolidated financial statements, audits of certain subsidiaries and assistance with various documents filed with the SEC. The increase in audit fees from 2015 to 2016 is a result of the Company's completion of three complex acquisitions during 2016 and the related statutory audit requirements for each of those newly acquired businesses.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2200" w:right="400" w:hanging="487"/>
        <w:spacing w:after="0" w:line="284" w:lineRule="auto"/>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fees for professional services rendered for acquisition-related support and other technical, financial reporting and compliance services.</w:t>
      </w:r>
    </w:p>
    <w:p>
      <w:pPr>
        <w:spacing w:after="0" w:line="181"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fees for tax compliance and consulting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 and Procedures</w:t>
      </w:r>
    </w:p>
    <w:p>
      <w:pPr>
        <w:spacing w:after="0" w:line="215"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color w:val="auto"/>
        </w:rPr>
        <w:t>In accordance with its written charter, our Audit Committee pre-approves all audit and non-audit services, including the scope of contemplated services and the related fees that are to be performed by PwC, our independent auditor. The Audit Committee's pre-approval of non-audit services involves consideration of the impact of providing such services on PwC's independence. The Audit Committee is also responsible for ensuring that any approved non-audit services are disclosed to stockholders in our reports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right="640" w:firstLine="312"/>
        <w:spacing w:after="0" w:line="284" w:lineRule="auto"/>
        <w:rPr>
          <w:sz w:val="20"/>
          <w:szCs w:val="20"/>
          <w:color w:val="auto"/>
        </w:rPr>
      </w:pPr>
      <w:r>
        <w:rPr>
          <w:rFonts w:ascii="Arial" w:cs="Arial" w:eastAsia="Arial" w:hAnsi="Arial"/>
          <w:sz w:val="16"/>
          <w:szCs w:val="16"/>
          <w:color w:val="auto"/>
        </w:rPr>
        <w:t>As members of the Audit Committee of the Board of Directors of ATN International, Inc., we have reviewed and discussed with management the audited financial statements of the Company as of and for the year ended December 31, 2016.</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Audit Committee discussed with the independent registered public accountants the matters required to be discussed by Statement of Auditing Standards No. 61.</w:t>
      </w:r>
    </w:p>
    <w:p>
      <w:pPr>
        <w:spacing w:after="0" w:line="222" w:lineRule="exact"/>
        <w:rPr>
          <w:sz w:val="20"/>
          <w:szCs w:val="20"/>
          <w:color w:val="auto"/>
        </w:rPr>
      </w:pPr>
    </w:p>
    <w:p>
      <w:pPr>
        <w:ind w:right="260" w:firstLine="318"/>
        <w:spacing w:after="0" w:line="359" w:lineRule="auto"/>
        <w:rPr>
          <w:sz w:val="20"/>
          <w:szCs w:val="20"/>
          <w:color w:val="auto"/>
        </w:rPr>
      </w:pPr>
      <w:r>
        <w:rPr>
          <w:rFonts w:ascii="Arial" w:cs="Arial" w:eastAsia="Arial" w:hAnsi="Arial"/>
          <w:sz w:val="14"/>
          <w:szCs w:val="14"/>
          <w:color w:val="auto"/>
        </w:rPr>
        <w:t>The Audit Committee received from PwC the written disclosures and letter required by applicable requirements of the Public Company Accounting Oversight Board regarding their communications with the Audit Committee concerning independence, discussed PwC's independence with PwC and satisfied itself as to PwC's independence.</w:t>
      </w:r>
    </w:p>
    <w:p>
      <w:pPr>
        <w:spacing w:after="0" w:line="110"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6"/>
          <w:szCs w:val="16"/>
          <w:color w:val="auto"/>
        </w:rPr>
        <w:t>We have also concluded that the provision of services by PwC not related to the audit of the financial statements referred to above and to the reviews of the interim financial statements included in our Quarterly Reports on Form 10-Q for the quarters ended March 31, 2016, June 30, 2016 and September 30, 2016, was compatible with maintaining the independence of PwC.</w:t>
      </w:r>
    </w:p>
    <w:p>
      <w:pPr>
        <w:spacing w:after="0" w:line="168"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Based on the reviews and discussions referred to above, we have recommended to the Board of Directors that the audited financial statements referred to above be included in our Annual Report on Form 10-K for the year ended December 31, 2016.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Audit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Charles J. Roesslein,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Martin L. Budd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Michael T. Flynn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OFFICER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right="60" w:firstLine="321"/>
        <w:spacing w:after="0" w:line="297" w:lineRule="auto"/>
        <w:rPr>
          <w:sz w:val="20"/>
          <w:szCs w:val="20"/>
          <w:color w:val="auto"/>
        </w:rPr>
      </w:pPr>
      <w:r>
        <w:rPr>
          <w:rFonts w:ascii="Arial" w:cs="Arial" w:eastAsia="Arial" w:hAnsi="Arial"/>
          <w:sz w:val="15"/>
          <w:szCs w:val="15"/>
          <w:color w:val="auto"/>
        </w:rPr>
        <w:t xml:space="preserve">Our Compensation Committee of the Board of Directors has responsibility for establishing, implementing and maintaining the compensation program for our executive officers. For the purposes of this Compensation Discussion and Analysis, "executive officers" and "executives" means the individuals who served as our Chief Executive Officer and Chief Financial Officer during the fiscal year ended December 31, 2016, as well as the other individuals included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xml:space="preserve"> below.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Philosophy</w:t>
      </w:r>
    </w:p>
    <w:p>
      <w:pPr>
        <w:spacing w:after="0" w:line="211" w:lineRule="exact"/>
        <w:rPr>
          <w:sz w:val="20"/>
          <w:szCs w:val="20"/>
          <w:color w:val="auto"/>
        </w:rPr>
      </w:pPr>
    </w:p>
    <w:p>
      <w:pPr>
        <w:ind w:right="140" w:firstLine="318"/>
        <w:spacing w:after="0" w:line="266"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71" w:lineRule="exact"/>
        <w:rPr>
          <w:sz w:val="20"/>
          <w:szCs w:val="20"/>
          <w:color w:val="auto"/>
        </w:rPr>
      </w:pPr>
    </w:p>
    <w:p>
      <w:pPr>
        <w:ind w:firstLine="312"/>
        <w:spacing w:after="0" w:line="283" w:lineRule="auto"/>
        <w:rPr>
          <w:sz w:val="20"/>
          <w:szCs w:val="20"/>
          <w:color w:val="auto"/>
        </w:rPr>
      </w:pPr>
      <w:r>
        <w:rPr>
          <w:rFonts w:ascii="Arial" w:cs="Arial" w:eastAsia="Arial" w:hAnsi="Arial"/>
          <w:sz w:val="15"/>
          <w:szCs w:val="15"/>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of Directors and our senior management team and our corporate culture make this approach an effective method of determining compensation.</w:t>
      </w:r>
    </w:p>
    <w:p>
      <w:pPr>
        <w:spacing w:after="0" w:line="161"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color w:val="auto"/>
        </w:rPr>
        <w:t>Our Compensation Committee does consider the compensation of executive officers at other companies in order to assess the compensation that we offer our executive officers, as discussed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11" w:lineRule="exact"/>
        <w:rPr>
          <w:sz w:val="20"/>
          <w:szCs w:val="20"/>
          <w:color w:val="auto"/>
        </w:rPr>
      </w:pPr>
    </w:p>
    <w:p>
      <w:pPr>
        <w:ind w:right="140" w:firstLine="321"/>
        <w:spacing w:after="0" w:line="266" w:lineRule="auto"/>
        <w:rPr>
          <w:sz w:val="20"/>
          <w:szCs w:val="20"/>
          <w:color w:val="auto"/>
        </w:rPr>
      </w:pPr>
      <w:r>
        <w:rPr>
          <w:rFonts w:ascii="Arial" w:cs="Arial" w:eastAsia="Arial" w:hAnsi="Arial"/>
          <w:sz w:val="16"/>
          <w:szCs w:val="16"/>
          <w:color w:val="auto"/>
        </w:rPr>
        <w:t>Our Compensation Committee has retained the advisory services of Compensia, Inc. ("Compensia"), a national executive compensation consulting firm. For the past three years Compensia has assisted us with the identification of a relevant peer group and competitive market compensation data regarding the compensation of our named executive officers and directors as compared to such group. Compensia does not generally provide any other services to the Compensation Committee, except as may be requested from time to time with respect to specific matters and as described below.</w:t>
      </w:r>
    </w:p>
    <w:p>
      <w:pPr>
        <w:spacing w:after="0" w:line="171" w:lineRule="exact"/>
        <w:rPr>
          <w:sz w:val="20"/>
          <w:szCs w:val="20"/>
          <w:color w:val="auto"/>
        </w:rPr>
      </w:pPr>
    </w:p>
    <w:p>
      <w:pPr>
        <w:ind w:right="820" w:firstLine="318"/>
        <w:spacing w:after="0" w:line="284" w:lineRule="auto"/>
        <w:rPr>
          <w:sz w:val="20"/>
          <w:szCs w:val="20"/>
          <w:color w:val="auto"/>
        </w:rPr>
      </w:pPr>
      <w:r>
        <w:rPr>
          <w:rFonts w:ascii="Arial" w:cs="Arial" w:eastAsia="Arial" w:hAnsi="Arial"/>
          <w:sz w:val="16"/>
          <w:szCs w:val="16"/>
          <w:color w:val="auto"/>
        </w:rPr>
        <w:t>This past year, the Compensation Committee asked Compensia to gather peer group data, give advice on any possible changes based on that data and update the Compensation Committee on recent or pending changes to the rules and industry trends on executive compensation.</w:t>
      </w:r>
    </w:p>
    <w:p>
      <w:pPr>
        <w:spacing w:after="0" w:line="156" w:lineRule="exact"/>
        <w:rPr>
          <w:sz w:val="20"/>
          <w:szCs w:val="20"/>
          <w:color w:val="auto"/>
        </w:rPr>
      </w:pPr>
    </w:p>
    <w:p>
      <w:pPr>
        <w:ind w:right="40" w:firstLine="321"/>
        <w:spacing w:after="0" w:line="289" w:lineRule="auto"/>
        <w:rPr>
          <w:sz w:val="20"/>
          <w:szCs w:val="20"/>
          <w:color w:val="auto"/>
        </w:rPr>
      </w:pPr>
      <w:r>
        <w:rPr>
          <w:rFonts w:ascii="Arial" w:cs="Arial" w:eastAsia="Arial" w:hAnsi="Arial"/>
          <w:sz w:val="15"/>
          <w:szCs w:val="15"/>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the consideration of the various factors set forth in the rules of the SEC, the Compensation Committee does not believe that its relationship with Compensia and the work of Compensia on behalf of the Compensation Committee has raised any conflicts of interest, and the Compensation Committee believes that Compensia is independent.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External Sources</w:t>
      </w:r>
    </w:p>
    <w:p>
      <w:pPr>
        <w:spacing w:after="0" w:line="21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Generally, we seek to offer executive compensation that is reasonably competitive with telecommunications and to a lesser extent, renewable energy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a useful basic check, mainly for the compensation of our named executive officers and directors.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2016, our Compensation Committee referred to the executive compensation paid at the following group of companies: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8 × 8</w:t>
            </w:r>
          </w:p>
        </w:tc>
        <w:tc>
          <w:tcPr>
            <w:tcW w:w="2940" w:type="dxa"/>
            <w:vAlign w:val="bottom"/>
          </w:tcPr>
          <w:p>
            <w:pPr>
              <w:ind w:left="1180"/>
              <w:spacing w:after="0"/>
              <w:rPr>
                <w:sz w:val="20"/>
                <w:szCs w:val="20"/>
                <w:color w:val="auto"/>
              </w:rPr>
            </w:pPr>
            <w:r>
              <w:rPr>
                <w:rFonts w:ascii="Arial" w:cs="Arial" w:eastAsia="Arial" w:hAnsi="Arial"/>
                <w:sz w:val="16"/>
                <w:szCs w:val="16"/>
                <w:color w:val="auto"/>
              </w:rPr>
              <w:t>Gogo</w:t>
            </w:r>
          </w:p>
        </w:tc>
        <w:tc>
          <w:tcPr>
            <w:tcW w:w="2300" w:type="dxa"/>
            <w:vAlign w:val="bottom"/>
          </w:tcPr>
          <w:p>
            <w:pPr>
              <w:ind w:left="140"/>
              <w:spacing w:after="0"/>
              <w:rPr>
                <w:sz w:val="20"/>
                <w:szCs w:val="20"/>
                <w:color w:val="auto"/>
              </w:rPr>
            </w:pPr>
            <w:r>
              <w:rPr>
                <w:rFonts w:ascii="Arial" w:cs="Arial" w:eastAsia="Arial" w:hAnsi="Arial"/>
                <w:sz w:val="16"/>
                <w:szCs w:val="16"/>
                <w:color w:val="auto"/>
              </w:rPr>
              <w:t>RigNet</w:t>
            </w:r>
          </w:p>
        </w:tc>
      </w:t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Cincinnati Bell</w:t>
            </w:r>
          </w:p>
        </w:tc>
        <w:tc>
          <w:tcPr>
            <w:tcW w:w="2940" w:type="dxa"/>
            <w:vAlign w:val="bottom"/>
          </w:tcPr>
          <w:p>
            <w:pPr>
              <w:ind w:left="1180"/>
              <w:spacing w:after="0"/>
              <w:rPr>
                <w:sz w:val="20"/>
                <w:szCs w:val="20"/>
                <w:color w:val="auto"/>
              </w:rPr>
            </w:pPr>
            <w:r>
              <w:rPr>
                <w:rFonts w:ascii="Arial" w:cs="Arial" w:eastAsia="Arial" w:hAnsi="Arial"/>
                <w:sz w:val="16"/>
                <w:szCs w:val="16"/>
                <w:color w:val="auto"/>
              </w:rPr>
              <w:t>Inteliquent</w:t>
            </w:r>
          </w:p>
        </w:tc>
        <w:tc>
          <w:tcPr>
            <w:tcW w:w="2300" w:type="dxa"/>
            <w:vAlign w:val="bottom"/>
          </w:tcPr>
          <w:p>
            <w:pPr>
              <w:ind w:left="140"/>
              <w:spacing w:after="0"/>
              <w:rPr>
                <w:sz w:val="20"/>
                <w:szCs w:val="20"/>
                <w:color w:val="auto"/>
              </w:rPr>
            </w:pPr>
            <w:r>
              <w:rPr>
                <w:rFonts w:ascii="Arial" w:cs="Arial" w:eastAsia="Arial" w:hAnsi="Arial"/>
                <w:sz w:val="16"/>
                <w:szCs w:val="16"/>
                <w:color w:val="auto"/>
              </w:rPr>
              <w:t>RingCentral</w:t>
            </w:r>
          </w:p>
        </w:tc>
      </w:t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Cogent Communications</w:t>
            </w:r>
          </w:p>
        </w:tc>
        <w:tc>
          <w:tcPr>
            <w:tcW w:w="2940" w:type="dxa"/>
            <w:vAlign w:val="bottom"/>
          </w:tcPr>
          <w:p>
            <w:pPr>
              <w:ind w:left="1180"/>
              <w:spacing w:after="0"/>
              <w:rPr>
                <w:sz w:val="20"/>
                <w:szCs w:val="20"/>
                <w:color w:val="auto"/>
              </w:rPr>
            </w:pPr>
            <w:r>
              <w:rPr>
                <w:rFonts w:ascii="Arial" w:cs="Arial" w:eastAsia="Arial" w:hAnsi="Arial"/>
                <w:sz w:val="16"/>
                <w:szCs w:val="16"/>
                <w:color w:val="auto"/>
              </w:rPr>
              <w:t>Iridium Communications</w:t>
            </w:r>
          </w:p>
        </w:tc>
        <w:tc>
          <w:tcPr>
            <w:tcW w:w="2300" w:type="dxa"/>
            <w:vAlign w:val="bottom"/>
          </w:tcPr>
          <w:p>
            <w:pPr>
              <w:ind w:left="140"/>
              <w:spacing w:after="0"/>
              <w:rPr>
                <w:sz w:val="20"/>
                <w:szCs w:val="20"/>
                <w:color w:val="auto"/>
              </w:rPr>
            </w:pPr>
            <w:r>
              <w:rPr>
                <w:rFonts w:ascii="Arial" w:cs="Arial" w:eastAsia="Arial" w:hAnsi="Arial"/>
                <w:sz w:val="16"/>
                <w:szCs w:val="16"/>
                <w:color w:val="auto"/>
                <w:w w:val="88"/>
              </w:rPr>
              <w:t>Shenandoah Telecommunications</w:t>
            </w:r>
          </w:p>
        </w:tc>
      </w:t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Consolidated Communications</w:t>
            </w:r>
          </w:p>
        </w:tc>
        <w:tc>
          <w:tcPr>
            <w:tcW w:w="2940" w:type="dxa"/>
            <w:vAlign w:val="bottom"/>
          </w:tcPr>
          <w:p>
            <w:pPr>
              <w:ind w:left="1180"/>
              <w:spacing w:after="0"/>
              <w:rPr>
                <w:sz w:val="20"/>
                <w:szCs w:val="20"/>
                <w:color w:val="auto"/>
              </w:rPr>
            </w:pPr>
            <w:r>
              <w:rPr>
                <w:rFonts w:ascii="Arial" w:cs="Arial" w:eastAsia="Arial" w:hAnsi="Arial"/>
                <w:sz w:val="16"/>
                <w:szCs w:val="16"/>
                <w:color w:val="auto"/>
              </w:rPr>
              <w:t>Lumos Networks</w:t>
            </w:r>
          </w:p>
        </w:tc>
        <w:tc>
          <w:tcPr>
            <w:tcW w:w="2300" w:type="dxa"/>
            <w:vAlign w:val="bottom"/>
          </w:tcPr>
          <w:p>
            <w:pPr>
              <w:ind w:left="140"/>
              <w:spacing w:after="0"/>
              <w:rPr>
                <w:sz w:val="20"/>
                <w:szCs w:val="20"/>
                <w:color w:val="auto"/>
              </w:rPr>
            </w:pPr>
            <w:r>
              <w:rPr>
                <w:rFonts w:ascii="Arial" w:cs="Arial" w:eastAsia="Arial" w:hAnsi="Arial"/>
                <w:sz w:val="16"/>
                <w:szCs w:val="16"/>
                <w:color w:val="auto"/>
              </w:rPr>
              <w:t>US Cellular</w:t>
            </w:r>
          </w:p>
        </w:tc>
      </w:t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FairPoint Communications</w:t>
            </w:r>
          </w:p>
        </w:tc>
        <w:tc>
          <w:tcPr>
            <w:tcW w:w="2940" w:type="dxa"/>
            <w:vAlign w:val="bottom"/>
          </w:tcPr>
          <w:p>
            <w:pPr>
              <w:ind w:left="1180"/>
              <w:spacing w:after="0"/>
              <w:rPr>
                <w:sz w:val="20"/>
                <w:szCs w:val="20"/>
                <w:color w:val="auto"/>
              </w:rPr>
            </w:pPr>
            <w:r>
              <w:rPr>
                <w:rFonts w:ascii="Arial" w:cs="Arial" w:eastAsia="Arial" w:hAnsi="Arial"/>
                <w:sz w:val="16"/>
                <w:szCs w:val="16"/>
                <w:color w:val="auto"/>
              </w:rPr>
              <w:t>Ormat Technologies</w:t>
            </w:r>
          </w:p>
        </w:tc>
        <w:tc>
          <w:tcPr>
            <w:tcW w:w="2300" w:type="dxa"/>
            <w:vAlign w:val="bottom"/>
          </w:tcPr>
          <w:p>
            <w:pPr>
              <w:ind w:left="140"/>
              <w:spacing w:after="0"/>
              <w:rPr>
                <w:sz w:val="20"/>
                <w:szCs w:val="20"/>
                <w:color w:val="auto"/>
              </w:rPr>
            </w:pPr>
            <w:r>
              <w:rPr>
                <w:rFonts w:ascii="Arial" w:cs="Arial" w:eastAsia="Arial" w:hAnsi="Arial"/>
                <w:sz w:val="16"/>
                <w:szCs w:val="16"/>
                <w:color w:val="auto"/>
              </w:rPr>
              <w:t>ViaSat</w:t>
            </w:r>
          </w:p>
        </w:tc>
      </w:tr>
      <w:tr>
        <w:trPr>
          <w:trHeight w:val="205"/>
        </w:trPr>
        <w:tc>
          <w:tcPr>
            <w:tcW w:w="3180" w:type="dxa"/>
            <w:vAlign w:val="bottom"/>
          </w:tcPr>
          <w:p>
            <w:pPr>
              <w:spacing w:after="0"/>
              <w:rPr>
                <w:sz w:val="20"/>
                <w:szCs w:val="20"/>
                <w:color w:val="auto"/>
              </w:rPr>
            </w:pPr>
            <w:r>
              <w:rPr>
                <w:rFonts w:ascii="Arial" w:cs="Arial" w:eastAsia="Arial" w:hAnsi="Arial"/>
                <w:sz w:val="16"/>
                <w:szCs w:val="16"/>
                <w:color w:val="auto"/>
              </w:rPr>
              <w:t>General Communication</w:t>
            </w:r>
          </w:p>
        </w:tc>
        <w:tc>
          <w:tcPr>
            <w:tcW w:w="2940" w:type="dxa"/>
            <w:vAlign w:val="bottom"/>
          </w:tcPr>
          <w:p>
            <w:pPr>
              <w:ind w:left="1180"/>
              <w:spacing w:after="0"/>
              <w:rPr>
                <w:sz w:val="20"/>
                <w:szCs w:val="20"/>
                <w:color w:val="auto"/>
              </w:rPr>
            </w:pPr>
            <w:r>
              <w:rPr>
                <w:rFonts w:ascii="Arial" w:cs="Arial" w:eastAsia="Arial" w:hAnsi="Arial"/>
                <w:sz w:val="16"/>
                <w:szCs w:val="16"/>
                <w:color w:val="auto"/>
              </w:rPr>
              <w:t>Pattern Energy Group</w:t>
            </w:r>
          </w:p>
        </w:tc>
        <w:tc>
          <w:tcPr>
            <w:tcW w:w="2300" w:type="dxa"/>
            <w:vAlign w:val="bottom"/>
          </w:tcPr>
          <w:p>
            <w:pPr>
              <w:ind w:left="140"/>
              <w:spacing w:after="0"/>
              <w:rPr>
                <w:sz w:val="20"/>
                <w:szCs w:val="20"/>
                <w:color w:val="auto"/>
              </w:rPr>
            </w:pPr>
            <w:r>
              <w:rPr>
                <w:rFonts w:ascii="Arial" w:cs="Arial" w:eastAsia="Arial" w:hAnsi="Arial"/>
                <w:sz w:val="16"/>
                <w:szCs w:val="16"/>
                <w:color w:val="auto"/>
              </w:rPr>
              <w:t>Vonage Holdings</w:t>
            </w:r>
          </w:p>
        </w:tc>
      </w:tr>
    </w:tbl>
    <w:p>
      <w:pPr>
        <w:spacing w:after="0" w:line="190" w:lineRule="exact"/>
        <w:rPr>
          <w:sz w:val="20"/>
          <w:szCs w:val="20"/>
          <w:color w:val="auto"/>
        </w:rPr>
      </w:pPr>
    </w:p>
    <w:p>
      <w:pPr>
        <w:ind w:right="40" w:firstLine="321"/>
        <w:spacing w:after="0" w:line="285" w:lineRule="auto"/>
        <w:rPr>
          <w:sz w:val="20"/>
          <w:szCs w:val="20"/>
          <w:color w:val="auto"/>
        </w:rPr>
      </w:pPr>
      <w:r>
        <w:rPr>
          <w:rFonts w:ascii="Arial" w:cs="Arial" w:eastAsia="Arial" w:hAnsi="Arial"/>
          <w:sz w:val="15"/>
          <w:szCs w:val="15"/>
          <w:color w:val="auto"/>
        </w:rPr>
        <w:t>Our Compensation Committee believed that these companies provided us with helpful indicators of competitive executive compensation levels and pay mix because, as a group, they had the following characteristics that are similar to ours: (1) they are telecommunications or solar companies; (2) several of them have both wireless and wireline operations; (3) several of them are of similar size to the Company; and (4) several have a mix of domestic and international operations. However,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Chief Executive Officer in Compensation Decisions</w:t>
      </w:r>
    </w:p>
    <w:p>
      <w:pPr>
        <w:spacing w:after="0" w:line="211" w:lineRule="exact"/>
        <w:rPr>
          <w:sz w:val="20"/>
          <w:szCs w:val="20"/>
          <w:color w:val="auto"/>
        </w:rPr>
      </w:pPr>
    </w:p>
    <w:p>
      <w:pPr>
        <w:ind w:right="20" w:firstLine="312"/>
        <w:spacing w:after="0" w:line="285" w:lineRule="auto"/>
        <w:rPr>
          <w:sz w:val="20"/>
          <w:szCs w:val="20"/>
          <w:color w:val="auto"/>
        </w:rPr>
      </w:pPr>
      <w:r>
        <w:rPr>
          <w:rFonts w:ascii="Arial" w:cs="Arial" w:eastAsia="Arial" w:hAnsi="Arial"/>
          <w:sz w:val="15"/>
          <w:szCs w:val="15"/>
          <w:color w:val="auto"/>
        </w:rPr>
        <w:t>At the end of the year, our Chief Executive Officer evaluates the performance of our other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executive officers, including discretion to modify the recommendations of our Chief Executive Officer in determining the type and amounts of compensation paid to each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Elements of Compensation</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Overview</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executive compensation program is focused on three separate elements:</w:t>
      </w:r>
    </w:p>
    <w:p>
      <w:pPr>
        <w:spacing w:after="0" w:line="223" w:lineRule="exact"/>
        <w:rPr>
          <w:sz w:val="20"/>
          <w:szCs w:val="20"/>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cash bonuses;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equity awards.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Other than as described below, our Compensation Committee does not have any specific policies or targets for the allocation or "pay mix" of these compensation elements.</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Base Salary</w:t>
      </w:r>
    </w:p>
    <w:p>
      <w:pPr>
        <w:spacing w:after="0" w:line="215" w:lineRule="exact"/>
        <w:rPr>
          <w:sz w:val="20"/>
          <w:szCs w:val="20"/>
          <w:color w:val="auto"/>
        </w:rPr>
      </w:pPr>
    </w:p>
    <w:p>
      <w:pPr>
        <w:ind w:right="120" w:firstLine="318"/>
        <w:spacing w:after="0" w:line="283" w:lineRule="auto"/>
        <w:rPr>
          <w:sz w:val="20"/>
          <w:szCs w:val="20"/>
          <w:color w:val="auto"/>
        </w:rPr>
      </w:pPr>
      <w:r>
        <w:rPr>
          <w:rFonts w:ascii="Arial" w:cs="Arial" w:eastAsia="Arial" w:hAnsi="Arial"/>
          <w:sz w:val="15"/>
          <w:szCs w:val="15"/>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believes that base salaries should increase annually at a rate that is slightly above or below cost-of-living adjustments, as represented by indicators like the Consumer Price Index. In addition to merit- based changes, larger increases (or decreases) may be made based on a change in the responsibilities of the executive. Factors such as the expansion or contraction of the Company and the financial condition and prospects of the Company may also influence the amount of annual salary adjustments. From time to time, comparative market factors also may cause the Compensation Committee to make increases above or below the normal cost-of-living adjustment.</w:t>
      </w:r>
    </w:p>
    <w:p>
      <w:pPr>
        <w:spacing w:after="0" w:line="161" w:lineRule="exact"/>
        <w:rPr>
          <w:sz w:val="20"/>
          <w:szCs w:val="20"/>
          <w:color w:val="auto"/>
        </w:rPr>
      </w:pPr>
    </w:p>
    <w:p>
      <w:pPr>
        <w:ind w:right="40" w:firstLine="321"/>
        <w:spacing w:after="0" w:line="297" w:lineRule="auto"/>
        <w:rPr>
          <w:sz w:val="20"/>
          <w:szCs w:val="20"/>
          <w:color w:val="auto"/>
        </w:rPr>
      </w:pPr>
      <w:r>
        <w:rPr>
          <w:rFonts w:ascii="Arial" w:cs="Arial" w:eastAsia="Arial" w:hAnsi="Arial"/>
          <w:sz w:val="15"/>
          <w:szCs w:val="15"/>
          <w:color w:val="auto"/>
        </w:rPr>
        <w:t>Below is a chart showing the base salary rates for 2016 for our named executive officers, in comparison to those in effect in 2015. For 2016, due to the decline in the Company's operating income, the Committee did not increase the CEO's base salary and kept increases for the other named executive officers at approximately 1% other than for Mr. Fougere as explained below. For 2017, the Committee decided to resume basic cost-of-living increases for the executive officers.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Annualized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Percent Increase</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3"/>
              </w:rPr>
              <w:t>Named Executive Officer</w:t>
            </w: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3"/>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3"/>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from 2015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48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590,000</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w w:val="91"/>
              </w:rPr>
              <w:t>Justin D. Benincasa</w:t>
            </w:r>
          </w:p>
        </w:tc>
        <w:tc>
          <w:tcPr>
            <w:tcW w:w="5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351,000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348,000</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261,000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258,000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w w:val="96"/>
              </w:rPr>
              <w:t>William F. Kreisher</w:t>
            </w:r>
          </w:p>
        </w:tc>
        <w:tc>
          <w:tcPr>
            <w:tcW w:w="5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258,000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255,000</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275,000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On May 20, 2016, the two-year anniversary of Mr. Fougere's hiring, the Company promoted Mr. Fougere to Executive Vice President and adjusted Mr. Fougere's base salary from $261,000 per year to $300,000 per year. As a part of that promotion, Mr. Fougere may receive higher than the typical increases in 2017 and 2018 as the Compensation Committee evaluates his performance following his promotion and the change in his responsibilities.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Annual Cash and Equity Bonuses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Cash Bonus</w:t>
      </w:r>
    </w:p>
    <w:p>
      <w:pPr>
        <w:spacing w:after="0" w:line="211" w:lineRule="exact"/>
        <w:rPr>
          <w:sz w:val="20"/>
          <w:szCs w:val="20"/>
          <w:color w:val="auto"/>
        </w:rPr>
      </w:pPr>
    </w:p>
    <w:p>
      <w:pPr>
        <w:jc w:val="both"/>
        <w:ind w:right="100" w:firstLine="318"/>
        <w:spacing w:after="0" w:line="297" w:lineRule="auto"/>
        <w:rPr>
          <w:sz w:val="20"/>
          <w:szCs w:val="20"/>
          <w:color w:val="auto"/>
        </w:rPr>
      </w:pPr>
      <w:r>
        <w:rPr>
          <w:rFonts w:ascii="Arial" w:cs="Arial" w:eastAsia="Arial" w:hAnsi="Arial"/>
          <w:sz w:val="15"/>
          <w:szCs w:val="15"/>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2016, the annual bonus opportunity for our named executive officers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80" w:type="dxa"/>
            <w:vAlign w:val="bottom"/>
            <w:gridSpan w:val="3"/>
          </w:tcPr>
          <w:p>
            <w:pPr>
              <w:jc w:val="center"/>
              <w:ind w:right="1840"/>
              <w:spacing w:after="0"/>
              <w:rPr>
                <w:sz w:val="20"/>
                <w:szCs w:val="20"/>
                <w:color w:val="auto"/>
              </w:rPr>
            </w:pPr>
            <w:r>
              <w:rPr>
                <w:rFonts w:ascii="Arial" w:cs="Arial" w:eastAsia="Arial" w:hAnsi="Arial"/>
                <w:sz w:val="12"/>
                <w:szCs w:val="12"/>
                <w:b w:val="1"/>
                <w:bCs w:val="1"/>
                <w:color w:val="auto"/>
                <w:w w:val="93"/>
              </w:rPr>
              <w:t>2016 Annual Bonus</w:t>
            </w:r>
          </w:p>
        </w:tc>
      </w:tr>
      <w:tr>
        <w:trPr>
          <w:trHeight w:val="136"/>
        </w:trPr>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280" w:type="dxa"/>
            <w:vAlign w:val="bottom"/>
            <w:gridSpan w:val="3"/>
          </w:tcPr>
          <w:p>
            <w:pPr>
              <w:jc w:val="center"/>
              <w:ind w:right="1840"/>
              <w:spacing w:after="0" w:line="136" w:lineRule="exact"/>
              <w:rPr>
                <w:sz w:val="20"/>
                <w:szCs w:val="20"/>
                <w:color w:val="auto"/>
              </w:rPr>
            </w:pPr>
            <w:r>
              <w:rPr>
                <w:rFonts w:ascii="Arial" w:cs="Arial" w:eastAsia="Arial" w:hAnsi="Arial"/>
                <w:sz w:val="12"/>
                <w:szCs w:val="12"/>
                <w:b w:val="1"/>
                <w:bCs w:val="1"/>
                <w:color w:val="auto"/>
                <w:w w:val="93"/>
              </w:rPr>
              <w:t>Opportunity Expressed</w:t>
            </w:r>
          </w:p>
        </w:tc>
      </w:tr>
      <w:tr>
        <w:trPr>
          <w:trHeight w:val="149"/>
        </w:trPr>
        <w:tc>
          <w:tcPr>
            <w:tcW w:w="1720" w:type="dxa"/>
            <w:vAlign w:val="bottom"/>
          </w:tcPr>
          <w:p>
            <w:pPr>
              <w:spacing w:after="0"/>
              <w:rPr>
                <w:sz w:val="12"/>
                <w:szCs w:val="12"/>
                <w:color w:val="auto"/>
              </w:rPr>
            </w:pPr>
          </w:p>
        </w:tc>
        <w:tc>
          <w:tcPr>
            <w:tcW w:w="262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3800" w:type="dxa"/>
            <w:vAlign w:val="bottom"/>
          </w:tcPr>
          <w:p>
            <w:pPr>
              <w:spacing w:after="0"/>
              <w:rPr>
                <w:sz w:val="12"/>
                <w:szCs w:val="12"/>
                <w:color w:val="auto"/>
              </w:rPr>
            </w:pPr>
          </w:p>
        </w:tc>
        <w:tc>
          <w:tcPr>
            <w:tcW w:w="3280" w:type="dxa"/>
            <w:vAlign w:val="bottom"/>
            <w:gridSpan w:val="3"/>
          </w:tcPr>
          <w:p>
            <w:pPr>
              <w:jc w:val="center"/>
              <w:ind w:right="1840"/>
              <w:spacing w:after="0"/>
              <w:rPr>
                <w:sz w:val="20"/>
                <w:szCs w:val="20"/>
                <w:color w:val="auto"/>
              </w:rPr>
            </w:pPr>
            <w:r>
              <w:rPr>
                <w:rFonts w:ascii="Arial" w:cs="Arial" w:eastAsia="Arial" w:hAnsi="Arial"/>
                <w:sz w:val="12"/>
                <w:szCs w:val="12"/>
                <w:b w:val="1"/>
                <w:bCs w:val="1"/>
                <w:color w:val="auto"/>
                <w:w w:val="91"/>
              </w:rPr>
              <w:t>as % of Base Salary</w:t>
            </w:r>
          </w:p>
        </w:tc>
      </w:tr>
      <w:tr>
        <w:trPr>
          <w:trHeight w:val="20"/>
        </w:trPr>
        <w:tc>
          <w:tcPr>
            <w:tcW w:w="17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30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72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Justin D. Benincasa</w:t>
            </w:r>
          </w:p>
        </w:tc>
        <w:tc>
          <w:tcPr>
            <w:tcW w:w="536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William F. Kreisher</w:t>
            </w:r>
          </w:p>
        </w:tc>
        <w:tc>
          <w:tcPr>
            <w:tcW w:w="536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720" w:type="dxa"/>
            <w:vAlign w:val="bottom"/>
          </w:tcPr>
          <w:p>
            <w:pPr>
              <w:spacing w:after="0"/>
              <w:rPr>
                <w:sz w:val="17"/>
                <w:szCs w:val="17"/>
                <w:color w:val="auto"/>
              </w:rPr>
            </w:pPr>
          </w:p>
        </w:tc>
      </w:tr>
      <w:tr>
        <w:trPr>
          <w:trHeight w:val="393"/>
        </w:trPr>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0" w:type="dxa"/>
            <w:vAlign w:val="bottom"/>
          </w:tcPr>
          <w:p>
            <w:pPr>
              <w:jc w:val="right"/>
              <w:ind w:right="2260"/>
              <w:spacing w:after="0"/>
              <w:rPr>
                <w:sz w:val="20"/>
                <w:szCs w:val="20"/>
                <w:color w:val="auto"/>
              </w:rPr>
            </w:pPr>
            <w:r>
              <w:rPr>
                <w:rFonts w:ascii="Arial" w:cs="Arial" w:eastAsia="Arial" w:hAnsi="Arial"/>
                <w:sz w:val="16"/>
                <w:szCs w:val="16"/>
                <w:color w:val="auto"/>
              </w:rPr>
              <w:t>24</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380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firstLine="312"/>
        <w:spacing w:after="0" w:line="310" w:lineRule="auto"/>
        <w:rPr>
          <w:sz w:val="20"/>
          <w:szCs w:val="20"/>
          <w:color w:val="auto"/>
        </w:rPr>
      </w:pPr>
      <w:r>
        <w:rPr>
          <w:rFonts w:ascii="Arial" w:cs="Arial" w:eastAsia="Arial" w:hAnsi="Arial"/>
          <w:sz w:val="14"/>
          <w:szCs w:val="14"/>
          <w:color w:val="auto"/>
        </w:rPr>
        <w:t>At the end of the year, the Compensation Committee makes an overall assessment of the quality of each executive officer's performance during the year. For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2016, the target amounts of the bonuses, other than with respect to Mr. Fougere as a result of his promotion, were unchanged from 2015 levels, based upon the Compensation Committee's assessment that such targets were reasonable and appropriate.</w:t>
      </w:r>
    </w:p>
    <w:p>
      <w:pPr>
        <w:spacing w:after="0" w:line="144" w:lineRule="exact"/>
        <w:rPr>
          <w:sz w:val="20"/>
          <w:szCs w:val="20"/>
          <w:color w:val="auto"/>
        </w:rPr>
      </w:pPr>
    </w:p>
    <w:p>
      <w:pPr>
        <w:ind w:right="20" w:firstLine="312"/>
        <w:spacing w:after="0" w:line="307" w:lineRule="auto"/>
        <w:rPr>
          <w:sz w:val="20"/>
          <w:szCs w:val="20"/>
          <w:color w:val="auto"/>
        </w:rPr>
      </w:pPr>
      <w:r>
        <w:rPr>
          <w:rFonts w:ascii="Arial" w:cs="Arial" w:eastAsia="Arial" w:hAnsi="Arial"/>
          <w:sz w:val="14"/>
          <w:szCs w:val="14"/>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executive officers, the actual amount of annual cash bonus awarded for 2016 was based on a highly subjective review of a number of factors that are each assigned a recommended weight for each executive, which varies based on the roles and duties of each individual. In general, the Compensation Committee believes that the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45" w:lineRule="exact"/>
        <w:rPr>
          <w:sz w:val="20"/>
          <w:szCs w:val="20"/>
          <w:color w:val="auto"/>
        </w:rPr>
      </w:pPr>
    </w:p>
    <w:p>
      <w:pPr>
        <w:ind w:right="60" w:firstLine="321"/>
        <w:spacing w:after="0" w:line="303" w:lineRule="auto"/>
        <w:rPr>
          <w:sz w:val="20"/>
          <w:szCs w:val="20"/>
          <w:color w:val="auto"/>
        </w:rPr>
      </w:pPr>
      <w:r>
        <w:rPr>
          <w:rFonts w:ascii="Arial" w:cs="Arial" w:eastAsia="Arial" w:hAnsi="Arial"/>
          <w:sz w:val="14"/>
          <w:szCs w:val="14"/>
          <w:color w:val="auto"/>
        </w:rPr>
        <w:t>Our corporate performance has historically been reviewed by reference to year over year consolidated Company performance and our Compensation Committee will take note of additional significant overall Company achievements or weaknesses which may or may not have impacted or been reflected in the Company's financial or operational results. For 2016, the weight assigned to each performance factor generally ranged from approximately 35-50% for Company operational and financial performance, 35-50% for individual achievements, including accomplishment of individual goals set for the 2016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such individual's performance and relevant job responsibilities. For the Chief Executive Officer, the Committee generally assigns a higher weight to Company performance than the foregoing range indicates.</w:t>
      </w:r>
    </w:p>
    <w:p>
      <w:pPr>
        <w:spacing w:after="0" w:line="150" w:lineRule="exact"/>
        <w:rPr>
          <w:sz w:val="20"/>
          <w:szCs w:val="20"/>
          <w:color w:val="auto"/>
        </w:rPr>
      </w:pPr>
    </w:p>
    <w:p>
      <w:pPr>
        <w:ind w:right="160" w:firstLine="318"/>
        <w:spacing w:after="0" w:line="270" w:lineRule="auto"/>
        <w:rPr>
          <w:sz w:val="20"/>
          <w:szCs w:val="20"/>
          <w:color w:val="auto"/>
        </w:rPr>
      </w:pPr>
      <w:r>
        <w:rPr>
          <w:rFonts w:ascii="Arial" w:cs="Arial" w:eastAsia="Arial" w:hAnsi="Arial"/>
          <w:sz w:val="16"/>
          <w:szCs w:val="16"/>
          <w:color w:val="auto"/>
        </w:rPr>
        <w:t xml:space="preserve">Typically, the Company has paid bonuses at levels at or below the target opportunity with the Compensation Committee treating the bonus opportunity percentage as more of a ceiling. For 2016, we paid the annual bonuses to our named executive officers described under the column entitled "Bonus"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for the reasons described below.</w:t>
      </w:r>
    </w:p>
    <w:p>
      <w:pPr>
        <w:spacing w:after="0" w:line="168"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Our Chief Executive Officer was paid an annual bonus of $590,000, representing 100% of his 2016 annual bonus opportunity. In addition to its own favorable assessment of the Chief Executive Officer's performance, the Compensation Committee took particular note of the Company's growth, owing in large part to the close of two major new strategic investments in existing markets, and the continued advancement of the Company's strategic plan including improvements in scale, focus, expertise and leadership at various levels of operations, further expansion in renewable energy investments and continued discipline in examining additional investments in both the telecommunications and energy sectors.</w:t>
      </w:r>
    </w:p>
    <w:p>
      <w:pPr>
        <w:spacing w:after="0" w:line="172" w:lineRule="exact"/>
        <w:rPr>
          <w:sz w:val="20"/>
          <w:szCs w:val="20"/>
          <w:color w:val="auto"/>
        </w:rPr>
      </w:pPr>
    </w:p>
    <w:p>
      <w:pPr>
        <w:ind w:right="260" w:firstLine="321"/>
        <w:spacing w:after="0" w:line="284" w:lineRule="auto"/>
        <w:rPr>
          <w:sz w:val="20"/>
          <w:szCs w:val="20"/>
          <w:color w:val="auto"/>
        </w:rPr>
      </w:pPr>
      <w:r>
        <w:rPr>
          <w:rFonts w:ascii="Arial" w:cs="Arial" w:eastAsia="Arial" w:hAnsi="Arial"/>
          <w:sz w:val="16"/>
          <w:szCs w:val="16"/>
          <w:color w:val="auto"/>
        </w:rPr>
        <w:t>In reviewing with the Chief Executive Officer the recommendations for annual bonuses to be paid to the other executives, the Compensation Committee considered each officer's contribution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achieving the Company's financial performance and continued growth, using the weight ranges described above as a general guide.</w:t>
      </w:r>
    </w:p>
    <w:p>
      <w:pPr>
        <w:spacing w:after="0" w:line="211" w:lineRule="exact"/>
        <w:rPr>
          <w:sz w:val="20"/>
          <w:szCs w:val="20"/>
          <w:color w:val="auto"/>
        </w:rPr>
      </w:pPr>
    </w:p>
    <w:p>
      <w:pPr>
        <w:jc w:val="both"/>
        <w:ind w:right="40" w:firstLine="321"/>
        <w:spacing w:after="0" w:line="297" w:lineRule="auto"/>
        <w:rPr>
          <w:sz w:val="20"/>
          <w:szCs w:val="20"/>
          <w:color w:val="auto"/>
        </w:rPr>
      </w:pPr>
      <w:r>
        <w:rPr>
          <w:rFonts w:ascii="Arial" w:cs="Arial" w:eastAsia="Arial" w:hAnsi="Arial"/>
          <w:sz w:val="15"/>
          <w:szCs w:val="15"/>
          <w:color w:val="auto"/>
        </w:rPr>
        <w:t>Our Chief Financial Officer was paid an annual bonus of $262,000, or 100% of his 2016 annual bonus opportunity. The Committee viewed his individual performance very favorably, particularly his work around the integration from a finance, accounting, tax and reporting perspective of three major new businesses in three separate offshore markets and his work on improving cost discipline and operating in a number of areas within the company and its operating subsidiaries.</w:t>
      </w:r>
    </w:p>
    <w:p>
      <w:pPr>
        <w:spacing w:after="0" w:line="149" w:lineRule="exact"/>
        <w:rPr>
          <w:sz w:val="20"/>
          <w:szCs w:val="20"/>
          <w:color w:val="auto"/>
        </w:rPr>
      </w:pPr>
    </w:p>
    <w:p>
      <w:pPr>
        <w:ind w:right="440" w:firstLine="318"/>
        <w:spacing w:after="0" w:line="284" w:lineRule="auto"/>
        <w:rPr>
          <w:sz w:val="20"/>
          <w:szCs w:val="20"/>
          <w:color w:val="auto"/>
        </w:rPr>
      </w:pPr>
      <w:r>
        <w:rPr>
          <w:rFonts w:ascii="Arial" w:cs="Arial" w:eastAsia="Arial" w:hAnsi="Arial"/>
          <w:sz w:val="16"/>
          <w:szCs w:val="16"/>
          <w:color w:val="auto"/>
        </w:rPr>
        <w:t>The Compensation Committee determined to pay the following annual bonuses to the other named executive officers and took particular note of the additional factors described below:</w:t>
      </w:r>
    </w:p>
    <w:p>
      <w:pPr>
        <w:spacing w:after="0" w:line="169" w:lineRule="exact"/>
        <w:rPr>
          <w:sz w:val="20"/>
          <w:szCs w:val="20"/>
          <w:color w:val="auto"/>
        </w:rPr>
      </w:pPr>
    </w:p>
    <w:p>
      <w:pPr>
        <w:ind w:left="980" w:hanging="488"/>
        <w:spacing w:after="0" w:line="296" w:lineRule="auto"/>
        <w:tabs>
          <w:tab w:leader="none" w:pos="9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Barry C. Fougere, $180,000 or approximately 96% of his 2016 annual bonus opportunity, in recognition of his accomplishments in a number of areas including strengthening our operational teams and expertise, improving operational efficiencies and supporting integration work and network expansions. On May 20, 2016, the two-year anniversary of Mr. Fougere's hiring, the Company promoted Mr. Fougere to Executive Vice President and adjusted his 2016 annual bonus opportunity to up to 75% of his base salary subsequent to that promotion from 50% of his base salary prior to that promotion. As a result of this change,</w:t>
      </w:r>
    </w:p>
    <w:p>
      <w:pPr>
        <w:spacing w:after="0" w:line="2"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6"/>
          <w:szCs w:val="16"/>
          <w:color w:val="auto"/>
        </w:rPr>
        <w:t>Mr. Fougere's weighted average bonus opportunity for 2016 was approximately 65% of his base salary;</w:t>
      </w:r>
    </w:p>
    <w:p>
      <w:pPr>
        <w:spacing w:after="0" w:line="227" w:lineRule="exact"/>
        <w:rPr>
          <w:rFonts w:ascii="Arial" w:cs="Arial" w:eastAsia="Arial" w:hAnsi="Arial"/>
          <w:sz w:val="14"/>
          <w:szCs w:val="14"/>
          <w:color w:val="auto"/>
        </w:rPr>
      </w:pPr>
    </w:p>
    <w:p>
      <w:pPr>
        <w:ind w:left="980" w:right="18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William F. Kreisher, $129,000 or 100% of his 2016 annual bonus opportunity, in recognition of his work around the sale and positioning of some of our smaller operating units as well as work on the investment in India and some smaller investments;</w:t>
      </w:r>
    </w:p>
    <w:p>
      <w:pPr>
        <w:spacing w:after="0" w:line="168" w:lineRule="exact"/>
        <w:rPr>
          <w:rFonts w:ascii="Arial" w:cs="Arial" w:eastAsia="Arial" w:hAnsi="Arial"/>
          <w:sz w:val="16"/>
          <w:szCs w:val="16"/>
          <w:color w:val="auto"/>
        </w:rPr>
      </w:pPr>
    </w:p>
    <w:p>
      <w:pPr>
        <w:ind w:left="980" w:right="100" w:hanging="488"/>
        <w:spacing w:after="0" w:line="284"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Leonard Q. Slap, $139,000 or 100% of his 2016 annual bonus opportunity, in recognition of, among other things, the legal team's work in closing three complex, larger transactions and several smaller deals in the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Equity Awards</w:t>
      </w:r>
    </w:p>
    <w:p>
      <w:pPr>
        <w:spacing w:after="0" w:line="211" w:lineRule="exact"/>
        <w:rPr>
          <w:sz w:val="20"/>
          <w:szCs w:val="20"/>
          <w:color w:val="auto"/>
        </w:rPr>
      </w:pPr>
    </w:p>
    <w:p>
      <w:pPr>
        <w:jc w:val="both"/>
        <w:ind w:right="220" w:firstLine="321"/>
        <w:spacing w:after="0" w:line="289" w:lineRule="auto"/>
        <w:rPr>
          <w:sz w:val="20"/>
          <w:szCs w:val="20"/>
          <w:color w:val="auto"/>
        </w:rPr>
      </w:pPr>
      <w:r>
        <w:rPr>
          <w:rFonts w:ascii="Arial" w:cs="Arial" w:eastAsia="Arial" w:hAnsi="Arial"/>
          <w:sz w:val="15"/>
          <w:szCs w:val="15"/>
          <w:color w:val="auto"/>
        </w:rPr>
        <w:t>Under our 2008 Plan, we may grant stock options, restricted stock and other equity awards to our directors, consultants and employees, including our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directors, grants awards to our employees under our 2008 Plan. Our Chief Executive Officer also has authority to make limited grants under the 2008 Plan to employees of the Company.</w:t>
      </w:r>
    </w:p>
    <w:p>
      <w:pPr>
        <w:spacing w:after="0" w:line="156" w:lineRule="exact"/>
        <w:rPr>
          <w:sz w:val="20"/>
          <w:szCs w:val="20"/>
          <w:color w:val="auto"/>
        </w:rPr>
      </w:pPr>
    </w:p>
    <w:p>
      <w:pPr>
        <w:ind w:right="80" w:firstLine="321"/>
        <w:spacing w:after="0" w:line="282" w:lineRule="auto"/>
        <w:rPr>
          <w:sz w:val="20"/>
          <w:szCs w:val="20"/>
          <w:color w:val="auto"/>
        </w:rPr>
      </w:pPr>
      <w:r>
        <w:rPr>
          <w:rFonts w:ascii="Arial" w:cs="Arial" w:eastAsia="Arial" w:hAnsi="Arial"/>
          <w:sz w:val="15"/>
          <w:szCs w:val="15"/>
          <w:color w:val="auto"/>
        </w:rPr>
        <w:t>In addition to annual equity awards to our officers, we have awarded significant equity compensation in connection with the hiring or promotions of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have a term of ten years. Since 2013, the majority of the equity awards granted by the Compensation Committee has been in the form of restricted stock and it has not issued option awards to our named executive officers. The Compensation Committee believes that given the Company's disciplined, long-term approach to its investing and operating strategy and its practice of providing a current return to stockholders in the form of dividends, restricted stock is a better tool for aligning, incentivizing, retaining and rewarding our executive officers at this time although it continues to consider stock option awards and other equity-linked incentives from time to time.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40" w:firstLine="321"/>
        <w:spacing w:after="0" w:line="284" w:lineRule="auto"/>
        <w:rPr>
          <w:sz w:val="20"/>
          <w:szCs w:val="20"/>
          <w:color w:val="auto"/>
        </w:rPr>
      </w:pPr>
      <w:r>
        <w:rPr>
          <w:rFonts w:ascii="Arial" w:cs="Arial" w:eastAsia="Arial" w:hAnsi="Arial"/>
          <w:sz w:val="16"/>
          <w:szCs w:val="16"/>
          <w:color w:val="auto"/>
        </w:rPr>
        <w:t>On March 8, 2017, the Compensation Committee granted the following equity compensation to the Company's named executive officers as compensation for each executive's 2016 achievements, as described in our "</w:t>
      </w:r>
      <w:r>
        <w:rPr>
          <w:rFonts w:ascii="Arial" w:cs="Arial" w:eastAsia="Arial" w:hAnsi="Arial"/>
          <w:sz w:val="16"/>
          <w:szCs w:val="16"/>
          <w:i w:val="1"/>
          <w:iCs w:val="1"/>
          <w:color w:val="auto"/>
        </w:rPr>
        <w:t>Annual Cash Bonus</w:t>
      </w:r>
      <w:r>
        <w:rPr>
          <w:rFonts w:ascii="Arial" w:cs="Arial" w:eastAsia="Arial" w:hAnsi="Arial"/>
          <w:sz w:val="16"/>
          <w:szCs w:val="16"/>
          <w:color w:val="auto"/>
        </w:rPr>
        <w:t>" disclosure above:</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Stock Awards</w:t>
            </w:r>
          </w:p>
        </w:tc>
      </w:tr>
      <w:tr>
        <w:trPr>
          <w:trHeight w:val="149"/>
        </w:trPr>
        <w:tc>
          <w:tcPr>
            <w:tcW w:w="6680" w:type="dxa"/>
            <w:vAlign w:val="bottom"/>
          </w:tcPr>
          <w:p>
            <w:pPr>
              <w:spacing w:after="0"/>
              <w:rPr>
                <w:sz w:val="12"/>
                <w:szCs w:val="12"/>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w w:val="99"/>
              </w:rPr>
              <w:t>(restricted shares)</w:t>
            </w:r>
          </w:p>
        </w:tc>
        <w:tc>
          <w:tcPr>
            <w:tcW w:w="140" w:type="dxa"/>
            <w:vAlign w:val="bottom"/>
            <w:gridSpan w:val="2"/>
          </w:tcPr>
          <w:p>
            <w:pPr>
              <w:spacing w:after="0"/>
              <w:rPr>
                <w:sz w:val="12"/>
                <w:szCs w:val="12"/>
                <w:color w:val="auto"/>
              </w:rPr>
            </w:pPr>
          </w:p>
        </w:tc>
      </w:tr>
      <w:tr>
        <w:trPr>
          <w:trHeight w:val="19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21,900</w:t>
            </w:r>
          </w:p>
        </w:tc>
        <w:tc>
          <w:tcPr>
            <w:tcW w:w="120" w:type="dxa"/>
            <w:vAlign w:val="bottom"/>
            <w:shd w:val="clear" w:color="auto" w:fill="CCEEFF"/>
          </w:tcPr>
          <w:p>
            <w:pPr>
              <w:spacing w:after="0"/>
              <w:rPr>
                <w:sz w:val="16"/>
                <w:szCs w:val="16"/>
                <w:color w:val="auto"/>
              </w:rPr>
            </w:pPr>
          </w:p>
        </w:tc>
      </w:tr>
      <w:tr>
        <w:trPr>
          <w:trHeight w:val="197"/>
        </w:trPr>
        <w:tc>
          <w:tcPr>
            <w:tcW w:w="6680" w:type="dxa"/>
            <w:vAlign w:val="bottom"/>
          </w:tcPr>
          <w:p>
            <w:pPr>
              <w:spacing w:after="0"/>
              <w:rPr>
                <w:sz w:val="20"/>
                <w:szCs w:val="20"/>
                <w:color w:val="auto"/>
              </w:rPr>
            </w:pPr>
            <w:r>
              <w:rPr>
                <w:rFonts w:ascii="Arial" w:cs="Arial" w:eastAsia="Arial" w:hAnsi="Arial"/>
                <w:sz w:val="16"/>
                <w:szCs w:val="16"/>
                <w:color w:val="auto"/>
              </w:rPr>
              <w:t>Justin D. Benincasa</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7"/>
                <w:szCs w:val="17"/>
                <w:color w:val="auto"/>
              </w:rPr>
            </w:pPr>
          </w:p>
        </w:tc>
      </w:tr>
      <w:tr>
        <w:trPr>
          <w:trHeight w:val="197"/>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5,900</w:t>
            </w:r>
          </w:p>
        </w:tc>
        <w:tc>
          <w:tcPr>
            <w:tcW w:w="120" w:type="dxa"/>
            <w:vAlign w:val="bottom"/>
            <w:shd w:val="clear" w:color="auto" w:fill="CCEEFF"/>
          </w:tcPr>
          <w:p>
            <w:pPr>
              <w:spacing w:after="0"/>
              <w:rPr>
                <w:sz w:val="17"/>
                <w:szCs w:val="17"/>
                <w:color w:val="auto"/>
              </w:rPr>
            </w:pPr>
          </w:p>
        </w:tc>
      </w:tr>
      <w:tr>
        <w:trPr>
          <w:trHeight w:val="197"/>
        </w:trPr>
        <w:tc>
          <w:tcPr>
            <w:tcW w:w="6680" w:type="dxa"/>
            <w:vAlign w:val="bottom"/>
          </w:tcPr>
          <w:p>
            <w:pPr>
              <w:spacing w:after="0"/>
              <w:rPr>
                <w:sz w:val="20"/>
                <w:szCs w:val="20"/>
                <w:color w:val="auto"/>
              </w:rPr>
            </w:pPr>
            <w:r>
              <w:rPr>
                <w:rFonts w:ascii="Arial" w:cs="Arial" w:eastAsia="Arial" w:hAnsi="Arial"/>
                <w:sz w:val="16"/>
                <w:szCs w:val="16"/>
                <w:color w:val="auto"/>
              </w:rPr>
              <w:t>William F. Kreisher</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5,300</w:t>
            </w:r>
          </w:p>
        </w:tc>
        <w:tc>
          <w:tcPr>
            <w:tcW w:w="120" w:type="dxa"/>
            <w:vAlign w:val="bottom"/>
          </w:tcPr>
          <w:p>
            <w:pPr>
              <w:spacing w:after="0"/>
              <w:rPr>
                <w:sz w:val="17"/>
                <w:szCs w:val="17"/>
                <w:color w:val="auto"/>
              </w:rPr>
            </w:pPr>
          </w:p>
        </w:tc>
      </w:tr>
      <w:tr>
        <w:trPr>
          <w:trHeight w:val="197"/>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4,750</w:t>
            </w:r>
          </w:p>
        </w:tc>
        <w:tc>
          <w:tcPr>
            <w:tcW w:w="120" w:type="dxa"/>
            <w:vAlign w:val="bottom"/>
            <w:shd w:val="clear" w:color="auto" w:fill="CCEEFF"/>
          </w:tcPr>
          <w:p>
            <w:pPr>
              <w:spacing w:after="0"/>
              <w:rPr>
                <w:sz w:val="17"/>
                <w:szCs w:val="17"/>
                <w:color w:val="auto"/>
              </w:rPr>
            </w:pPr>
          </w:p>
        </w:tc>
      </w:tr>
      <w:tr>
        <w:trPr>
          <w:trHeight w:val="190"/>
        </w:trPr>
        <w:tc>
          <w:tcPr>
            <w:tcW w:w="66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45,850</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In approving the annual cash bonus and equity incentive awards, the Compensation Committee assesses the risks associated with the adoption of these awards, including the performance measures and goals for the awards, and concluded that the stock grant awards described above would not be likely to encourage excessive risk taking, as the restricted stock awards vest ratably over a period of four years. While the Compensation Committee believes it is an important policy of the Board to seek to keep the aggregate shares underlying outstanding stock options and unvested restricted stock at a reasonable level in relation to our outstanding equity (calculated on a fully diluted basis), we believe that equity compensation will remain a critical recruitment, retention and incentive tool.</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Retirement, Benefits and Other Arrangements</w:t>
      </w:r>
    </w:p>
    <w:p>
      <w:pPr>
        <w:spacing w:after="0" w:line="215" w:lineRule="exact"/>
        <w:rPr>
          <w:sz w:val="20"/>
          <w:szCs w:val="20"/>
          <w:color w:val="auto"/>
        </w:rPr>
      </w:pPr>
    </w:p>
    <w:p>
      <w:pPr>
        <w:ind w:right="20" w:firstLine="321"/>
        <w:spacing w:after="0" w:line="261" w:lineRule="auto"/>
        <w:rPr>
          <w:sz w:val="20"/>
          <w:szCs w:val="20"/>
          <w:color w:val="auto"/>
        </w:rPr>
      </w:pPr>
      <w:r>
        <w:rPr>
          <w:rFonts w:ascii="Arial" w:cs="Arial" w:eastAsia="Arial" w:hAnsi="Arial"/>
          <w:sz w:val="16"/>
          <w:szCs w:val="16"/>
          <w:color w:val="auto"/>
        </w:rPr>
        <w:t xml:space="preserve">In 2008, we adopted a deferred compensation plan for our then existing executives. This plan is intended to provide retirement income to our executive officers. It was adopted to offset a reduction in our annual contributions to these executives' accounts under our 401(k) retirement plan that we instituted as a result of the consolidation of our 401(k) plan with similar plans of companies that we acquired. Under this plan, we make quarterly credits equal to 8% of the executive's then current base salary to an account on behalf of the executive. In addition to these quarterly credits, we may make additional credits in our sole discretion. See the description of the deferred compensation plan under the caption </w:t>
      </w:r>
      <w:r>
        <w:rPr>
          <w:rFonts w:ascii="Arial" w:cs="Arial" w:eastAsia="Arial" w:hAnsi="Arial"/>
          <w:sz w:val="16"/>
          <w:szCs w:val="16"/>
          <w:i w:val="1"/>
          <w:iCs w:val="1"/>
          <w:color w:val="auto"/>
        </w:rPr>
        <w:t>Non-Qualified Deferred Compensation Plan Transactions in 2016</w:t>
      </w:r>
      <w:r>
        <w:rPr>
          <w:rFonts w:ascii="Arial" w:cs="Arial" w:eastAsia="Arial" w:hAnsi="Arial"/>
          <w:sz w:val="16"/>
          <w:szCs w:val="16"/>
          <w:color w:val="auto"/>
        </w:rPr>
        <w:t xml:space="preserve"> for more information. Executives hired after 2008 do not participate in this plan. Except for this plan, our executive officers currently do not receive any benefits, including retirement, medical and dental, life and disability insurance, which are not also available to all of our employees.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Severance Agreements</w:t>
      </w:r>
    </w:p>
    <w:p>
      <w:pPr>
        <w:spacing w:after="0" w:line="215" w:lineRule="exact"/>
        <w:rPr>
          <w:sz w:val="20"/>
          <w:szCs w:val="20"/>
          <w:color w:val="auto"/>
        </w:rPr>
      </w:pPr>
    </w:p>
    <w:p>
      <w:pPr>
        <w:ind w:right="80" w:firstLine="321"/>
        <w:spacing w:after="0" w:line="303" w:lineRule="auto"/>
        <w:rPr>
          <w:sz w:val="20"/>
          <w:szCs w:val="20"/>
          <w:color w:val="auto"/>
        </w:rPr>
      </w:pPr>
      <w:r>
        <w:rPr>
          <w:rFonts w:ascii="Arial" w:cs="Arial" w:eastAsia="Arial" w:hAnsi="Arial"/>
          <w:sz w:val="14"/>
          <w:szCs w:val="14"/>
          <w:color w:val="auto"/>
        </w:rPr>
        <w:t>In 2016, we entered into severance agreements with each of our named executive officers.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base salary (and in the case of our Chief Executive Officer, or CEO, one and a half times his base salary) and (ii) COBRA continuation coverage at a rate equal to the rate paid by active employees during the twelve months following the termination (eighteen months in the case of the CEO). In the event of a termination by the Company without "cause" or by the executive for "good reason" either three months prior to or twelve months (eighteen months in the case of the CEO) following a change in control (as defined in the Executive Severance Agreements), such executive would be entitled to (i) severance pay in the amount of one times (and in the case of the CEO, one and a half times) his base salary, (ii) such</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executive's maximum target incentive compensation for such year (and in the case of the CEO, one a half times such target), excluding any eligible amounts of equity compensation, (iii) COBRA continuation coverage at a rate equal to the rate paid by active employees during the twelve months following the termination (eighteen months in the case of the CEO) and (iv) the immediate vesting of all restricted stock or stock options held by such executive.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"Say on Pay" Advisory Approval of Executive Compensation</w:t>
      </w:r>
    </w:p>
    <w:p>
      <w:pPr>
        <w:spacing w:after="0" w:line="215" w:lineRule="exact"/>
        <w:rPr>
          <w:sz w:val="20"/>
          <w:szCs w:val="20"/>
          <w:color w:val="auto"/>
        </w:rPr>
      </w:pPr>
    </w:p>
    <w:p>
      <w:pPr>
        <w:ind w:firstLine="312"/>
        <w:spacing w:after="0" w:line="282" w:lineRule="auto"/>
        <w:rPr>
          <w:sz w:val="20"/>
          <w:szCs w:val="20"/>
          <w:color w:val="auto"/>
        </w:rPr>
      </w:pPr>
      <w:r>
        <w:rPr>
          <w:rFonts w:ascii="Arial" w:cs="Arial" w:eastAsia="Arial" w:hAnsi="Arial"/>
          <w:sz w:val="15"/>
          <w:szCs w:val="15"/>
          <w:color w:val="auto"/>
        </w:rPr>
        <w:t>At the 2011 Annual Meeting, stockholders voted on a non-binding and advisory basis to hold an advisory vote of stockholders to approve the compensation of our named executive officers every three years. We last conducted such an advisory vote in 2014, and stockholders are again being asked, on an advisory basis, to approve the compensation of our named executive officers at the 2017 Annual Meeting. At the 2014 Annual Meeting, more than 80% of the shares present, or present by proxy, and entitled to vote at the 2014 Annual Meeting approved our named executive officer compensation. While the approval in 2014 was advisory and non-binding in nature, the Board of Directors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advisory vote.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right="240" w:firstLine="321"/>
        <w:spacing w:after="0" w:line="284"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Martin L. Budd,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T. Flynn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Liane J. Pelletier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 Summary Compensation Table</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table below summarizes the total compensation paid to, or earned by, each of our named executive officers for each of fiscal years ended December 31, 2016, 2015 and 2014.</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72"/>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1280" w:type="dxa"/>
            <w:vAlign w:val="bottom"/>
          </w:tcPr>
          <w:p>
            <w:pPr>
              <w:jc w:val="right"/>
              <w:ind w:right="332"/>
              <w:spacing w:after="0"/>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89"/>
              <w:spacing w:after="0" w:line="136" w:lineRule="exact"/>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1"/>
                <w:szCs w:val="11"/>
                <w:color w:val="auto"/>
              </w:rPr>
            </w:pPr>
          </w:p>
        </w:tc>
        <w:tc>
          <w:tcPr>
            <w:tcW w:w="640" w:type="dxa"/>
            <w:vAlign w:val="bottom"/>
          </w:tcPr>
          <w:p>
            <w:pPr>
              <w:jc w:val="right"/>
              <w:ind w:right="89"/>
              <w:spacing w:after="0" w:line="136" w:lineRule="exact"/>
              <w:rPr>
                <w:sz w:val="20"/>
                <w:szCs w:val="20"/>
                <w:color w:val="auto"/>
              </w:rPr>
            </w:pPr>
            <w:r>
              <w:rPr>
                <w:rFonts w:ascii="Arial" w:cs="Arial" w:eastAsia="Arial" w:hAnsi="Arial"/>
                <w:sz w:val="12"/>
                <w:szCs w:val="12"/>
                <w:b w:val="1"/>
                <w:bCs w:val="1"/>
                <w:color w:val="auto"/>
              </w:rPr>
              <w:t>Bonus</w:t>
            </w: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Awards(1)</w:t>
            </w:r>
          </w:p>
        </w:tc>
        <w:tc>
          <w:tcPr>
            <w:tcW w:w="14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Awards(1)</w:t>
            </w:r>
          </w:p>
        </w:tc>
        <w:tc>
          <w:tcPr>
            <w:tcW w:w="1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Compensation(2)</w:t>
            </w:r>
          </w:p>
        </w:tc>
        <w:tc>
          <w:tcPr>
            <w:tcW w:w="140" w:type="dxa"/>
            <w:vAlign w:val="bottom"/>
          </w:tcPr>
          <w:p>
            <w:pPr>
              <w:spacing w:after="0"/>
              <w:rPr>
                <w:sz w:val="11"/>
                <w:szCs w:val="11"/>
                <w:color w:val="auto"/>
              </w:rPr>
            </w:pPr>
          </w:p>
        </w:tc>
        <w:tc>
          <w:tcPr>
            <w:tcW w:w="9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Total</w:t>
            </w:r>
          </w:p>
        </w:tc>
      </w:tr>
      <w:tr>
        <w:trPr>
          <w:trHeight w:val="149"/>
        </w:trPr>
        <w:tc>
          <w:tcPr>
            <w:tcW w:w="284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b w:val="1"/>
                <w:bCs w:val="1"/>
                <w:color w:val="auto"/>
              </w:rPr>
              <w:t>Year</w:t>
            </w:r>
          </w:p>
        </w:tc>
        <w:tc>
          <w:tcPr>
            <w:tcW w:w="80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right"/>
              <w:ind w:right="252"/>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2"/>
          </w:tcPr>
          <w:p>
            <w:pPr>
              <w:jc w:val="right"/>
              <w:ind w:right="202"/>
              <w:spacing w:after="0"/>
              <w:rPr>
                <w:sz w:val="20"/>
                <w:szCs w:val="20"/>
                <w:color w:val="auto"/>
              </w:rPr>
            </w:pPr>
            <w:r>
              <w:rPr>
                <w:rFonts w:ascii="Arial" w:cs="Arial" w:eastAsia="Arial" w:hAnsi="Arial"/>
                <w:sz w:val="12"/>
                <w:szCs w:val="12"/>
                <w:b w:val="1"/>
                <w:bCs w:val="1"/>
                <w:color w:val="auto"/>
              </w:rPr>
              <w:t>($)</w:t>
            </w:r>
          </w:p>
        </w:tc>
        <w:tc>
          <w:tcPr>
            <w:tcW w:w="1420" w:type="dxa"/>
            <w:vAlign w:val="bottom"/>
            <w:gridSpan w:val="2"/>
          </w:tcPr>
          <w:p>
            <w:pPr>
              <w:jc w:val="right"/>
              <w:ind w:right="512"/>
              <w:spacing w:after="0"/>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3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1,601,109</w:t>
            </w:r>
          </w:p>
        </w:tc>
        <w:tc>
          <w:tcPr>
            <w:tcW w:w="1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156,753</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2,937,862</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28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Chief Executive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1,386,210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109,744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2,610,954</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1,461,680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124,823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2,736,503</w:t>
            </w:r>
          </w:p>
        </w:tc>
        <w:tc>
          <w:tcPr>
            <w:tcW w:w="160" w:type="dxa"/>
            <w:vAlign w:val="bottom"/>
            <w:shd w:val="clear" w:color="auto" w:fill="CCEEFF"/>
          </w:tcPr>
          <w:p>
            <w:pPr>
              <w:spacing w:after="0"/>
              <w:rPr>
                <w:sz w:val="17"/>
                <w:szCs w:val="17"/>
                <w:color w:val="auto"/>
              </w:rPr>
            </w:pPr>
          </w:p>
        </w:tc>
      </w:tr>
      <w:tr>
        <w:trPr>
          <w:trHeight w:val="386"/>
        </w:trPr>
        <w:tc>
          <w:tcPr>
            <w:tcW w:w="2840" w:type="dxa"/>
            <w:vAlign w:val="bottom"/>
            <w:gridSpan w:val="4"/>
          </w:tcPr>
          <w:p>
            <w:pPr>
              <w:spacing w:after="0"/>
              <w:rPr>
                <w:sz w:val="20"/>
                <w:szCs w:val="20"/>
                <w:color w:val="auto"/>
              </w:rPr>
            </w:pPr>
            <w:r>
              <w:rPr>
                <w:rFonts w:ascii="Arial" w:cs="Arial" w:eastAsia="Arial" w:hAnsi="Arial"/>
                <w:sz w:val="16"/>
                <w:szCs w:val="16"/>
                <w:color w:val="auto"/>
              </w:rPr>
              <w:t>Justin D. Benincasa</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351,000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262,000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584,880</w:t>
            </w:r>
          </w:p>
        </w:tc>
        <w:tc>
          <w:tcPr>
            <w:tcW w:w="1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83,890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1,281,770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2820" w:type="dxa"/>
            <w:vAlign w:val="bottom"/>
            <w:gridSpan w:val="3"/>
          </w:tcPr>
          <w:p>
            <w:pPr>
              <w:ind w:left="140"/>
              <w:spacing w:after="0"/>
              <w:rPr>
                <w:sz w:val="20"/>
                <w:szCs w:val="20"/>
                <w:color w:val="auto"/>
              </w:rPr>
            </w:pPr>
            <w:r>
              <w:rPr>
                <w:rFonts w:ascii="Arial" w:cs="Arial" w:eastAsia="Arial" w:hAnsi="Arial"/>
                <w:sz w:val="16"/>
                <w:szCs w:val="16"/>
                <w:color w:val="auto"/>
              </w:rPr>
              <w:t>Chief Financial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348,000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233,000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600,691</w:t>
            </w:r>
          </w:p>
        </w:tc>
        <w:tc>
          <w:tcPr>
            <w:tcW w:w="14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60,731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1,242,422</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340,000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242,000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631,180</w:t>
            </w:r>
          </w:p>
        </w:tc>
        <w:tc>
          <w:tcPr>
            <w:tcW w:w="14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71,321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1,284,501</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402,105</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892,535</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8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Vice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191,429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581,612</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8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Business Operations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150,684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700,233</w:t>
            </w:r>
          </w:p>
        </w:tc>
        <w:tc>
          <w:tcPr>
            <w:tcW w:w="160" w:type="dxa"/>
            <w:vAlign w:val="bottom"/>
            <w:shd w:val="clear" w:color="auto" w:fill="CCEEFF"/>
          </w:tcPr>
          <w:p>
            <w:pPr>
              <w:spacing w:after="0"/>
              <w:rPr>
                <w:sz w:val="17"/>
                <w:szCs w:val="17"/>
                <w:color w:val="auto"/>
              </w:rPr>
            </w:pPr>
          </w:p>
        </w:tc>
      </w:tr>
      <w:tr>
        <w:trPr>
          <w:trHeight w:val="386"/>
        </w:trPr>
        <w:tc>
          <w:tcPr>
            <w:tcW w:w="2840" w:type="dxa"/>
            <w:vAlign w:val="bottom"/>
            <w:gridSpan w:val="4"/>
          </w:tcPr>
          <w:p>
            <w:pPr>
              <w:spacing w:after="0"/>
              <w:rPr>
                <w:sz w:val="20"/>
                <w:szCs w:val="20"/>
                <w:color w:val="auto"/>
              </w:rPr>
            </w:pPr>
            <w:r>
              <w:rPr>
                <w:rFonts w:ascii="Arial" w:cs="Arial" w:eastAsia="Arial" w:hAnsi="Arial"/>
                <w:sz w:val="16"/>
                <w:szCs w:val="16"/>
                <w:color w:val="auto"/>
              </w:rPr>
              <w:t>William F. Kreisher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258,000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129,000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387,483</w:t>
            </w:r>
          </w:p>
        </w:tc>
        <w:tc>
          <w:tcPr>
            <w:tcW w:w="1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65,009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839,492</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2820" w:type="dxa"/>
            <w:vAlign w:val="bottom"/>
            <w:gridSpan w:val="3"/>
          </w:tcPr>
          <w:p>
            <w:pPr>
              <w:ind w:left="140"/>
              <w:spacing w:after="0"/>
              <w:rPr>
                <w:sz w:val="20"/>
                <w:szCs w:val="20"/>
                <w:color w:val="auto"/>
              </w:rPr>
            </w:pPr>
            <w:r>
              <w:rPr>
                <w:rFonts w:ascii="Arial" w:cs="Arial" w:eastAsia="Arial" w:hAnsi="Arial"/>
                <w:sz w:val="16"/>
                <w:szCs w:val="16"/>
                <w:color w:val="auto"/>
              </w:rPr>
              <w:t>Senior Vice President,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255,000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389,459</w:t>
            </w:r>
          </w:p>
        </w:tc>
        <w:tc>
          <w:tcPr>
            <w:tcW w:w="14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46,361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810,820</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820" w:type="dxa"/>
            <w:vAlign w:val="bottom"/>
            <w:gridSpan w:val="3"/>
          </w:tcPr>
          <w:p>
            <w:pPr>
              <w:ind w:left="320"/>
              <w:spacing w:after="0"/>
              <w:rPr>
                <w:sz w:val="20"/>
                <w:szCs w:val="20"/>
                <w:color w:val="auto"/>
              </w:rPr>
            </w:pPr>
            <w:r>
              <w:rPr>
                <w:rFonts w:ascii="Arial" w:cs="Arial" w:eastAsia="Arial" w:hAnsi="Arial"/>
                <w:sz w:val="16"/>
                <w:szCs w:val="16"/>
                <w:color w:val="auto"/>
              </w:rPr>
              <w:t>Corporate Development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248,000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124,000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398,640</w:t>
            </w:r>
          </w:p>
        </w:tc>
        <w:tc>
          <w:tcPr>
            <w:tcW w:w="14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54,705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825,345</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347,273</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792,290</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8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Senior Vice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349,853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778,408</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82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and General Counsel</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332,200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732,870</w:t>
            </w:r>
          </w:p>
        </w:tc>
        <w:tc>
          <w:tcPr>
            <w:tcW w:w="160" w:type="dxa"/>
            <w:vAlign w:val="bottom"/>
            <w:shd w:val="clear" w:color="auto" w:fill="CCEEFF"/>
          </w:tcPr>
          <w:p>
            <w:pPr>
              <w:spacing w:after="0"/>
              <w:rPr>
                <w:sz w:val="17"/>
                <w:szCs w:val="17"/>
                <w:color w:val="auto"/>
              </w:rPr>
            </w:pPr>
          </w:p>
        </w:tc>
      </w:tr>
      <w:tr>
        <w:trPr>
          <w:trHeight w:val="99"/>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right="300" w:hanging="498"/>
        <w:spacing w:after="0" w:line="289" w:lineRule="auto"/>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amounts in this column reflect the grant date fair value presented in accordance with FASB ASC Topic 718, of awards granted pursuant to our equity incentive plans. Stock and option awards are valued at their grant date fair value. Does not include grants made on March 8, 2017 for 2016 achievements. A discussion of the assumptions used in determining grant date fair value may be found in Note 10 to our consolidated financial statements included in our Annual Report on Form 10-K for the year ended December 31, 2016.</w:t>
      </w:r>
    </w:p>
    <w:p>
      <w:pPr>
        <w:spacing w:after="0" w:line="180" w:lineRule="exact"/>
        <w:rPr>
          <w:rFonts w:ascii="Arial" w:cs="Arial" w:eastAsia="Arial" w:hAnsi="Arial"/>
          <w:sz w:val="15"/>
          <w:szCs w:val="15"/>
          <w:color w:val="auto"/>
        </w:rPr>
      </w:pPr>
    </w:p>
    <w:p>
      <w:pPr>
        <w:jc w:val="both"/>
        <w:ind w:left="1640" w:right="80" w:hanging="498"/>
        <w:spacing w:after="0" w:line="270"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in this column reflect matching contributions made by us to each of the named executive officers pursuant to the ATN International, Inc. 401(k) Plan, contributions made by us to a non-qualified deferred compensation plan for Messrs. Prior, Benincasa and Kreisher, and dividends earned on unvested restricted stock awards.</w:t>
      </w:r>
    </w:p>
    <w:p>
      <w:pPr>
        <w:spacing w:after="0" w:line="180" w:lineRule="exact"/>
        <w:rPr>
          <w:rFonts w:ascii="Arial" w:cs="Arial" w:eastAsia="Arial" w:hAnsi="Arial"/>
          <w:sz w:val="16"/>
          <w:szCs w:val="16"/>
          <w:color w:val="auto"/>
        </w:rPr>
      </w:pPr>
    </w:p>
    <w:p>
      <w:pPr>
        <w:ind w:left="1640" w:right="20" w:hanging="498"/>
        <w:spacing w:after="0" w:line="297" w:lineRule="auto"/>
        <w:tabs>
          <w:tab w:leader="none" w:pos="1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Fougere joined us in May 2014. His annual salary and performance-based cash bonus included in the table above for the 2014 fiscal year represent amounts actually paid based on partial year service and have not been annualized. Mr. Fougere's cash bonus awards, for 2014 fiscal year, consist of a $20,000 signing bonus upon joining the Company and an award of $75,000 for his performance in the 2014 year.</w:t>
      </w:r>
    </w:p>
    <w:p>
      <w:pPr>
        <w:spacing w:after="0" w:line="149" w:lineRule="exact"/>
        <w:rPr>
          <w:sz w:val="20"/>
          <w:szCs w:val="20"/>
          <w:color w:val="auto"/>
        </w:rPr>
      </w:pPr>
    </w:p>
    <w:p>
      <w:pPr>
        <w:ind w:left="1640" w:right="300"/>
        <w:spacing w:after="0" w:line="284" w:lineRule="auto"/>
        <w:rPr>
          <w:sz w:val="20"/>
          <w:szCs w:val="20"/>
          <w:color w:val="auto"/>
        </w:rPr>
      </w:pPr>
      <w:r>
        <w:rPr>
          <w:rFonts w:ascii="Arial" w:cs="Arial" w:eastAsia="Arial" w:hAnsi="Arial"/>
          <w:sz w:val="16"/>
          <w:szCs w:val="16"/>
          <w:color w:val="auto"/>
        </w:rPr>
        <w:t>On May 20, 2016, the two-year anniversary of Mr. Fougere's hiring, the Company promoted Mr. Fougere to Executive Vice President and adjusted Mr. Fougere's base salary from $261,000 per year to $300,000 per year.</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in 2016</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table below sets forth additional information regarding stock and option awards granted to our named executive officers during the fiscal year ended December 31, 2016.</w:t>
      </w:r>
    </w:p>
    <w:p>
      <w:pPr>
        <w:sectPr>
          <w:pgSz w:w="11900" w:h="16838" w:orient="portrait"/>
          <w:cols w:equalWidth="0" w:num="1">
            <w:col w:w="11060"/>
          </w:cols>
          <w:pgMar w:left="24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2"/>
          <w:szCs w:val="12"/>
          <w:b w:val="1"/>
          <w:bCs w:val="1"/>
          <w:u w:val="single" w:color="auto"/>
          <w:color w:val="auto"/>
        </w:rPr>
        <w:t>Name</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Michael T. Prior</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Chief Executive Officer</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Justin D. Benincasa</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Chief Financial Officer</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Barry C. Fougere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Executive Vice President,</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Business Operations</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William F. Kreisher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Senior Vice President,</w:t>
      </w:r>
    </w:p>
    <w:p>
      <w:pPr>
        <w:spacing w:after="0" w:line="13"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Corporate Development</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Leonard Q. Slap</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Senior Vice President,</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71755</wp:posOffset>
            </wp:positionV>
            <wp:extent cx="10337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3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Stock Awards:</w:t>
            </w:r>
          </w:p>
        </w:tc>
        <w:tc>
          <w:tcPr>
            <w:tcW w:w="16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Option Awards:</w:t>
            </w:r>
          </w:p>
        </w:tc>
        <w:tc>
          <w:tcPr>
            <w:tcW w:w="160" w:type="dxa"/>
            <w:vAlign w:val="bottom"/>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or Base</w:t>
            </w: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Number of</w:t>
            </w:r>
          </w:p>
        </w:tc>
        <w:tc>
          <w:tcPr>
            <w:tcW w:w="160" w:type="dxa"/>
            <w:vAlign w:val="bottom"/>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Price of</w:t>
            </w: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Shares of</w:t>
            </w:r>
          </w:p>
        </w:tc>
        <w:tc>
          <w:tcPr>
            <w:tcW w:w="16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60" w:type="dxa"/>
            <w:vAlign w:val="bottom"/>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8"/>
              </w:rPr>
              <w:t>of Stock</w:t>
            </w:r>
          </w:p>
        </w:tc>
        <w:tc>
          <w:tcPr>
            <w:tcW w:w="0" w:type="dxa"/>
            <w:vAlign w:val="bottom"/>
          </w:tcPr>
          <w:p>
            <w:pPr>
              <w:spacing w:after="0"/>
              <w:rPr>
                <w:sz w:val="1"/>
                <w:szCs w:val="1"/>
                <w:color w:val="auto"/>
              </w:rPr>
            </w:pPr>
          </w:p>
        </w:tc>
      </w:tr>
      <w:tr>
        <w:trPr>
          <w:trHeight w:val="136"/>
        </w:trPr>
        <w:tc>
          <w:tcPr>
            <w:tcW w:w="1760" w:type="dxa"/>
            <w:vAlign w:val="bottom"/>
          </w:tcPr>
          <w:p>
            <w:pPr>
              <w:spacing w:after="0"/>
              <w:rPr>
                <w:sz w:val="11"/>
                <w:szCs w:val="11"/>
                <w:color w:val="auto"/>
              </w:rPr>
            </w:pPr>
          </w:p>
        </w:tc>
        <w:tc>
          <w:tcPr>
            <w:tcW w:w="700" w:type="dxa"/>
            <w:vAlign w:val="bottom"/>
          </w:tcPr>
          <w:p>
            <w:pPr>
              <w:jc w:val="right"/>
              <w:ind w:right="125"/>
              <w:spacing w:after="0" w:line="136" w:lineRule="exact"/>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 or</w:t>
            </w:r>
          </w:p>
        </w:tc>
        <w:tc>
          <w:tcPr>
            <w:tcW w:w="16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5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1"/>
                <w:szCs w:val="11"/>
                <w:color w:val="auto"/>
              </w:rPr>
            </w:pPr>
          </w:p>
        </w:tc>
        <w:tc>
          <w:tcPr>
            <w:tcW w:w="10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4"/>
              </w:rPr>
              <w:t>and Option</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140"/>
              <w:spacing w:after="0"/>
              <w:rPr>
                <w:sz w:val="20"/>
                <w:szCs w:val="20"/>
                <w:color w:val="auto"/>
              </w:rPr>
            </w:pPr>
            <w:r>
              <w:rPr>
                <w:rFonts w:ascii="Arial" w:cs="Arial" w:eastAsia="Arial" w:hAnsi="Arial"/>
                <w:sz w:val="16"/>
                <w:szCs w:val="16"/>
                <w:color w:val="auto"/>
                <w:w w:val="99"/>
              </w:rPr>
              <w:t>Restricted Stock Grant</w:t>
            </w:r>
          </w:p>
        </w:tc>
        <w:tc>
          <w:tcPr>
            <w:tcW w:w="700" w:type="dxa"/>
            <w:vAlign w:val="bottom"/>
          </w:tcPr>
          <w:p>
            <w:pPr>
              <w:jc w:val="right"/>
              <w:ind w:right="165"/>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5"/>
              </w:rPr>
              <w:t>Units (#)</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4"/>
              </w:rPr>
              <w:t>Options (#)</w:t>
            </w:r>
          </w:p>
        </w:tc>
        <w:tc>
          <w:tcPr>
            <w:tcW w:w="1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5"/>
              </w:rPr>
              <w:t>($/Sh)</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Awards ($)(1)</w:t>
            </w:r>
          </w:p>
        </w:tc>
        <w:tc>
          <w:tcPr>
            <w:tcW w:w="0" w:type="dxa"/>
            <w:vAlign w:val="bottom"/>
          </w:tcPr>
          <w:p>
            <w:pPr>
              <w:spacing w:after="0"/>
              <w:rPr>
                <w:sz w:val="1"/>
                <w:szCs w:val="1"/>
                <w:color w:val="auto"/>
              </w:rPr>
            </w:pPr>
          </w:p>
        </w:tc>
      </w:tr>
      <w:tr>
        <w:trPr>
          <w:trHeight w:val="197"/>
        </w:trPr>
        <w:tc>
          <w:tcPr>
            <w:tcW w:w="1760" w:type="dxa"/>
            <w:vAlign w:val="bottom"/>
            <w:vMerge w:val="continue"/>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3/9/16</w:t>
            </w: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21,900</w:t>
            </w:r>
          </w:p>
        </w:tc>
        <w:tc>
          <w:tcPr>
            <w:tcW w:w="160" w:type="dxa"/>
            <w:vAlign w:val="bottom"/>
          </w:tcPr>
          <w:p>
            <w:pPr>
              <w:spacing w:after="0"/>
              <w:rPr>
                <w:sz w:val="17"/>
                <w:szCs w:val="17"/>
                <w:color w:val="auto"/>
              </w:rPr>
            </w:pPr>
          </w:p>
        </w:tc>
        <w:tc>
          <w:tcPr>
            <w:tcW w:w="960" w:type="dxa"/>
            <w:vAlign w:val="bottom"/>
            <w:tcBorders>
              <w:top w:val="single" w:sz="8" w:color="auto"/>
            </w:tcBorders>
          </w:tcPr>
          <w:p>
            <w:pPr>
              <w:ind w:left="8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56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1,601,109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1760" w:type="dxa"/>
            <w:vAlign w:val="bottom"/>
          </w:tcPr>
          <w:p>
            <w:pPr>
              <w:ind w:left="140"/>
              <w:spacing w:after="0"/>
              <w:rPr>
                <w:sz w:val="20"/>
                <w:szCs w:val="20"/>
                <w:color w:val="auto"/>
              </w:rPr>
            </w:pPr>
            <w:r>
              <w:rPr>
                <w:rFonts w:ascii="Arial" w:cs="Arial" w:eastAsia="Arial" w:hAnsi="Arial"/>
                <w:sz w:val="16"/>
                <w:szCs w:val="16"/>
                <w:color w:val="auto"/>
                <w:w w:val="99"/>
              </w:rPr>
              <w:t>Restricted Stock Grant</w:t>
            </w:r>
          </w:p>
        </w:tc>
        <w:tc>
          <w:tcPr>
            <w:tcW w:w="700" w:type="dxa"/>
            <w:vAlign w:val="bottom"/>
          </w:tcPr>
          <w:p>
            <w:pPr>
              <w:jc w:val="right"/>
              <w:spacing w:after="0"/>
              <w:rPr>
                <w:sz w:val="20"/>
                <w:szCs w:val="20"/>
                <w:color w:val="auto"/>
              </w:rPr>
            </w:pPr>
            <w:r>
              <w:rPr>
                <w:rFonts w:ascii="Arial" w:cs="Arial" w:eastAsia="Arial" w:hAnsi="Arial"/>
                <w:sz w:val="16"/>
                <w:szCs w:val="16"/>
                <w:color w:val="auto"/>
              </w:rPr>
              <w:t>3/9/16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8,000</w:t>
            </w:r>
          </w:p>
        </w:tc>
        <w:tc>
          <w:tcPr>
            <w:tcW w:w="16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584,880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760" w:type="dxa"/>
            <w:vAlign w:val="bottom"/>
          </w:tcPr>
          <w:p>
            <w:pPr>
              <w:ind w:left="140"/>
              <w:spacing w:after="0"/>
              <w:rPr>
                <w:sz w:val="20"/>
                <w:szCs w:val="20"/>
                <w:color w:val="auto"/>
              </w:rPr>
            </w:pPr>
            <w:r>
              <w:rPr>
                <w:rFonts w:ascii="Arial" w:cs="Arial" w:eastAsia="Arial" w:hAnsi="Arial"/>
                <w:sz w:val="16"/>
                <w:szCs w:val="16"/>
                <w:color w:val="auto"/>
                <w:w w:val="99"/>
              </w:rPr>
              <w:t>Restricted Stock Grant</w:t>
            </w:r>
          </w:p>
        </w:tc>
        <w:tc>
          <w:tcPr>
            <w:tcW w:w="700" w:type="dxa"/>
            <w:vAlign w:val="bottom"/>
          </w:tcPr>
          <w:p>
            <w:pPr>
              <w:jc w:val="right"/>
              <w:spacing w:after="0"/>
              <w:rPr>
                <w:sz w:val="20"/>
                <w:szCs w:val="20"/>
                <w:color w:val="auto"/>
              </w:rPr>
            </w:pPr>
            <w:r>
              <w:rPr>
                <w:rFonts w:ascii="Arial" w:cs="Arial" w:eastAsia="Arial" w:hAnsi="Arial"/>
                <w:sz w:val="16"/>
                <w:szCs w:val="16"/>
                <w:color w:val="auto"/>
              </w:rPr>
              <w:t>3/9/16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5,500</w:t>
            </w:r>
          </w:p>
        </w:tc>
        <w:tc>
          <w:tcPr>
            <w:tcW w:w="16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402,105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760" w:type="dxa"/>
            <w:vAlign w:val="bottom"/>
          </w:tcPr>
          <w:p>
            <w:pPr>
              <w:ind w:left="140"/>
              <w:spacing w:after="0"/>
              <w:rPr>
                <w:sz w:val="20"/>
                <w:szCs w:val="20"/>
                <w:color w:val="auto"/>
              </w:rPr>
            </w:pPr>
            <w:r>
              <w:rPr>
                <w:rFonts w:ascii="Arial" w:cs="Arial" w:eastAsia="Arial" w:hAnsi="Arial"/>
                <w:sz w:val="16"/>
                <w:szCs w:val="16"/>
                <w:color w:val="auto"/>
                <w:w w:val="99"/>
              </w:rPr>
              <w:t>Restricted Stock Grant</w:t>
            </w:r>
          </w:p>
        </w:tc>
        <w:tc>
          <w:tcPr>
            <w:tcW w:w="700" w:type="dxa"/>
            <w:vAlign w:val="bottom"/>
          </w:tcPr>
          <w:p>
            <w:pPr>
              <w:jc w:val="right"/>
              <w:spacing w:after="0"/>
              <w:rPr>
                <w:sz w:val="20"/>
                <w:szCs w:val="20"/>
                <w:color w:val="auto"/>
              </w:rPr>
            </w:pPr>
            <w:r>
              <w:rPr>
                <w:rFonts w:ascii="Arial" w:cs="Arial" w:eastAsia="Arial" w:hAnsi="Arial"/>
                <w:sz w:val="16"/>
                <w:szCs w:val="16"/>
                <w:color w:val="auto"/>
              </w:rPr>
              <w:t>3/9/16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5,300</w:t>
            </w:r>
          </w:p>
        </w:tc>
        <w:tc>
          <w:tcPr>
            <w:tcW w:w="16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387,483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760" w:type="dxa"/>
            <w:vAlign w:val="bottom"/>
          </w:tcPr>
          <w:p>
            <w:pPr>
              <w:ind w:left="140"/>
              <w:spacing w:after="0"/>
              <w:rPr>
                <w:sz w:val="20"/>
                <w:szCs w:val="20"/>
                <w:color w:val="auto"/>
              </w:rPr>
            </w:pPr>
            <w:r>
              <w:rPr>
                <w:rFonts w:ascii="Arial" w:cs="Arial" w:eastAsia="Arial" w:hAnsi="Arial"/>
                <w:sz w:val="16"/>
                <w:szCs w:val="16"/>
                <w:color w:val="auto"/>
                <w:w w:val="99"/>
              </w:rPr>
              <w:t>Restricted Stock Grant</w:t>
            </w:r>
          </w:p>
        </w:tc>
        <w:tc>
          <w:tcPr>
            <w:tcW w:w="700" w:type="dxa"/>
            <w:vAlign w:val="bottom"/>
          </w:tcPr>
          <w:p>
            <w:pPr>
              <w:jc w:val="right"/>
              <w:spacing w:after="0"/>
              <w:rPr>
                <w:sz w:val="20"/>
                <w:szCs w:val="20"/>
                <w:color w:val="auto"/>
              </w:rPr>
            </w:pPr>
            <w:r>
              <w:rPr>
                <w:rFonts w:ascii="Arial" w:cs="Arial" w:eastAsia="Arial" w:hAnsi="Arial"/>
                <w:sz w:val="16"/>
                <w:szCs w:val="16"/>
                <w:color w:val="auto"/>
              </w:rPr>
              <w:t>3/9/16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4,750</w:t>
            </w:r>
          </w:p>
        </w:tc>
        <w:tc>
          <w:tcPr>
            <w:tcW w:w="16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347,273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-2121535</wp:posOffset>
            </wp:positionV>
            <wp:extent cx="5872480" cy="250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2480" cy="25082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-1503045</wp:posOffset>
            </wp:positionV>
            <wp:extent cx="5872480" cy="501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2480" cy="50101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-500380</wp:posOffset>
            </wp:positionV>
            <wp:extent cx="5872480" cy="501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2480" cy="501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180"/>
          </w:cols>
          <w:pgMar w:left="240" w:top="131" w:right="599" w:bottom="1440" w:gutter="0" w:footer="0" w:header="0"/>
          <w:type w:val="continuous"/>
        </w:sectPr>
      </w:pPr>
    </w:p>
    <w:p>
      <w:pPr>
        <w:spacing w:after="0" w:line="112" w:lineRule="exact"/>
        <w:rPr>
          <w:sz w:val="20"/>
          <w:szCs w:val="20"/>
          <w:color w:val="auto"/>
        </w:rPr>
      </w:pPr>
    </w:p>
    <w:p>
      <w:pPr>
        <w:ind w:left="5640" w:right="140" w:hanging="4498"/>
        <w:spacing w:after="0" w:line="541" w:lineRule="auto"/>
        <w:tabs>
          <w:tab w:leader="none" w:pos="16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amounts in this column reflect the grant date fair value of awards determined as set forth in footnote 1 to our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 2016</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sets forth additional information regarding the equity awards granted to our named executive officers that were outstanding as of December 31, 2016.</w:t>
      </w: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Stock Awards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Option Awards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0"/>
              </w:rPr>
              <w:t>Restricted Shares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96"/>
              </w:rPr>
              <w:t>That Have Not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3"/>
          </w:tcPr>
          <w:p>
            <w:pPr>
              <w:jc w:val="center"/>
              <w:ind w:right="21"/>
              <w:spacing w:after="0" w:line="104" w:lineRule="exact"/>
              <w:rPr>
                <w:sz w:val="20"/>
                <w:szCs w:val="20"/>
                <w:color w:val="auto"/>
              </w:rPr>
            </w:pPr>
            <w:r>
              <w:rPr>
                <w:rFonts w:ascii="Arial" w:cs="Arial" w:eastAsia="Arial" w:hAnsi="Arial"/>
                <w:sz w:val="11"/>
                <w:szCs w:val="11"/>
                <w:b w:val="1"/>
                <w:bCs w:val="1"/>
                <w:color w:val="auto"/>
              </w:rPr>
              <w:t>Number of Securities</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tcPr>
          <w:p>
            <w:pPr>
              <w:jc w:val="center"/>
              <w:ind w:right="21"/>
              <w:spacing w:after="0" w:line="116" w:lineRule="exact"/>
              <w:rPr>
                <w:sz w:val="20"/>
                <w:szCs w:val="20"/>
                <w:color w:val="auto"/>
              </w:rPr>
            </w:pPr>
            <w:r>
              <w:rPr>
                <w:rFonts w:ascii="Arial" w:cs="Arial" w:eastAsia="Arial" w:hAnsi="Arial"/>
                <w:sz w:val="12"/>
                <w:szCs w:val="12"/>
                <w:b w:val="1"/>
                <w:bCs w:val="1"/>
                <w:color w:val="auto"/>
                <w:w w:val="93"/>
              </w:rPr>
              <w:t>Underlying Unexercised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Borders>
              <w:bottom w:val="single" w:sz="8" w:color="auto"/>
            </w:tcBorders>
            <w:gridSpan w:val="3"/>
          </w:tcPr>
          <w:p>
            <w:pPr>
              <w:jc w:val="center"/>
              <w:spacing w:after="0" w:line="104" w:lineRule="exact"/>
              <w:rPr>
                <w:sz w:val="20"/>
                <w:szCs w:val="20"/>
                <w:color w:val="auto"/>
              </w:rPr>
            </w:pPr>
            <w:r>
              <w:rPr>
                <w:rFonts w:ascii="Arial" w:cs="Arial" w:eastAsia="Arial" w:hAnsi="Arial"/>
                <w:sz w:val="11"/>
                <w:szCs w:val="11"/>
                <w:b w:val="1"/>
                <w:bCs w:val="1"/>
                <w:color w:val="auto"/>
                <w:w w:val="96"/>
              </w:rPr>
              <w:t>Vested(1)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3"/>
              <w:spacing w:after="0"/>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21"/>
              <w:spacing w:after="0"/>
              <w:rPr>
                <w:sz w:val="20"/>
                <w:szCs w:val="20"/>
                <w:color w:val="auto"/>
              </w:rPr>
            </w:pPr>
            <w:r>
              <w:rPr>
                <w:rFonts w:ascii="Arial" w:cs="Arial" w:eastAsia="Arial" w:hAnsi="Arial"/>
                <w:sz w:val="12"/>
                <w:szCs w:val="12"/>
                <w:b w:val="1"/>
                <w:bCs w:val="1"/>
                <w:color w:val="auto"/>
                <w:w w:val="93"/>
              </w:rPr>
              <w:t>Options(1)</w:t>
            </w:r>
          </w:p>
        </w:tc>
        <w:tc>
          <w:tcPr>
            <w:tcW w:w="14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b w:val="1"/>
                <w:bCs w:val="1"/>
                <w:color w:val="auto"/>
              </w:rPr>
              <w:t>Exercise</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Expiration</w:t>
            </w:r>
          </w:p>
        </w:tc>
        <w:tc>
          <w:tcPr>
            <w:tcW w:w="720" w:type="dxa"/>
            <w:vAlign w:val="bottom"/>
          </w:tcPr>
          <w:p>
            <w:pPr>
              <w:jc w:val="right"/>
              <w:ind w:right="3"/>
              <w:spacing w:after="0"/>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28"/>
        </w:trPr>
        <w:tc>
          <w:tcPr>
            <w:tcW w:w="30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03"/>
              <w:spacing w:after="0" w:line="128"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760" w:type="dxa"/>
            <w:vAlign w:val="bottom"/>
            <w:gridSpan w:val="2"/>
          </w:tcPr>
          <w:p>
            <w:pPr>
              <w:jc w:val="right"/>
              <w:ind w:right="2"/>
              <w:spacing w:after="0" w:line="128" w:lineRule="exact"/>
              <w:rPr>
                <w:sz w:val="20"/>
                <w:szCs w:val="20"/>
                <w:color w:val="auto"/>
              </w:rPr>
            </w:pPr>
            <w:r>
              <w:rPr>
                <w:rFonts w:ascii="Arial" w:cs="Arial" w:eastAsia="Arial" w:hAnsi="Arial"/>
                <w:sz w:val="12"/>
                <w:szCs w:val="12"/>
                <w:b w:val="1"/>
                <w:bCs w:val="1"/>
                <w:color w:val="auto"/>
                <w:w w:val="98"/>
              </w:rPr>
              <w:t>Exercisable</w:t>
            </w:r>
          </w:p>
        </w:tc>
        <w:tc>
          <w:tcPr>
            <w:tcW w:w="140" w:type="dxa"/>
            <w:vAlign w:val="bottom"/>
          </w:tcPr>
          <w:p>
            <w:pPr>
              <w:spacing w:after="0"/>
              <w:rPr>
                <w:sz w:val="11"/>
                <w:szCs w:val="11"/>
                <w:color w:val="auto"/>
              </w:rPr>
            </w:pPr>
          </w:p>
        </w:tc>
        <w:tc>
          <w:tcPr>
            <w:tcW w:w="9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Unexercisable</w:t>
            </w:r>
          </w:p>
        </w:tc>
        <w:tc>
          <w:tcPr>
            <w:tcW w:w="140" w:type="dxa"/>
            <w:vAlign w:val="bottom"/>
          </w:tcPr>
          <w:p>
            <w:pPr>
              <w:spacing w:after="0"/>
              <w:rPr>
                <w:sz w:val="11"/>
                <w:szCs w:val="11"/>
                <w:color w:val="auto"/>
              </w:rPr>
            </w:pPr>
          </w:p>
        </w:tc>
        <w:tc>
          <w:tcPr>
            <w:tcW w:w="600" w:type="dxa"/>
            <w:vAlign w:val="bottom"/>
          </w:tcPr>
          <w:p>
            <w:pPr>
              <w:jc w:val="right"/>
              <w:ind w:right="2"/>
              <w:spacing w:after="0" w:line="128" w:lineRule="exact"/>
              <w:rPr>
                <w:sz w:val="20"/>
                <w:szCs w:val="20"/>
                <w:color w:val="auto"/>
              </w:rPr>
            </w:pPr>
            <w:r>
              <w:rPr>
                <w:rFonts w:ascii="Arial" w:cs="Arial" w:eastAsia="Arial" w:hAnsi="Arial"/>
                <w:sz w:val="12"/>
                <w:szCs w:val="12"/>
                <w:b w:val="1"/>
                <w:bCs w:val="1"/>
                <w:color w:val="auto"/>
              </w:rPr>
              <w:t>Price ($)</w:t>
            </w: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2"/>
              </w:rPr>
              <w:t>Date</w:t>
            </w:r>
          </w:p>
        </w:tc>
        <w:tc>
          <w:tcPr>
            <w:tcW w:w="720" w:type="dxa"/>
            <w:vAlign w:val="bottom"/>
          </w:tcPr>
          <w:p>
            <w:pPr>
              <w:jc w:val="right"/>
              <w:ind w:right="103"/>
              <w:spacing w:after="0" w:line="128" w:lineRule="exact"/>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28" w:lineRule="exact"/>
              <w:rPr>
                <w:sz w:val="20"/>
                <w:szCs w:val="20"/>
                <w:color w:val="auto"/>
              </w:rPr>
            </w:pPr>
            <w:r>
              <w:rPr>
                <w:rFonts w:ascii="Arial" w:cs="Arial" w:eastAsia="Arial" w:hAnsi="Arial"/>
                <w:sz w:val="12"/>
                <w:szCs w:val="12"/>
                <w:b w:val="1"/>
                <w:bCs w:val="1"/>
                <w:color w:val="auto"/>
              </w:rPr>
              <w:t>Value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1,754,847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President and Chief</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1,262,048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Officer</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3/20/14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881,430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3/27/13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500,813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3/22/12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3/22/22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3/15/11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3/15/21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2/11/10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2/11/20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6"/>
        </w:trPr>
        <w:tc>
          <w:tcPr>
            <w:tcW w:w="3020" w:type="dxa"/>
            <w:vAlign w:val="bottom"/>
            <w:gridSpan w:val="4"/>
          </w:tcPr>
          <w:p>
            <w:pPr>
              <w:spacing w:after="0"/>
              <w:rPr>
                <w:sz w:val="20"/>
                <w:szCs w:val="20"/>
                <w:color w:val="auto"/>
              </w:rPr>
            </w:pPr>
            <w:r>
              <w:rPr>
                <w:rFonts w:ascii="Arial" w:cs="Arial" w:eastAsia="Arial" w:hAnsi="Arial"/>
                <w:sz w:val="16"/>
                <w:szCs w:val="16"/>
                <w:color w:val="auto"/>
              </w:rPr>
              <w:t>Justin D. Benincasa</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3/9/16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641,040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tcPr>
          <w:p>
            <w:pPr>
              <w:ind w:left="140"/>
              <w:spacing w:after="0"/>
              <w:rPr>
                <w:sz w:val="20"/>
                <w:szCs w:val="20"/>
                <w:color w:val="auto"/>
              </w:rPr>
            </w:pPr>
            <w:r>
              <w:rPr>
                <w:rFonts w:ascii="Arial" w:cs="Arial" w:eastAsia="Arial" w:hAnsi="Arial"/>
                <w:sz w:val="16"/>
                <w:szCs w:val="16"/>
                <w:color w:val="auto"/>
              </w:rPr>
              <w:t>Chief Financial Officer</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6,825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546,887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4,750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380,618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3/27/13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240,390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3/22/12</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37.36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3/22/22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3/15/11</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16,967</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32.96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3/15/21</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2/11/10</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15,854</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46.85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2/11/20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12/5/08</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4,179</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23.78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12/5/18</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440,715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ExecutiveVice President,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174,283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Business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325,488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020" w:type="dxa"/>
            <w:vAlign w:val="bottom"/>
            <w:gridSpan w:val="4"/>
          </w:tcPr>
          <w:p>
            <w:pPr>
              <w:spacing w:after="0"/>
              <w:rPr>
                <w:sz w:val="20"/>
                <w:szCs w:val="20"/>
                <w:color w:val="auto"/>
              </w:rPr>
            </w:pPr>
            <w:r>
              <w:rPr>
                <w:rFonts w:ascii="Arial" w:cs="Arial" w:eastAsia="Arial" w:hAnsi="Arial"/>
                <w:sz w:val="16"/>
                <w:szCs w:val="16"/>
                <w:color w:val="auto"/>
              </w:rPr>
              <w:t>William F. Kreisher</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3/9/16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424,689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tcPr>
          <w:p>
            <w:pPr>
              <w:ind w:left="140"/>
              <w:spacing w:after="0"/>
              <w:rPr>
                <w:sz w:val="20"/>
                <w:szCs w:val="20"/>
                <w:color w:val="auto"/>
              </w:rPr>
            </w:pPr>
            <w:r>
              <w:rPr>
                <w:rFonts w:ascii="Arial" w:cs="Arial" w:eastAsia="Arial" w:hAnsi="Arial"/>
                <w:sz w:val="16"/>
                <w:szCs w:val="16"/>
                <w:color w:val="auto"/>
              </w:rPr>
              <w:t>Senior Vice President,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354,575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tcPr>
          <w:p>
            <w:pPr>
              <w:ind w:left="140"/>
              <w:spacing w:after="0"/>
              <w:rPr>
                <w:sz w:val="20"/>
                <w:szCs w:val="20"/>
                <w:color w:val="auto"/>
              </w:rPr>
            </w:pPr>
            <w:r>
              <w:rPr>
                <w:rFonts w:ascii="Arial" w:cs="Arial" w:eastAsia="Arial" w:hAnsi="Arial"/>
                <w:sz w:val="16"/>
                <w:szCs w:val="16"/>
                <w:color w:val="auto"/>
              </w:rPr>
              <w:t>Corporate Development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240,390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3/27/13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280,455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3/22/12</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37.36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3/22/22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3/15/11</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8,000</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32.96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3/15/21</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2/11/10</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46.85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2/11/20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9/17/07</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2,872</w:t>
            </w:r>
          </w:p>
        </w:tc>
        <w:tc>
          <w:tcPr>
            <w:tcW w:w="140" w:type="dxa"/>
            <w:vAlign w:val="bottom"/>
          </w:tcPr>
          <w:p>
            <w:pPr>
              <w:spacing w:after="0"/>
              <w:rPr>
                <w:sz w:val="17"/>
                <w:szCs w:val="17"/>
                <w:color w:val="auto"/>
              </w:rPr>
            </w:pPr>
          </w:p>
        </w:tc>
        <w:tc>
          <w:tcPr>
            <w:tcW w:w="900" w:type="dxa"/>
            <w:vAlign w:val="bottom"/>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32.98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9/17/17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380,618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Senior Vice President,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318,517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General Counsel</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3/20/14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3/27/13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160,260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3/22/12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3/22/22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3/15/11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3/15/21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6/15/10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1"/>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6/15/20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Grants vest 25% annually commencing one year from the date of grant.</w:t>
      </w:r>
    </w:p>
    <w:p>
      <w:pPr>
        <w:spacing w:after="0" w:line="235" w:lineRule="exact"/>
        <w:rPr>
          <w:rFonts w:ascii="Arial" w:cs="Arial" w:eastAsia="Arial" w:hAnsi="Arial"/>
          <w:sz w:val="16"/>
          <w:szCs w:val="16"/>
          <w:color w:val="auto"/>
        </w:rPr>
      </w:pPr>
    </w:p>
    <w:p>
      <w:pPr>
        <w:ind w:left="5640" w:right="3040" w:hanging="4498"/>
        <w:spacing w:after="0" w:line="541" w:lineRule="auto"/>
        <w:tabs>
          <w:tab w:leader="none" w:pos="164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awards are valued at $80.13 per share, the closing price of our stock on December 31, 2016.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in 2016</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sets forth information with respect to our named executive officers regarding all options that were exercised and restricted stock that vested during 2016.</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3"/>
          </w:tcPr>
          <w:p>
            <w:pPr>
              <w:jc w:val="right"/>
              <w:ind w:right="589"/>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Pr>
          <w:p>
            <w:pPr>
              <w:spacing w:after="0"/>
              <w:rPr>
                <w:sz w:val="12"/>
                <w:szCs w:val="12"/>
                <w:color w:val="auto"/>
              </w:rPr>
            </w:pPr>
          </w:p>
        </w:tc>
        <w:tc>
          <w:tcPr>
            <w:tcW w:w="2260" w:type="dxa"/>
            <w:vAlign w:val="bottom"/>
            <w:gridSpan w:val="4"/>
          </w:tcPr>
          <w:p>
            <w:pPr>
              <w:ind w:left="68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Shares Acquired</w:t>
            </w:r>
          </w:p>
        </w:tc>
        <w:tc>
          <w:tcPr>
            <w:tcW w:w="1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Value Realized</w:t>
            </w:r>
          </w:p>
        </w:tc>
        <w:tc>
          <w:tcPr>
            <w:tcW w:w="1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Shares Acquired</w:t>
            </w:r>
          </w:p>
        </w:tc>
        <w:tc>
          <w:tcPr>
            <w:tcW w:w="160" w:type="dxa"/>
            <w:vAlign w:val="bottom"/>
          </w:tcPr>
          <w:p>
            <w:pPr>
              <w:spacing w:after="0"/>
              <w:rPr>
                <w:sz w:val="11"/>
                <w:szCs w:val="11"/>
                <w:color w:val="auto"/>
              </w:rPr>
            </w:pPr>
          </w:p>
        </w:tc>
        <w:tc>
          <w:tcPr>
            <w:tcW w:w="10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2"/>
              </w:rPr>
              <w:t>Value Realized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on Exercise</w:t>
            </w:r>
          </w:p>
        </w:tc>
        <w:tc>
          <w:tcPr>
            <w:tcW w:w="1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on Exercise</w:t>
            </w:r>
          </w:p>
        </w:tc>
        <w:tc>
          <w:tcPr>
            <w:tcW w:w="1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on Vesting</w:t>
            </w:r>
          </w:p>
        </w:tc>
        <w:tc>
          <w:tcPr>
            <w:tcW w:w="160" w:type="dxa"/>
            <w:vAlign w:val="bottom"/>
          </w:tcPr>
          <w:p>
            <w:pPr>
              <w:spacing w:after="0"/>
              <w:rPr>
                <w:sz w:val="11"/>
                <w:szCs w:val="11"/>
                <w:color w:val="auto"/>
              </w:rPr>
            </w:pPr>
          </w:p>
        </w:tc>
        <w:tc>
          <w:tcPr>
            <w:tcW w:w="10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on Vesting</w:t>
            </w:r>
          </w:p>
        </w:tc>
        <w:tc>
          <w:tcPr>
            <w:tcW w:w="0" w:type="dxa"/>
            <w:vAlign w:val="bottom"/>
          </w:tcPr>
          <w:p>
            <w:pPr>
              <w:spacing w:after="0"/>
              <w:rPr>
                <w:sz w:val="1"/>
                <w:szCs w:val="1"/>
                <w:color w:val="auto"/>
              </w:rPr>
            </w:pPr>
          </w:p>
        </w:tc>
      </w:tr>
      <w:tr>
        <w:trPr>
          <w:trHeight w:val="149"/>
        </w:trPr>
        <w:tc>
          <w:tcPr>
            <w:tcW w:w="45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180" w:type="dxa"/>
            <w:vAlign w:val="bottom"/>
            <w:gridSpan w:val="2"/>
          </w:tcPr>
          <w:p>
            <w:pPr>
              <w:jc w:val="center"/>
              <w:ind w:left="46"/>
              <w:spacing w:after="0"/>
              <w:rPr>
                <w:sz w:val="20"/>
                <w:szCs w:val="20"/>
                <w:color w:val="auto"/>
              </w:rPr>
            </w:pPr>
            <w:r>
              <w:rPr>
                <w:rFonts w:ascii="Arial" w:cs="Arial" w:eastAsia="Arial" w:hAnsi="Arial"/>
                <w:sz w:val="12"/>
                <w:szCs w:val="12"/>
                <w:b w:val="1"/>
                <w:bCs w:val="1"/>
                <w:color w:val="auto"/>
                <w:w w:val="95"/>
              </w:rPr>
              <w:t>(#)</w:t>
            </w:r>
          </w:p>
        </w:tc>
        <w:tc>
          <w:tcPr>
            <w:tcW w:w="10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1180" w:type="dxa"/>
            <w:vAlign w:val="bottom"/>
            <w:gridSpan w:val="2"/>
          </w:tcPr>
          <w:p>
            <w:pPr>
              <w:jc w:val="center"/>
              <w:ind w:left="83"/>
              <w:spacing w:after="0"/>
              <w:rPr>
                <w:sz w:val="20"/>
                <w:szCs w:val="20"/>
                <w:color w:val="auto"/>
              </w:rPr>
            </w:pPr>
            <w:r>
              <w:rPr>
                <w:rFonts w:ascii="Arial" w:cs="Arial" w:eastAsia="Arial" w:hAnsi="Arial"/>
                <w:sz w:val="12"/>
                <w:szCs w:val="12"/>
                <w:b w:val="1"/>
                <w:bCs w:val="1"/>
                <w:color w:val="auto"/>
                <w:w w:val="95"/>
              </w:rPr>
              <w:t>(#)</w:t>
            </w:r>
          </w:p>
        </w:tc>
        <w:tc>
          <w:tcPr>
            <w:tcW w:w="1100" w:type="dxa"/>
            <w:vAlign w:val="bottom"/>
            <w:gridSpan w:val="2"/>
          </w:tcPr>
          <w:p>
            <w:pPr>
              <w:jc w:val="center"/>
              <w:ind w:left="63"/>
              <w:spacing w:after="0"/>
              <w:rPr>
                <w:sz w:val="20"/>
                <w:szCs w:val="20"/>
                <w:color w:val="auto"/>
              </w:rPr>
            </w:pPr>
            <w:r>
              <w:rPr>
                <w:rFonts w:ascii="Arial" w:cs="Arial" w:eastAsia="Arial" w:hAnsi="Arial"/>
                <w:sz w:val="12"/>
                <w:szCs w:val="12"/>
                <w:b w:val="1"/>
                <w:bCs w:val="1"/>
                <w:color w:val="auto"/>
                <w:w w:val="95"/>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313,100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1,603,085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Chief Executive Officer</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80" w:type="dxa"/>
            <w:vAlign w:val="bottom"/>
            <w:gridSpan w:val="3"/>
          </w:tcPr>
          <w:p>
            <w:pPr>
              <w:spacing w:after="0"/>
              <w:rPr>
                <w:sz w:val="20"/>
                <w:szCs w:val="20"/>
                <w:color w:val="auto"/>
              </w:rPr>
            </w:pPr>
            <w:r>
              <w:rPr>
                <w:rFonts w:ascii="Arial" w:cs="Arial" w:eastAsia="Arial" w:hAnsi="Arial"/>
                <w:sz w:val="16"/>
                <w:szCs w:val="16"/>
                <w:color w:val="auto"/>
              </w:rPr>
              <w:t>Justin D. Benincasa</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269,539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10,150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739,387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gridSpan w:val="3"/>
          </w:tcPr>
          <w:p>
            <w:pPr>
              <w:ind w:left="140"/>
              <w:spacing w:after="0"/>
              <w:rPr>
                <w:sz w:val="20"/>
                <w:szCs w:val="20"/>
                <w:color w:val="auto"/>
              </w:rPr>
            </w:pPr>
            <w:r>
              <w:rPr>
                <w:rFonts w:ascii="Arial" w:cs="Arial" w:eastAsia="Arial" w:hAnsi="Arial"/>
                <w:sz w:val="16"/>
                <w:szCs w:val="16"/>
                <w:color w:val="auto"/>
              </w:rPr>
              <w:t>Chief Financial Officer</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199,812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Vice President,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Business Operations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80" w:type="dxa"/>
            <w:vAlign w:val="bottom"/>
            <w:gridSpan w:val="3"/>
          </w:tcPr>
          <w:p>
            <w:pPr>
              <w:spacing w:after="0"/>
              <w:rPr>
                <w:sz w:val="20"/>
                <w:szCs w:val="20"/>
                <w:color w:val="auto"/>
              </w:rPr>
            </w:pPr>
            <w:r>
              <w:rPr>
                <w:rFonts w:ascii="Arial" w:cs="Arial" w:eastAsia="Arial" w:hAnsi="Arial"/>
                <w:sz w:val="16"/>
                <w:szCs w:val="16"/>
                <w:color w:val="auto"/>
              </w:rPr>
              <w:t>William F. Kreisher</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17,128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716,846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6,975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508,938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tcPr>
          <w:p>
            <w:pPr>
              <w:ind w:left="140"/>
              <w:spacing w:after="0"/>
              <w:rPr>
                <w:sz w:val="20"/>
                <w:szCs w:val="20"/>
                <w:color w:val="auto"/>
              </w:rPr>
            </w:pPr>
            <w:r>
              <w:rPr>
                <w:rFonts w:ascii="Arial" w:cs="Arial" w:eastAsia="Arial" w:hAnsi="Arial"/>
                <w:sz w:val="16"/>
                <w:szCs w:val="16"/>
                <w:color w:val="auto"/>
              </w:rPr>
              <w:t>Senior Vice President,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80" w:type="dxa"/>
            <w:vAlign w:val="bottom"/>
            <w:gridSpan w:val="3"/>
          </w:tcPr>
          <w:p>
            <w:pPr>
              <w:ind w:left="140"/>
              <w:spacing w:after="0"/>
              <w:rPr>
                <w:sz w:val="20"/>
                <w:szCs w:val="20"/>
                <w:color w:val="auto"/>
              </w:rPr>
            </w:pPr>
            <w:r>
              <w:rPr>
                <w:rFonts w:ascii="Arial" w:cs="Arial" w:eastAsia="Arial" w:hAnsi="Arial"/>
                <w:sz w:val="16"/>
                <w:szCs w:val="16"/>
                <w:color w:val="auto"/>
              </w:rPr>
              <w:t>Corporate Development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Leonard Q. Slap</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442,546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Senior Vice President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and General Counsel</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difference between the market price of the option awards at exercise and the grant date exercise price of such options.</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market value of the shares based on the vesting date closing price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regarding our equity compensation plans as of December 31, 2016:</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Equity Compensation Plan Information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2"/>
              <w:spacing w:after="0"/>
              <w:rPr>
                <w:sz w:val="20"/>
                <w:szCs w:val="20"/>
                <w:color w:val="auto"/>
              </w:rPr>
            </w:pPr>
            <w:r>
              <w:rPr>
                <w:rFonts w:ascii="Arial" w:cs="Arial" w:eastAsia="Arial" w:hAnsi="Arial"/>
                <w:sz w:val="12"/>
                <w:szCs w:val="12"/>
                <w:b w:val="1"/>
                <w:bCs w:val="1"/>
                <w:color w:val="auto"/>
                <w:w w:val="91"/>
              </w:rPr>
              <w:t>(b)</w:t>
            </w:r>
          </w:p>
        </w:tc>
        <w:tc>
          <w:tcPr>
            <w:tcW w:w="140" w:type="dxa"/>
            <w:vAlign w:val="bottom"/>
          </w:tcPr>
          <w:p>
            <w:pPr>
              <w:spacing w:after="0"/>
              <w:rPr>
                <w:sz w:val="12"/>
                <w:szCs w:val="12"/>
                <w:color w:val="auto"/>
              </w:rPr>
            </w:pPr>
          </w:p>
        </w:tc>
        <w:tc>
          <w:tcPr>
            <w:tcW w:w="27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95"/>
              </w:rPr>
              <w:t>(c)</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1"/>
              </w:rPr>
              <w:t>Number of Securities</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Number of 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3"/>
              </w:rPr>
              <w:t>Remaining Available</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to be Issued upon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32"/>
              <w:spacing w:after="0" w:line="136" w:lineRule="exact"/>
              <w:rPr>
                <w:sz w:val="20"/>
                <w:szCs w:val="20"/>
                <w:color w:val="auto"/>
              </w:rPr>
            </w:pPr>
            <w:r>
              <w:rPr>
                <w:rFonts w:ascii="Arial" w:cs="Arial" w:eastAsia="Arial" w:hAnsi="Arial"/>
                <w:sz w:val="12"/>
                <w:szCs w:val="12"/>
                <w:b w:val="1"/>
                <w:bCs w:val="1"/>
                <w:color w:val="auto"/>
                <w:w w:val="91"/>
              </w:rPr>
              <w:t>Weighted Average</w:t>
            </w: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1"/>
              </w:rPr>
              <w:t>for Future Issuance</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Exercise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32"/>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140" w:type="dxa"/>
            <w:vAlign w:val="bottom"/>
          </w:tcPr>
          <w:p>
            <w:pPr>
              <w:spacing w:after="0"/>
              <w:rPr>
                <w:sz w:val="11"/>
                <w:szCs w:val="11"/>
                <w:color w:val="auto"/>
              </w:rPr>
            </w:pPr>
          </w:p>
        </w:tc>
        <w:tc>
          <w:tcPr>
            <w:tcW w:w="2700" w:type="dxa"/>
            <w:vAlign w:val="bottom"/>
            <w:gridSpan w:val="3"/>
          </w:tcPr>
          <w:p>
            <w:pPr>
              <w:jc w:val="center"/>
              <w:ind w:right="1260"/>
              <w:spacing w:after="0" w:line="136" w:lineRule="exact"/>
              <w:rPr>
                <w:sz w:val="20"/>
                <w:szCs w:val="20"/>
                <w:color w:val="auto"/>
              </w:rPr>
            </w:pPr>
            <w:r>
              <w:rPr>
                <w:rFonts w:ascii="Arial" w:cs="Arial" w:eastAsia="Arial" w:hAnsi="Arial"/>
                <w:sz w:val="12"/>
                <w:szCs w:val="12"/>
                <w:b w:val="1"/>
                <w:bCs w:val="1"/>
                <w:color w:val="auto"/>
                <w:w w:val="96"/>
              </w:rPr>
              <w:t>Under Equity</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2"/>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40" w:type="dxa"/>
            <w:vAlign w:val="bottom"/>
          </w:tcPr>
          <w:p>
            <w:pPr>
              <w:spacing w:after="0"/>
              <w:rPr>
                <w:sz w:val="11"/>
                <w:szCs w:val="11"/>
                <w:color w:val="auto"/>
              </w:rPr>
            </w:pPr>
          </w:p>
        </w:tc>
        <w:tc>
          <w:tcPr>
            <w:tcW w:w="2700" w:type="dxa"/>
            <w:vAlign w:val="bottom"/>
            <w:gridSpan w:val="3"/>
          </w:tcPr>
          <w:p>
            <w:pPr>
              <w:jc w:val="center"/>
              <w:ind w:right="1260"/>
              <w:spacing w:after="0" w:line="136" w:lineRule="exact"/>
              <w:rPr>
                <w:sz w:val="20"/>
                <w:szCs w:val="20"/>
                <w:color w:val="auto"/>
              </w:rPr>
            </w:pPr>
            <w:r>
              <w:rPr>
                <w:rFonts w:ascii="Arial" w:cs="Arial" w:eastAsia="Arial" w:hAnsi="Arial"/>
                <w:sz w:val="12"/>
                <w:szCs w:val="12"/>
                <w:b w:val="1"/>
                <w:bCs w:val="1"/>
                <w:color w:val="auto"/>
                <w:w w:val="90"/>
              </w:rPr>
              <w:t>Compensation Plans</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Warrants, Options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2"/>
              <w:spacing w:after="0" w:line="136" w:lineRule="exact"/>
              <w:rPr>
                <w:sz w:val="20"/>
                <w:szCs w:val="20"/>
                <w:color w:val="auto"/>
              </w:rPr>
            </w:pPr>
            <w:r>
              <w:rPr>
                <w:rFonts w:ascii="Arial" w:cs="Arial" w:eastAsia="Arial" w:hAnsi="Arial"/>
                <w:sz w:val="12"/>
                <w:szCs w:val="12"/>
                <w:b w:val="1"/>
                <w:bCs w:val="1"/>
                <w:color w:val="auto"/>
                <w:w w:val="94"/>
              </w:rPr>
              <w:t>Warrants, Options</w:t>
            </w: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88"/>
              </w:rPr>
              <w:t>(excluding securities</w:t>
            </w: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0"/>
              </w:rPr>
              <w:t>and Rights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2"/>
              <w:spacing w:after="0"/>
              <w:rPr>
                <w:sz w:val="20"/>
                <w:szCs w:val="20"/>
                <w:color w:val="auto"/>
              </w:rPr>
            </w:pPr>
            <w:r>
              <w:rPr>
                <w:rFonts w:ascii="Arial" w:cs="Arial" w:eastAsia="Arial" w:hAnsi="Arial"/>
                <w:sz w:val="12"/>
                <w:szCs w:val="12"/>
                <w:b w:val="1"/>
                <w:bCs w:val="1"/>
                <w:color w:val="auto"/>
                <w:w w:val="93"/>
              </w:rPr>
              <w:t>and Rights</w:t>
            </w:r>
          </w:p>
        </w:tc>
        <w:tc>
          <w:tcPr>
            <w:tcW w:w="140" w:type="dxa"/>
            <w:vAlign w:val="bottom"/>
          </w:tcPr>
          <w:p>
            <w:pPr>
              <w:spacing w:after="0"/>
              <w:rPr>
                <w:sz w:val="12"/>
                <w:szCs w:val="12"/>
                <w:color w:val="auto"/>
              </w:rPr>
            </w:pPr>
          </w:p>
        </w:tc>
        <w:tc>
          <w:tcPr>
            <w:tcW w:w="27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91"/>
              </w:rPr>
              <w:t>reflected in column(a))</w:t>
            </w:r>
          </w:p>
        </w:tc>
      </w:tr>
      <w:tr>
        <w:trPr>
          <w:trHeight w:val="190"/>
        </w:trPr>
        <w:tc>
          <w:tcPr>
            <w:tcW w:w="114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64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220" w:type="dxa"/>
            <w:vAlign w:val="bottom"/>
          </w:tcPr>
          <w:p>
            <w:pPr>
              <w:ind w:left="160"/>
              <w:spacing w:after="0"/>
              <w:rPr>
                <w:sz w:val="20"/>
                <w:szCs w:val="20"/>
                <w:color w:val="auto"/>
              </w:rPr>
            </w:pPr>
            <w:r>
              <w:rPr>
                <w:rFonts w:ascii="Arial" w:cs="Arial" w:eastAsia="Arial" w:hAnsi="Arial"/>
                <w:sz w:val="16"/>
                <w:szCs w:val="16"/>
                <w:color w:val="auto"/>
              </w:rPr>
              <w:t>2008 Equity Incentive Plan</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202,950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40.46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974,498</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1998 Stock Option Plan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394"/>
        </w:trPr>
        <w:tc>
          <w:tcPr>
            <w:tcW w:w="5360" w:type="dxa"/>
            <w:vAlign w:val="bottom"/>
            <w:gridSpan w:val="2"/>
          </w:tcPr>
          <w:p>
            <w:pPr>
              <w:ind w:left="1140"/>
              <w:spacing w:after="0"/>
              <w:rPr>
                <w:sz w:val="20"/>
                <w:szCs w:val="20"/>
                <w:color w:val="auto"/>
              </w:rPr>
            </w:pPr>
            <w:r>
              <w:rPr>
                <w:rFonts w:ascii="Arial" w:cs="Arial" w:eastAsia="Arial" w:hAnsi="Arial"/>
                <w:sz w:val="16"/>
                <w:szCs w:val="16"/>
                <w:color w:val="auto"/>
                <w:w w:val="97"/>
              </w:rPr>
              <w:t>Equity compensation plans not approved by security holders:</w:t>
            </w:r>
          </w:p>
        </w:tc>
        <w:tc>
          <w:tcPr>
            <w:tcW w:w="6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70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r>
      <w:tr>
        <w:trPr>
          <w:trHeight w:val="198"/>
        </w:trPr>
        <w:tc>
          <w:tcPr>
            <w:tcW w:w="1140" w:type="dxa"/>
            <w:vAlign w:val="bottom"/>
          </w:tcPr>
          <w:p>
            <w:pPr>
              <w:spacing w:after="0"/>
              <w:rPr>
                <w:sz w:val="17"/>
                <w:szCs w:val="17"/>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225,822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974,498</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393"/>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4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 Plan Transactions in 2016</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contributions by us to our deferred compensation plan for fiscal 2016.</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2"/>
              </w:rPr>
              <w:t>Executive</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Registrant</w:t>
            </w: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0"/>
              </w:rPr>
              <w:t>Aggregate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Aggregate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Contributions</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Contributions</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Earnings</w:t>
            </w:r>
          </w:p>
        </w:tc>
        <w:tc>
          <w:tcPr>
            <w:tcW w:w="16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Aggregate</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in Last</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in Last</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in Last</w:t>
            </w:r>
          </w:p>
        </w:tc>
        <w:tc>
          <w:tcPr>
            <w:tcW w:w="16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Withdrawals/</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Last Fiscal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Fiscal Year</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Fiscal Year</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Fiscal Year</w:t>
            </w:r>
          </w:p>
        </w:tc>
        <w:tc>
          <w:tcPr>
            <w:tcW w:w="16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Distributions</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Year End</w:t>
            </w:r>
          </w:p>
        </w:tc>
        <w:tc>
          <w:tcPr>
            <w:tcW w:w="0" w:type="dxa"/>
            <w:vAlign w:val="bottom"/>
          </w:tcPr>
          <w:p>
            <w:pPr>
              <w:spacing w:after="0"/>
              <w:rPr>
                <w:sz w:val="1"/>
                <w:szCs w:val="1"/>
                <w:color w:val="auto"/>
              </w:rPr>
            </w:pPr>
          </w:p>
        </w:tc>
      </w:tr>
      <w:tr>
        <w:trPr>
          <w:trHeight w:val="149"/>
        </w:trPr>
        <w:tc>
          <w:tcPr>
            <w:tcW w:w="43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4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8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102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47,200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27,751</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493,108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Justin D. Benincasa</w:t>
            </w: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28,080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15,375</w:t>
            </w:r>
          </w:p>
        </w:tc>
        <w:tc>
          <w:tcPr>
            <w:tcW w:w="160" w:type="dxa"/>
            <w:vAlign w:val="bottom"/>
          </w:tcPr>
          <w:p>
            <w:pPr>
              <w:spacing w:after="0"/>
              <w:rPr>
                <w:sz w:val="17"/>
                <w:szCs w:val="17"/>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274,300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Fougere(2)</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William F. Kreisher</w:t>
            </w: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20,640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12,341</w:t>
            </w:r>
          </w:p>
        </w:tc>
        <w:tc>
          <w:tcPr>
            <w:tcW w:w="160" w:type="dxa"/>
            <w:vAlign w:val="bottom"/>
          </w:tcPr>
          <w:p>
            <w:pPr>
              <w:spacing w:after="0"/>
              <w:rPr>
                <w:sz w:val="17"/>
                <w:szCs w:val="17"/>
                <w:color w:val="auto"/>
              </w:rPr>
            </w:pP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219,077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Leonard Q. Slap(2)</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The amounts reported in this column are reported for fiscal 2016 in the "All Other Compensation" column of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w:t>
      </w:r>
    </w:p>
    <w:p>
      <w:pPr>
        <w:spacing w:after="0" w:line="246" w:lineRule="exact"/>
        <w:rPr>
          <w:rFonts w:ascii="Arial" w:cs="Arial" w:eastAsia="Arial" w:hAnsi="Arial"/>
          <w:sz w:val="15"/>
          <w:szCs w:val="15"/>
          <w:color w:val="auto"/>
        </w:rPr>
      </w:pPr>
    </w:p>
    <w:p>
      <w:pPr>
        <w:ind w:left="1640" w:hanging="498"/>
        <w:spacing w:after="0"/>
        <w:tabs>
          <w:tab w:leader="none" w:pos="1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Messrs. Slap and Fougere are not participants in our deferred compensation plan.</w:t>
      </w:r>
    </w:p>
    <w:p>
      <w:pPr>
        <w:spacing w:after="0" w:line="211" w:lineRule="exact"/>
        <w:rPr>
          <w:sz w:val="20"/>
          <w:szCs w:val="20"/>
          <w:color w:val="auto"/>
        </w:rPr>
      </w:pPr>
    </w:p>
    <w:p>
      <w:pPr>
        <w:ind w:firstLine="321"/>
        <w:spacing w:after="0" w:line="279" w:lineRule="auto"/>
        <w:rPr>
          <w:sz w:val="20"/>
          <w:szCs w:val="20"/>
          <w:color w:val="auto"/>
        </w:rPr>
      </w:pPr>
      <w:r>
        <w:rPr>
          <w:rFonts w:ascii="Arial" w:cs="Arial" w:eastAsia="Arial" w:hAnsi="Arial"/>
          <w:sz w:val="15"/>
          <w:szCs w:val="15"/>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and Messrs. Slap and Fougere are not participants in the plan. Under this plan, we make quarterly credits equal to 8% of the executive officer's then current quarterly base salary to an account in the plan on behalf of the executive. In addition to these quarterly credits, the Compensation Committee may make additional credits in its sole discretion. Credits to such executive officer's account under the plan will be deemed to be invested in one or more investment funds selected by the executive officer from among alternatives approved by the Compensation Committee.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15" w:lineRule="exact"/>
        <w:rPr>
          <w:sz w:val="20"/>
          <w:szCs w:val="20"/>
          <w:color w:val="auto"/>
        </w:rPr>
      </w:pPr>
    </w:p>
    <w:p>
      <w:pPr>
        <w:ind w:firstLine="318"/>
        <w:spacing w:after="0" w:line="266" w:lineRule="auto"/>
        <w:rPr>
          <w:sz w:val="20"/>
          <w:szCs w:val="20"/>
          <w:color w:val="auto"/>
        </w:rPr>
      </w:pPr>
      <w:r>
        <w:rPr>
          <w:rFonts w:ascii="Arial" w:cs="Arial" w:eastAsia="Arial" w:hAnsi="Arial"/>
          <w:sz w:val="16"/>
          <w:szCs w:val="16"/>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30, 2016, the last business day of our fiscal year, and using the closing market price of our common stock on that date ($80.13).</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rPr>
                <w:sz w:val="20"/>
                <w:szCs w:val="20"/>
                <w:color w:val="auto"/>
              </w:rPr>
            </w:pPr>
            <w:r>
              <w:rPr>
                <w:rFonts w:ascii="Arial" w:cs="Arial" w:eastAsia="Arial" w:hAnsi="Arial"/>
                <w:sz w:val="12"/>
                <w:szCs w:val="12"/>
                <w:b w:val="1"/>
                <w:bCs w:val="1"/>
                <w:color w:val="auto"/>
                <w:w w:val="99"/>
              </w:rPr>
              <w:t>Salary &amp;</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Acceleration of</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9"/>
              </w:rPr>
              <w:t>Vesting of</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8"/>
              <w:spacing w:after="0" w:line="136" w:lineRule="exact"/>
              <w:rPr>
                <w:sz w:val="20"/>
                <w:szCs w:val="20"/>
                <w:color w:val="auto"/>
              </w:rPr>
            </w:pPr>
            <w:r>
              <w:rPr>
                <w:rFonts w:ascii="Arial" w:cs="Arial" w:eastAsia="Arial" w:hAnsi="Arial"/>
                <w:sz w:val="12"/>
                <w:szCs w:val="12"/>
                <w:b w:val="1"/>
                <w:bCs w:val="1"/>
                <w:color w:val="auto"/>
                <w:w w:val="99"/>
              </w:rPr>
              <w:t>Other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Vesting of</w:t>
            </w: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Unvested</w:t>
            </w:r>
          </w:p>
        </w:tc>
        <w:tc>
          <w:tcPr>
            <w:tcW w:w="22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Vesting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8"/>
              <w:spacing w:after="0" w:line="136" w:lineRule="exact"/>
              <w:rPr>
                <w:sz w:val="20"/>
                <w:szCs w:val="20"/>
                <w:color w:val="auto"/>
              </w:rPr>
            </w:pPr>
            <w:r>
              <w:rPr>
                <w:rFonts w:ascii="Arial" w:cs="Arial" w:eastAsia="Arial" w:hAnsi="Arial"/>
                <w:sz w:val="12"/>
                <w:szCs w:val="12"/>
                <w:b w:val="1"/>
                <w:bCs w:val="1"/>
                <w:color w:val="auto"/>
                <w:w w:val="95"/>
              </w:rPr>
              <w:t>Cash</w:t>
            </w:r>
          </w:p>
        </w:tc>
        <w:tc>
          <w:tcPr>
            <w:tcW w:w="220" w:type="dxa"/>
            <w:vAlign w:val="bottom"/>
          </w:tcPr>
          <w:p>
            <w:pPr>
              <w:spacing w:after="0"/>
              <w:rPr>
                <w:sz w:val="11"/>
                <w:szCs w:val="11"/>
                <w:color w:val="auto"/>
              </w:rPr>
            </w:pPr>
          </w:p>
        </w:tc>
        <w:tc>
          <w:tcPr>
            <w:tcW w:w="500" w:type="dxa"/>
            <w:vAlign w:val="bottom"/>
          </w:tcPr>
          <w:p>
            <w:pPr>
              <w:spacing w:after="0" w:line="136" w:lineRule="exact"/>
              <w:rPr>
                <w:sz w:val="20"/>
                <w:szCs w:val="20"/>
                <w:color w:val="auto"/>
              </w:rPr>
            </w:pPr>
            <w:r>
              <w:rPr>
                <w:rFonts w:ascii="Arial" w:cs="Arial" w:eastAsia="Arial" w:hAnsi="Arial"/>
                <w:sz w:val="12"/>
                <w:szCs w:val="12"/>
                <w:b w:val="1"/>
                <w:bCs w:val="1"/>
                <w:color w:val="auto"/>
              </w:rPr>
              <w:t>COBRA</w:t>
            </w:r>
          </w:p>
        </w:tc>
        <w:tc>
          <w:tcPr>
            <w:tcW w:w="140" w:type="dxa"/>
            <w:vAlign w:val="bottom"/>
          </w:tcPr>
          <w:p>
            <w:pPr>
              <w:spacing w:after="0"/>
              <w:rPr>
                <w:sz w:val="11"/>
                <w:szCs w:val="11"/>
                <w:color w:val="auto"/>
              </w:rPr>
            </w:pPr>
          </w:p>
        </w:tc>
        <w:tc>
          <w:tcPr>
            <w:tcW w:w="11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Certain</w:t>
            </w: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5"/>
              </w:rPr>
              <w:t>Stock</w:t>
            </w:r>
          </w:p>
        </w:tc>
        <w:tc>
          <w:tcPr>
            <w:tcW w:w="22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rPr>
                <w:sz w:val="20"/>
                <w:szCs w:val="20"/>
                <w:color w:val="auto"/>
              </w:rPr>
            </w:pPr>
            <w:r>
              <w:rPr>
                <w:rFonts w:ascii="Arial" w:cs="Arial" w:eastAsia="Arial" w:hAnsi="Arial"/>
                <w:sz w:val="12"/>
                <w:szCs w:val="12"/>
                <w:b w:val="1"/>
                <w:bCs w:val="1"/>
                <w:color w:val="auto"/>
                <w:w w:val="96"/>
              </w:rPr>
              <w:t>Named Executive Officer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ind w:left="960"/>
              <w:spacing w:after="0"/>
              <w:rPr>
                <w:sz w:val="20"/>
                <w:szCs w:val="20"/>
                <w:color w:val="auto"/>
              </w:rPr>
            </w:pPr>
            <w:r>
              <w:rPr>
                <w:rFonts w:ascii="Arial" w:cs="Arial" w:eastAsia="Arial" w:hAnsi="Arial"/>
                <w:sz w:val="12"/>
                <w:szCs w:val="12"/>
                <w:b w:val="1"/>
                <w:bCs w:val="1"/>
                <w:color w:val="auto"/>
              </w:rPr>
              <w:t>Event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Payment</w:t>
            </w:r>
          </w:p>
        </w:tc>
        <w:tc>
          <w:tcPr>
            <w:tcW w:w="2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Benefits</w:t>
            </w:r>
          </w:p>
        </w:tc>
        <w:tc>
          <w:tcPr>
            <w:tcW w:w="14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2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3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Michael T. Prior(1)</w:t>
            </w:r>
          </w:p>
        </w:tc>
        <w:tc>
          <w:tcPr>
            <w:tcW w:w="60" w:type="dxa"/>
            <w:vAlign w:val="bottom"/>
            <w:shd w:val="clear" w:color="auto" w:fill="CCEEFF"/>
          </w:tcPr>
          <w:p>
            <w:pPr>
              <w:spacing w:after="0"/>
              <w:rPr>
                <w:sz w:val="11"/>
                <w:szCs w:val="11"/>
                <w:color w:val="auto"/>
              </w:rPr>
            </w:pPr>
          </w:p>
        </w:tc>
        <w:tc>
          <w:tcPr>
            <w:tcW w:w="2600" w:type="dxa"/>
            <w:vAlign w:val="bottom"/>
            <w:gridSpan w:val="3"/>
            <w:shd w:val="clear" w:color="auto" w:fill="CCEEFF"/>
          </w:tcPr>
          <w:p>
            <w:pPr>
              <w:ind w:left="140"/>
              <w:spacing w:after="0" w:line="128" w:lineRule="exact"/>
              <w:rPr>
                <w:sz w:val="20"/>
                <w:szCs w:val="20"/>
                <w:color w:val="auto"/>
              </w:rPr>
            </w:pPr>
            <w:r>
              <w:rPr>
                <w:rFonts w:ascii="Arial" w:cs="Arial" w:eastAsia="Arial" w:hAnsi="Arial"/>
                <w:sz w:val="12"/>
                <w:szCs w:val="12"/>
                <w:color w:val="auto"/>
                <w:w w:val="96"/>
              </w:rPr>
              <w:t>Termination Without Cause or for Good Reason</w:t>
            </w:r>
          </w:p>
        </w:tc>
        <w:tc>
          <w:tcPr>
            <w:tcW w:w="24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1,378,108</w:t>
            </w:r>
          </w:p>
        </w:tc>
        <w:tc>
          <w:tcPr>
            <w:tcW w:w="220" w:type="dxa"/>
            <w:vAlign w:val="bottom"/>
            <w:tcBorders>
              <w:righ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35,123</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ind w:left="520"/>
              <w:spacing w:after="0" w:line="128" w:lineRule="exact"/>
              <w:rPr>
                <w:sz w:val="20"/>
                <w:szCs w:val="20"/>
                <w:color w:val="auto"/>
              </w:rPr>
            </w:pPr>
            <w:r>
              <w:rPr>
                <w:rFonts w:ascii="Arial" w:cs="Arial" w:eastAsia="Arial" w:hAnsi="Arial"/>
                <w:sz w:val="12"/>
                <w:szCs w:val="12"/>
                <w:color w:val="auto"/>
                <w:w w:val="82"/>
              </w:rPr>
              <w:t>—</w:t>
            </w:r>
          </w:p>
        </w:tc>
        <w:tc>
          <w:tcPr>
            <w:tcW w:w="2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1,413,231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2"/>
                <w:szCs w:val="12"/>
                <w:color w:val="auto"/>
              </w:rPr>
              <w:t>Change in Control Termination</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2,263,108</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35,123</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4,399,137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6,697,368</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380" w:type="dxa"/>
            <w:vAlign w:val="bottom"/>
            <w:gridSpan w:val="3"/>
          </w:tcPr>
          <w:p>
            <w:pPr>
              <w:spacing w:after="0"/>
              <w:rPr>
                <w:sz w:val="20"/>
                <w:szCs w:val="20"/>
                <w:color w:val="auto"/>
              </w:rPr>
            </w:pPr>
            <w:r>
              <w:rPr>
                <w:rFonts w:ascii="Arial" w:cs="Arial" w:eastAsia="Arial" w:hAnsi="Arial"/>
                <w:sz w:val="12"/>
                <w:szCs w:val="12"/>
                <w:color w:val="auto"/>
              </w:rPr>
              <w:t>Justin D. Benincasa(1)</w:t>
            </w:r>
          </w:p>
        </w:tc>
        <w:tc>
          <w:tcPr>
            <w:tcW w:w="2600" w:type="dxa"/>
            <w:vAlign w:val="bottom"/>
            <w:gridSpan w:val="3"/>
          </w:tcPr>
          <w:p>
            <w:pPr>
              <w:ind w:left="140"/>
              <w:spacing w:after="0"/>
              <w:rPr>
                <w:sz w:val="20"/>
                <w:szCs w:val="20"/>
                <w:color w:val="auto"/>
              </w:rPr>
            </w:pPr>
            <w:r>
              <w:rPr>
                <w:rFonts w:ascii="Arial" w:cs="Arial" w:eastAsia="Arial" w:hAnsi="Arial"/>
                <w:sz w:val="12"/>
                <w:szCs w:val="12"/>
                <w:color w:val="auto"/>
                <w:w w:val="96"/>
              </w:rPr>
              <w:t>Termination Without Cause or for Good Reason</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625,300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23,415</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640" w:type="dxa"/>
            <w:vAlign w:val="bottom"/>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648,715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gridSpan w:val="3"/>
          </w:tcPr>
          <w:p>
            <w:pPr>
              <w:ind w:left="140"/>
              <w:spacing w:after="0"/>
              <w:rPr>
                <w:sz w:val="20"/>
                <w:szCs w:val="20"/>
                <w:color w:val="auto"/>
              </w:rPr>
            </w:pPr>
            <w:r>
              <w:rPr>
                <w:rFonts w:ascii="Arial" w:cs="Arial" w:eastAsia="Arial" w:hAnsi="Arial"/>
                <w:sz w:val="12"/>
                <w:szCs w:val="12"/>
                <w:color w:val="auto"/>
              </w:rPr>
              <w:t>Change in Control Termination</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888,550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23,415</w:t>
            </w:r>
          </w:p>
        </w:tc>
        <w:tc>
          <w:tcPr>
            <w:tcW w:w="1240" w:type="dxa"/>
            <w:vAlign w:val="bottom"/>
            <w:gridSpan w:val="3"/>
          </w:tcPr>
          <w:p>
            <w:pPr>
              <w:jc w:val="right"/>
              <w:ind w:right="60"/>
              <w:spacing w:after="0"/>
              <w:rPr>
                <w:sz w:val="20"/>
                <w:szCs w:val="20"/>
                <w:color w:val="auto"/>
              </w:rPr>
            </w:pPr>
            <w:r>
              <w:rPr>
                <w:rFonts w:ascii="Arial" w:cs="Arial" w:eastAsia="Arial" w:hAnsi="Arial"/>
                <w:sz w:val="12"/>
                <w:szCs w:val="12"/>
                <w:color w:val="auto"/>
              </w:rPr>
              <w:t>100%</w:t>
            </w:r>
          </w:p>
        </w:tc>
        <w:tc>
          <w:tcPr>
            <w:tcW w:w="640" w:type="dxa"/>
            <w:vAlign w:val="bottom"/>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1,808,935</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2,720,900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3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Barry C. Fougere</w:t>
            </w: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w w:val="96"/>
              </w:rPr>
              <w:t>Termination Without Cause or for Good Reason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23,741</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CCEEFF"/>
            </w:tcBorders>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323,741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2"/>
                <w:szCs w:val="12"/>
                <w:color w:val="auto"/>
              </w:rPr>
              <w:t>Change in Control Termination</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525,000</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23,741</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940,486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1,489,227</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380" w:type="dxa"/>
            <w:vAlign w:val="bottom"/>
            <w:gridSpan w:val="3"/>
          </w:tcPr>
          <w:p>
            <w:pPr>
              <w:spacing w:after="0"/>
              <w:rPr>
                <w:sz w:val="20"/>
                <w:szCs w:val="20"/>
                <w:color w:val="auto"/>
              </w:rPr>
            </w:pPr>
            <w:r>
              <w:rPr>
                <w:rFonts w:ascii="Arial" w:cs="Arial" w:eastAsia="Arial" w:hAnsi="Arial"/>
                <w:sz w:val="12"/>
                <w:szCs w:val="12"/>
                <w:color w:val="auto"/>
              </w:rPr>
              <w:t>William F. Kreisher(1)</w:t>
            </w:r>
          </w:p>
        </w:tc>
        <w:tc>
          <w:tcPr>
            <w:tcW w:w="2600" w:type="dxa"/>
            <w:vAlign w:val="bottom"/>
            <w:gridSpan w:val="3"/>
          </w:tcPr>
          <w:p>
            <w:pPr>
              <w:ind w:left="140"/>
              <w:spacing w:after="0"/>
              <w:rPr>
                <w:sz w:val="20"/>
                <w:szCs w:val="20"/>
                <w:color w:val="auto"/>
              </w:rPr>
            </w:pPr>
            <w:r>
              <w:rPr>
                <w:rFonts w:ascii="Arial" w:cs="Arial" w:eastAsia="Arial" w:hAnsi="Arial"/>
                <w:sz w:val="12"/>
                <w:szCs w:val="12"/>
                <w:color w:val="auto"/>
                <w:w w:val="96"/>
              </w:rPr>
              <w:t>Termination Without Cause or for Good Reason</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477,077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23,415</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640" w:type="dxa"/>
            <w:vAlign w:val="bottom"/>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500,492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gridSpan w:val="3"/>
          </w:tcPr>
          <w:p>
            <w:pPr>
              <w:ind w:left="140"/>
              <w:spacing w:after="0"/>
              <w:rPr>
                <w:sz w:val="20"/>
                <w:szCs w:val="20"/>
                <w:color w:val="auto"/>
              </w:rPr>
            </w:pPr>
            <w:r>
              <w:rPr>
                <w:rFonts w:ascii="Arial" w:cs="Arial" w:eastAsia="Arial" w:hAnsi="Arial"/>
                <w:sz w:val="12"/>
                <w:szCs w:val="12"/>
                <w:color w:val="auto"/>
              </w:rPr>
              <w:t>Change in Control Termination</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606,077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23,415</w:t>
            </w:r>
          </w:p>
        </w:tc>
        <w:tc>
          <w:tcPr>
            <w:tcW w:w="1240" w:type="dxa"/>
            <w:vAlign w:val="bottom"/>
            <w:gridSpan w:val="3"/>
          </w:tcPr>
          <w:p>
            <w:pPr>
              <w:jc w:val="right"/>
              <w:ind w:right="60"/>
              <w:spacing w:after="0"/>
              <w:rPr>
                <w:sz w:val="20"/>
                <w:szCs w:val="20"/>
                <w:color w:val="auto"/>
              </w:rPr>
            </w:pPr>
            <w:r>
              <w:rPr>
                <w:rFonts w:ascii="Arial" w:cs="Arial" w:eastAsia="Arial" w:hAnsi="Arial"/>
                <w:sz w:val="12"/>
                <w:szCs w:val="12"/>
                <w:color w:val="auto"/>
              </w:rPr>
              <w:t>100%</w:t>
            </w:r>
          </w:p>
        </w:tc>
        <w:tc>
          <w:tcPr>
            <w:tcW w:w="640" w:type="dxa"/>
            <w:vAlign w:val="bottom"/>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1,300,109</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1,929,601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3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Leonard Q. Slap</w:t>
            </w:r>
          </w:p>
        </w:tc>
        <w:tc>
          <w:tcPr>
            <w:tcW w:w="26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w w:val="96"/>
              </w:rPr>
              <w:t>Termination Without Cause or for Good Reason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23,415</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N/A</w:t>
            </w:r>
          </w:p>
        </w:tc>
        <w:tc>
          <w:tcPr>
            <w:tcW w:w="640" w:type="dxa"/>
            <w:vAlign w:val="bottom"/>
            <w:shd w:val="clear" w:color="auto" w:fill="CCEEFF"/>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Borders>
              <w:right w:val="single" w:sz="8" w:color="CCEEFF"/>
            </w:tcBorders>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301,415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2"/>
                <w:szCs w:val="12"/>
                <w:color w:val="auto"/>
              </w:rPr>
              <w:t>Change in Control Termination</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417,000</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23,415</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1,059,719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1,500,134</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payments under our Non-Qualified Deferred Compensation Plan.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71" w:lineRule="exact"/>
        <w:rPr>
          <w:sz w:val="20"/>
          <w:szCs w:val="20"/>
          <w:color w:val="auto"/>
        </w:rPr>
      </w:pPr>
    </w:p>
    <w:p>
      <w:pPr>
        <w:ind w:right="380" w:firstLine="318"/>
        <w:spacing w:after="0" w:line="319" w:lineRule="auto"/>
        <w:rPr>
          <w:sz w:val="20"/>
          <w:szCs w:val="20"/>
          <w:color w:val="auto"/>
        </w:rPr>
      </w:pPr>
      <w:r>
        <w:rPr>
          <w:rFonts w:ascii="Arial" w:cs="Arial" w:eastAsia="Arial" w:hAnsi="Arial"/>
          <w:sz w:val="15"/>
          <w:szCs w:val="15"/>
          <w:color w:val="auto"/>
        </w:rPr>
        <w:t>The table below summarizes the compensation paid to, or earned by, our non-employee directors for the fiscal year ended December 31, 2016. Mr. M. Prior, our Chief Executive Officer, does not receive any compensation for his Board service beyond the compensation he receives as an executive officer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 Director Compensation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summarizes the compensation earned by each named director as of December 31, 2016:</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2"/>
              </w:rPr>
              <w:t>Fees Earned or</w:t>
            </w: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50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4"/>
              </w:rPr>
              <w:t>Paid in Cash</w:t>
            </w:r>
          </w:p>
        </w:tc>
        <w:tc>
          <w:tcPr>
            <w:tcW w:w="1440" w:type="dxa"/>
            <w:vAlign w:val="bottom"/>
            <w:gridSpan w:val="2"/>
          </w:tcPr>
          <w:p>
            <w:pPr>
              <w:jc w:val="right"/>
              <w:ind w:right="860"/>
              <w:spacing w:after="0" w:line="136" w:lineRule="exact"/>
              <w:rPr>
                <w:sz w:val="20"/>
                <w:szCs w:val="20"/>
                <w:color w:val="auto"/>
              </w:rPr>
            </w:pPr>
            <w:r>
              <w:rPr>
                <w:rFonts w:ascii="Arial" w:cs="Arial" w:eastAsia="Arial" w:hAnsi="Arial"/>
                <w:sz w:val="12"/>
                <w:szCs w:val="12"/>
                <w:b w:val="1"/>
                <w:bCs w:val="1"/>
                <w:color w:val="auto"/>
              </w:rPr>
              <w:t>Stock</w:t>
            </w:r>
          </w:p>
        </w:tc>
        <w:tc>
          <w:tcPr>
            <w:tcW w:w="1260" w:type="dxa"/>
            <w:vAlign w:val="bottom"/>
          </w:tcPr>
          <w:p>
            <w:pPr>
              <w:jc w:val="right"/>
              <w:ind w:right="304"/>
              <w:spacing w:after="0" w:line="136" w:lineRule="exact"/>
              <w:rPr>
                <w:sz w:val="20"/>
                <w:szCs w:val="20"/>
                <w:color w:val="auto"/>
              </w:rPr>
            </w:pPr>
            <w:r>
              <w:rPr>
                <w:rFonts w:ascii="Arial" w:cs="Arial" w:eastAsia="Arial" w:hAnsi="Arial"/>
                <w:sz w:val="12"/>
                <w:szCs w:val="12"/>
                <w:b w:val="1"/>
                <w:bCs w:val="1"/>
                <w:color w:val="auto"/>
              </w:rPr>
              <w:t>All Other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12"/>
                <w:szCs w:val="12"/>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Awards ($)(1)</w:t>
            </w:r>
          </w:p>
        </w:tc>
        <w:tc>
          <w:tcPr>
            <w:tcW w:w="1260" w:type="dxa"/>
            <w:vAlign w:val="bottom"/>
          </w:tcPr>
          <w:p>
            <w:pPr>
              <w:jc w:val="right"/>
              <w:ind w:right="24"/>
              <w:spacing w:after="0"/>
              <w:rPr>
                <w:sz w:val="20"/>
                <w:szCs w:val="20"/>
                <w:color w:val="auto"/>
              </w:rPr>
            </w:pPr>
            <w:r>
              <w:rPr>
                <w:rFonts w:ascii="Arial" w:cs="Arial" w:eastAsia="Arial" w:hAnsi="Arial"/>
                <w:sz w:val="12"/>
                <w:szCs w:val="12"/>
                <w:b w:val="1"/>
                <w:bCs w:val="1"/>
                <w:color w:val="auto"/>
                <w:w w:val="98"/>
              </w:rPr>
              <w:t>Compensation ($)(2)</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Cornelius B. Prior, Jr.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5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148,745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tcPr>
          <w:p>
            <w:pPr>
              <w:spacing w:after="0"/>
              <w:rPr>
                <w:sz w:val="20"/>
                <w:szCs w:val="20"/>
                <w:color w:val="auto"/>
              </w:rPr>
            </w:pPr>
            <w:r>
              <w:rPr>
                <w:rFonts w:ascii="Arial" w:cs="Arial" w:eastAsia="Arial" w:hAnsi="Arial"/>
                <w:sz w:val="16"/>
                <w:szCs w:val="16"/>
                <w:color w:val="auto"/>
              </w:rPr>
              <w:t>Martin L. Budd</w:t>
            </w:r>
          </w:p>
        </w:tc>
        <w:tc>
          <w:tcPr>
            <w:tcW w:w="980" w:type="dxa"/>
            <w:vAlign w:val="bottom"/>
          </w:tcPr>
          <w:p>
            <w:pPr>
              <w:jc w:val="right"/>
              <w:spacing w:after="0"/>
              <w:rPr>
                <w:sz w:val="20"/>
                <w:szCs w:val="20"/>
                <w:color w:val="auto"/>
              </w:rPr>
            </w:pPr>
            <w:r>
              <w:rPr>
                <w:rFonts w:ascii="Arial" w:cs="Arial" w:eastAsia="Arial" w:hAnsi="Arial"/>
                <w:sz w:val="16"/>
                <w:szCs w:val="16"/>
                <w:color w:val="auto"/>
              </w:rPr>
              <w:t>75,000</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105,000</w:t>
            </w:r>
          </w:p>
        </w:tc>
        <w:tc>
          <w:tcPr>
            <w:tcW w:w="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180,000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Bernard J. Bulkin</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67,500(3)</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129,800(3)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197,300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tcPr>
          <w:p>
            <w:pPr>
              <w:spacing w:after="0"/>
              <w:rPr>
                <w:sz w:val="20"/>
                <w:szCs w:val="20"/>
                <w:color w:val="auto"/>
              </w:rPr>
            </w:pPr>
            <w:r>
              <w:rPr>
                <w:rFonts w:ascii="Arial" w:cs="Arial" w:eastAsia="Arial" w:hAnsi="Arial"/>
                <w:sz w:val="16"/>
                <w:szCs w:val="16"/>
                <w:color w:val="auto"/>
              </w:rPr>
              <w:t>Michael T. Flynn</w:t>
            </w:r>
          </w:p>
        </w:tc>
        <w:tc>
          <w:tcPr>
            <w:tcW w:w="980" w:type="dxa"/>
            <w:vAlign w:val="bottom"/>
          </w:tcPr>
          <w:p>
            <w:pPr>
              <w:jc w:val="right"/>
              <w:spacing w:after="0"/>
              <w:rPr>
                <w:sz w:val="20"/>
                <w:szCs w:val="20"/>
                <w:color w:val="auto"/>
              </w:rPr>
            </w:pPr>
            <w:r>
              <w:rPr>
                <w:rFonts w:ascii="Arial" w:cs="Arial" w:eastAsia="Arial" w:hAnsi="Arial"/>
                <w:sz w:val="16"/>
                <w:szCs w:val="16"/>
                <w:color w:val="auto"/>
              </w:rPr>
              <w:t>67,500</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105,000</w:t>
            </w:r>
          </w:p>
        </w:tc>
        <w:tc>
          <w:tcPr>
            <w:tcW w:w="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172,500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Liane J. Pelletier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63,500</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168,500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gridSpan w:val="3"/>
          </w:tcPr>
          <w:p>
            <w:pPr>
              <w:spacing w:after="0"/>
              <w:rPr>
                <w:sz w:val="20"/>
                <w:szCs w:val="20"/>
                <w:color w:val="auto"/>
              </w:rPr>
            </w:pPr>
            <w:r>
              <w:rPr>
                <w:rFonts w:ascii="Arial" w:cs="Arial" w:eastAsia="Arial" w:hAnsi="Arial"/>
                <w:sz w:val="16"/>
                <w:szCs w:val="16"/>
                <w:color w:val="auto"/>
              </w:rPr>
              <w:t>Charles J. Roesslein</w:t>
            </w:r>
          </w:p>
        </w:tc>
        <w:tc>
          <w:tcPr>
            <w:tcW w:w="980" w:type="dxa"/>
            <w:vAlign w:val="bottom"/>
          </w:tcPr>
          <w:p>
            <w:pPr>
              <w:jc w:val="right"/>
              <w:spacing w:after="0"/>
              <w:rPr>
                <w:sz w:val="20"/>
                <w:szCs w:val="20"/>
                <w:color w:val="auto"/>
              </w:rPr>
            </w:pPr>
            <w:r>
              <w:rPr>
                <w:rFonts w:ascii="Arial" w:cs="Arial" w:eastAsia="Arial" w:hAnsi="Arial"/>
                <w:sz w:val="16"/>
                <w:szCs w:val="16"/>
                <w:color w:val="auto"/>
              </w:rPr>
              <w:t>72,000</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105,000</w:t>
            </w:r>
          </w:p>
        </w:tc>
        <w:tc>
          <w:tcPr>
            <w:tcW w:w="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177,000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280" w:hanging="498"/>
        <w:spacing w:after="0" w:line="284"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calculated in accordance with FASB ASC Topic 718, of awards granted pursuant to our Non-Employee Directors Compensation Policy and our 2008 Plan.</w:t>
      </w:r>
    </w:p>
    <w:p>
      <w:pPr>
        <w:spacing w:after="0" w:line="181" w:lineRule="exact"/>
        <w:rPr>
          <w:rFonts w:ascii="Arial" w:cs="Arial" w:eastAsia="Arial" w:hAnsi="Arial"/>
          <w:sz w:val="16"/>
          <w:szCs w:val="16"/>
          <w:color w:val="auto"/>
        </w:rPr>
      </w:pPr>
    </w:p>
    <w:p>
      <w:pPr>
        <w:ind w:left="1640" w:right="120" w:hanging="498"/>
        <w:spacing w:after="0" w:line="264"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compensation for Mr. Cornelius B. Prior, Jr.'s service as Chairman in 2016, we paid him an annual salary of $140,000, plus certain benefits which are included in "All Other Compensation", including $5,769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 annual retainer, but did receive expense reimbursement available to all other directors.</w:t>
      </w:r>
    </w:p>
    <w:p>
      <w:pPr>
        <w:spacing w:after="0" w:line="184" w:lineRule="exact"/>
        <w:rPr>
          <w:rFonts w:ascii="Arial" w:cs="Arial" w:eastAsia="Arial" w:hAnsi="Arial"/>
          <w:sz w:val="16"/>
          <w:szCs w:val="16"/>
          <w:color w:val="auto"/>
        </w:rPr>
      </w:pPr>
    </w:p>
    <w:p>
      <w:pPr>
        <w:ind w:left="1640" w:hanging="498"/>
        <w:spacing w:after="0" w:line="284"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Bulkin joined our Board of Directors on March 1, 2016. These amounts include a retainer for the period of March 1, 2016 through June 21, 2016 of $15,500 in cash and $24,800 in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Retainers</w:t>
      </w:r>
    </w:p>
    <w:p>
      <w:pPr>
        <w:spacing w:after="0" w:line="211" w:lineRule="exact"/>
        <w:rPr>
          <w:sz w:val="20"/>
          <w:szCs w:val="20"/>
          <w:color w:val="auto"/>
        </w:rPr>
      </w:pPr>
    </w:p>
    <w:p>
      <w:pPr>
        <w:ind w:right="40" w:firstLine="321"/>
        <w:spacing w:after="0" w:line="266" w:lineRule="auto"/>
        <w:rPr>
          <w:sz w:val="20"/>
          <w:szCs w:val="20"/>
          <w:color w:val="auto"/>
        </w:rPr>
      </w:pPr>
      <w:r>
        <w:rPr>
          <w:rFonts w:ascii="Arial" w:cs="Arial" w:eastAsia="Arial" w:hAnsi="Arial"/>
          <w:sz w:val="16"/>
          <w:szCs w:val="16"/>
          <w:color w:val="auto"/>
        </w:rPr>
        <w:t>For the fiscal year ended December 31, 2016, our non-employee directors (excluding our Chairman) received an annual retainer of $155,000 (consisting of $50,000 in cash and $105,000 in stock). In addition to the retainers, members of the Audit, Compensation and Nominating and Corporate Governance Committees (other than the Chairs of such committees) received additional annual payments of $10,000, $7,500 and $2,000, respectively, and the Chairs of the Audit, Compensation and Nominating and Corporate Governance Committees received annual payments of $20,000, $15,000 and $6,000, respectively.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RELATED PERSON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on Related Person Transactions</w:t>
      </w:r>
    </w:p>
    <w:p>
      <w:pPr>
        <w:spacing w:after="0" w:line="215" w:lineRule="exact"/>
        <w:rPr>
          <w:sz w:val="20"/>
          <w:szCs w:val="20"/>
          <w:color w:val="auto"/>
        </w:rPr>
      </w:pPr>
    </w:p>
    <w:p>
      <w:pPr>
        <w:ind w:right="60" w:firstLine="321"/>
        <w:spacing w:after="0" w:line="282" w:lineRule="auto"/>
        <w:rPr>
          <w:sz w:val="20"/>
          <w:szCs w:val="20"/>
          <w:color w:val="auto"/>
        </w:rPr>
      </w:pPr>
      <w:r>
        <w:rPr>
          <w:rFonts w:ascii="Arial" w:cs="Arial" w:eastAsia="Arial" w:hAnsi="Arial"/>
          <w:sz w:val="15"/>
          <w:szCs w:val="15"/>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60" w:lineRule="exact"/>
        <w:rPr>
          <w:sz w:val="20"/>
          <w:szCs w:val="20"/>
          <w:color w:val="auto"/>
        </w:rPr>
      </w:pPr>
    </w:p>
    <w:p>
      <w:pPr>
        <w:jc w:val="both"/>
        <w:ind w:firstLine="321"/>
        <w:spacing w:after="0" w:line="315" w:lineRule="auto"/>
        <w:rPr>
          <w:sz w:val="20"/>
          <w:szCs w:val="20"/>
          <w:color w:val="auto"/>
        </w:rPr>
      </w:pPr>
      <w:r>
        <w:rPr>
          <w:rFonts w:ascii="Arial" w:cs="Arial" w:eastAsia="Arial" w:hAnsi="Arial"/>
          <w:sz w:val="14"/>
          <w:szCs w:val="14"/>
          <w:color w:val="auto"/>
        </w:rPr>
        <w:t>In October 2014, our U.S. Virgin Islands business, Choice Communications, LLC ("Choice"), entered into a tower lease with Tropical Telecom Ltd ("Tropical Telecom"), an entity 74% owned by Mr. C.B. Prior, Jr., our Chairman. When aggregated with amounts that Choice currently pays to Tropical Telecom for an existing tower lease entered into in April 2012, Choice will pay approximately $117,000 per year in rental payments to Tropical Telecom. Each tower lease has an initial term of five years, with two additional five year renewal periods and has provisions for an increase in rent, in the case of the April 2012 lease, by 5% each year and in the case of the October 2016 lease by 3% each year.</w:t>
      </w:r>
    </w:p>
    <w:p>
      <w:pPr>
        <w:spacing w:after="0" w:line="141" w:lineRule="exact"/>
        <w:rPr>
          <w:sz w:val="20"/>
          <w:szCs w:val="20"/>
          <w:color w:val="auto"/>
        </w:rPr>
      </w:pPr>
    </w:p>
    <w:p>
      <w:pPr>
        <w:ind w:right="700" w:firstLine="321"/>
        <w:spacing w:after="0" w:line="284" w:lineRule="auto"/>
        <w:rPr>
          <w:sz w:val="20"/>
          <w:szCs w:val="20"/>
          <w:color w:val="auto"/>
        </w:rPr>
      </w:pPr>
      <w:r>
        <w:rPr>
          <w:rFonts w:ascii="Arial" w:cs="Arial" w:eastAsia="Arial" w:hAnsi="Arial"/>
          <w:sz w:val="16"/>
          <w:szCs w:val="16"/>
          <w:color w:val="auto"/>
        </w:rPr>
        <w:t>Our Audit Committee approved the specific structure and terms of the Choice lease, as negotiated by Choice management, and unanimously approved each of the arrangements described above in accordance with the terms of our Related Person Transaction Policy.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2018 Annual Meeting</w:t>
      </w:r>
    </w:p>
    <w:p>
      <w:pPr>
        <w:spacing w:after="0" w:line="215" w:lineRule="exact"/>
        <w:rPr>
          <w:sz w:val="20"/>
          <w:szCs w:val="20"/>
          <w:color w:val="auto"/>
        </w:rPr>
      </w:pPr>
    </w:p>
    <w:p>
      <w:pPr>
        <w:ind w:right="180" w:firstLine="312"/>
        <w:spacing w:after="0" w:line="264" w:lineRule="auto"/>
        <w:rPr>
          <w:sz w:val="20"/>
          <w:szCs w:val="20"/>
          <w:color w:val="auto"/>
        </w:rPr>
      </w:pPr>
      <w:r>
        <w:rPr>
          <w:rFonts w:ascii="Arial" w:cs="Arial" w:eastAsia="Arial" w:hAnsi="Arial"/>
          <w:sz w:val="16"/>
          <w:szCs w:val="16"/>
          <w:color w:val="auto"/>
        </w:rPr>
        <w:t>All suggestions from stockholders are given careful attention. Proposals intended for consideration at next year's annual meeting of stockholders should be sent to ATN International, Inc.; Attn: Secretary, 500 Cummings Center, Beverly, MA 01915. To be considered for inclusion in our proxy materials for that meeting, such proposals must be received by us by December 29, 2017, and must comply with certain rules and regulations promulgated by the SEC. A stockholder who wishes to make a proposal at the 2018 annual meeting, but does not wish to have the proposal included in the proxy statement for that meeting, must give notice of the proposal to us no later than March 14, 2018, in order for the notice to be considered timely under Rule 14a-4(c)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 of Annual Meeting Materials</w:t>
      </w:r>
    </w:p>
    <w:p>
      <w:pPr>
        <w:spacing w:after="0" w:line="215" w:lineRule="exact"/>
        <w:rPr>
          <w:sz w:val="20"/>
          <w:szCs w:val="20"/>
          <w:color w:val="auto"/>
        </w:rPr>
      </w:pPr>
    </w:p>
    <w:p>
      <w:pPr>
        <w:ind w:firstLine="321"/>
        <w:spacing w:after="0" w:line="310" w:lineRule="auto"/>
        <w:rPr>
          <w:sz w:val="20"/>
          <w:szCs w:val="20"/>
          <w:color w:val="auto"/>
        </w:rPr>
      </w:pPr>
      <w:r>
        <w:rPr>
          <w:rFonts w:ascii="Arial" w:cs="Arial" w:eastAsia="Arial" w:hAnsi="Arial"/>
          <w:sz w:val="14"/>
          <w:szCs w:val="14"/>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 and Other SEC Filings</w:t>
      </w:r>
    </w:p>
    <w:p>
      <w:pPr>
        <w:spacing w:after="0" w:line="215" w:lineRule="exact"/>
        <w:rPr>
          <w:sz w:val="20"/>
          <w:szCs w:val="20"/>
          <w:color w:val="auto"/>
        </w:rPr>
      </w:pPr>
    </w:p>
    <w:p>
      <w:pPr>
        <w:ind w:right="220" w:firstLine="321"/>
        <w:spacing w:after="0" w:line="284" w:lineRule="auto"/>
        <w:rPr>
          <w:sz w:val="20"/>
          <w:szCs w:val="20"/>
          <w:color w:val="auto"/>
        </w:rPr>
      </w:pPr>
      <w:r>
        <w:rPr>
          <w:rFonts w:ascii="Arial" w:cs="Arial" w:eastAsia="Arial" w:hAnsi="Arial"/>
          <w:sz w:val="16"/>
          <w:szCs w:val="16"/>
          <w:color w:val="auto"/>
        </w:rPr>
        <w:t>Our Annual Report on Form 10-K, Quarterly Reports on Form 10-Q and Current Reports on Form 8-K are available on our website at ir.atni.com. These filings and other SEC filings, including our proxy statement, are also available on the SEC's website at www.sec.gov.</w:t>
      </w:r>
    </w:p>
    <w:p>
      <w:pPr>
        <w:spacing w:after="0" w:line="152" w:lineRule="exact"/>
        <w:rPr>
          <w:sz w:val="20"/>
          <w:szCs w:val="20"/>
          <w:color w:val="auto"/>
        </w:rPr>
      </w:pPr>
    </w:p>
    <w:p>
      <w:pPr>
        <w:ind w:right="60" w:firstLine="321"/>
        <w:spacing w:after="0" w:line="325" w:lineRule="auto"/>
        <w:rPr>
          <w:sz w:val="20"/>
          <w:szCs w:val="20"/>
          <w:color w:val="auto"/>
        </w:rPr>
      </w:pPr>
      <w:r>
        <w:rPr>
          <w:rFonts w:ascii="Arial" w:cs="Arial" w:eastAsia="Arial" w:hAnsi="Arial"/>
          <w:sz w:val="15"/>
          <w:szCs w:val="15"/>
          <w:b w:val="1"/>
          <w:bCs w:val="1"/>
          <w:color w:val="auto"/>
        </w:rPr>
        <w:t>A copy of these filings, including our Annual Letter to Stockholders and our Annual Report on Form 10-K for the fiscal year ended December 31, 2016 (excluding exhibits), may be obtained, at no cost, by writing to ATN International, Inc., Attn: Secretary, 500 Cummings Center, Beverly, MA 01915.</w:t>
      </w:r>
    </w:p>
    <w:p>
      <w:pPr>
        <w:spacing w:after="0" w:line="129" w:lineRule="exact"/>
        <w:rPr>
          <w:sz w:val="20"/>
          <w:szCs w:val="20"/>
          <w:color w:val="auto"/>
        </w:rPr>
      </w:pPr>
    </w:p>
    <w:p>
      <w:pPr>
        <w:ind w:right="240" w:firstLine="321"/>
        <w:spacing w:after="0" w:line="284" w:lineRule="auto"/>
        <w:rPr>
          <w:sz w:val="20"/>
          <w:szCs w:val="20"/>
          <w:color w:val="auto"/>
        </w:rPr>
      </w:pPr>
      <w:r>
        <w:rPr>
          <w:rFonts w:ascii="Arial" w:cs="Arial" w:eastAsia="Arial" w:hAnsi="Arial"/>
          <w:sz w:val="16"/>
          <w:szCs w:val="16"/>
          <w:color w:val="auto"/>
        </w:rPr>
        <w:t>Our Annual Letter to Stockholders, which is being mailed to stockholders with this proxy statement, is not incorporated into this proxy statement and is not deemed to be part of the proxy soliciting material.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LEONARD Q. SLAP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April 28,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0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50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lvl w:ilvl="1">
      <w:lvlJc w:val="left"/>
      <w:lvlText w:val="(%2)"/>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978"/>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1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lowerLetter"/>
      <w:start w:val="3"/>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2019-12-05T19:27:59Z</dcterms:created>
  <dcterms:modified xsi:type="dcterms:W3CDTF">2019-12-05T19:27:59Z</dcterms:modified>
</cp:coreProperties>
</file>